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DBAB2E">
      <w:pPr>
        <w:widowControl w:val="0"/>
        <w:topLinePunct/>
        <w:autoSpaceDE w:val="0"/>
        <w:autoSpaceDN w:val="0"/>
        <w:spacing w:before="0" w:after="0" w:line="360" w:lineRule="auto"/>
        <w:jc w:val="center"/>
        <w:rPr>
          <w:rFonts w:hint="eastAsia" w:ascii="宋体" w:hAnsi="宋体" w:eastAsia="宋体" w:cs="宋体"/>
          <w:b/>
          <w:sz w:val="96"/>
          <w:szCs w:val="96"/>
          <w:lang w:eastAsia="zh-CN"/>
        </w:rPr>
      </w:pPr>
    </w:p>
    <w:p w14:paraId="199CEAB6">
      <w:pPr>
        <w:widowControl w:val="0"/>
        <w:topLinePunct/>
        <w:autoSpaceDE w:val="0"/>
        <w:autoSpaceDN w:val="0"/>
        <w:spacing w:before="0" w:after="0" w:line="360" w:lineRule="auto"/>
        <w:jc w:val="center"/>
        <w:rPr>
          <w:rFonts w:hint="eastAsia" w:ascii="宋体" w:hAnsi="宋体" w:eastAsia="宋体" w:cs="宋体"/>
          <w:b/>
          <w:sz w:val="96"/>
          <w:szCs w:val="96"/>
          <w:lang w:eastAsia="zh-CN"/>
        </w:rPr>
      </w:pPr>
      <w:r>
        <w:rPr>
          <w:rFonts w:hint="eastAsia" w:ascii="宋体" w:hAnsi="宋体" w:eastAsia="宋体" w:cs="宋体"/>
          <w:b/>
          <w:sz w:val="96"/>
          <w:szCs w:val="96"/>
          <w:lang w:eastAsia="zh-CN"/>
        </w:rPr>
        <w:t>采 购 需 求</w:t>
      </w:r>
    </w:p>
    <w:p w14:paraId="7ABD1493">
      <w:pPr>
        <w:widowControl w:val="0"/>
        <w:topLinePunct/>
        <w:autoSpaceDE w:val="0"/>
        <w:autoSpaceDN w:val="0"/>
        <w:spacing w:before="0" w:after="0" w:line="360" w:lineRule="auto"/>
        <w:jc w:val="center"/>
        <w:rPr>
          <w:rFonts w:hint="eastAsia" w:ascii="宋体" w:hAnsi="宋体" w:eastAsia="宋体" w:cs="宋体"/>
          <w:b/>
          <w:sz w:val="80"/>
          <w:szCs w:val="80"/>
          <w:lang w:eastAsia="zh-CN"/>
        </w:rPr>
      </w:pPr>
    </w:p>
    <w:p w14:paraId="3442D19D">
      <w:pPr>
        <w:widowControl w:val="0"/>
        <w:topLinePunct/>
        <w:autoSpaceDE w:val="0"/>
        <w:autoSpaceDN w:val="0"/>
        <w:spacing w:before="0" w:after="0" w:line="360" w:lineRule="auto"/>
        <w:jc w:val="center"/>
        <w:rPr>
          <w:rFonts w:hint="eastAsia" w:ascii="宋体" w:hAnsi="宋体" w:eastAsia="宋体" w:cs="宋体"/>
          <w:b/>
          <w:sz w:val="80"/>
          <w:szCs w:val="80"/>
          <w:lang w:eastAsia="zh-CN"/>
        </w:rPr>
      </w:pPr>
    </w:p>
    <w:p w14:paraId="6357F166">
      <w:pPr>
        <w:widowControl w:val="0"/>
        <w:topLinePunct/>
        <w:autoSpaceDE w:val="0"/>
        <w:autoSpaceDN w:val="0"/>
        <w:spacing w:before="0" w:after="0" w:line="360" w:lineRule="auto"/>
        <w:jc w:val="left"/>
        <w:rPr>
          <w:rFonts w:hint="eastAsia" w:ascii="宋体" w:hAnsi="宋体" w:eastAsia="宋体" w:cs="宋体"/>
          <w:b/>
          <w:sz w:val="80"/>
          <w:szCs w:val="80"/>
          <w:lang w:eastAsia="zh-CN"/>
        </w:rPr>
      </w:pPr>
    </w:p>
    <w:p w14:paraId="46A58D08">
      <w:pPr>
        <w:widowControl w:val="0"/>
        <w:topLinePunct/>
        <w:autoSpaceDE w:val="0"/>
        <w:autoSpaceDN w:val="0"/>
        <w:spacing w:before="0" w:after="0" w:line="360" w:lineRule="auto"/>
        <w:jc w:val="left"/>
        <w:rPr>
          <w:rFonts w:hint="eastAsia" w:ascii="宋体" w:hAnsi="宋体" w:eastAsia="宋体" w:cs="宋体"/>
          <w:kern w:val="2"/>
          <w:sz w:val="32"/>
          <w:szCs w:val="32"/>
          <w:lang w:eastAsia="zh-CN"/>
        </w:rPr>
      </w:pPr>
      <w:r>
        <w:rPr>
          <w:rFonts w:hint="eastAsia" w:ascii="宋体" w:hAnsi="宋体" w:eastAsia="宋体" w:cs="宋体"/>
          <w:b/>
          <w:sz w:val="30"/>
          <w:szCs w:val="30"/>
          <w:lang w:eastAsia="zh-CN"/>
        </w:rPr>
        <w:t>项目名称：</w:t>
      </w:r>
      <w:bookmarkStart w:id="0" w:name="项目名称_projectName"/>
      <w:r>
        <w:rPr>
          <w:rFonts w:hint="eastAsia" w:ascii="宋体" w:hAnsi="宋体" w:eastAsia="宋体" w:cs="宋体"/>
          <w:b/>
          <w:sz w:val="30"/>
          <w:szCs w:val="30"/>
          <w:lang w:eastAsia="zh-CN"/>
        </w:rPr>
        <w:t>新疆税务2026年网络安全设备采购项目（第二包：安全设备采购）</w:t>
      </w:r>
      <w:bookmarkEnd w:id="0"/>
    </w:p>
    <w:p w14:paraId="5072ACE0">
      <w:pPr>
        <w:widowControl w:val="0"/>
        <w:spacing w:before="0" w:after="0" w:line="360" w:lineRule="auto"/>
        <w:jc w:val="both"/>
        <w:rPr>
          <w:rFonts w:ascii="宋体" w:hAnsi="宋体" w:eastAsia="宋体" w:cs="宋体"/>
          <w:kern w:val="2"/>
          <w:sz w:val="32"/>
          <w:szCs w:val="32"/>
          <w:lang w:eastAsia="zh-CN"/>
        </w:rPr>
      </w:pPr>
    </w:p>
    <w:p w14:paraId="346BBB3A">
      <w:pPr>
        <w:widowControl w:val="0"/>
        <w:spacing w:before="0" w:after="0" w:line="360" w:lineRule="auto"/>
        <w:jc w:val="both"/>
        <w:rPr>
          <w:rFonts w:hint="eastAsia" w:ascii="宋体" w:hAnsi="宋体" w:eastAsia="宋体" w:cs="宋体"/>
          <w:kern w:val="2"/>
          <w:sz w:val="32"/>
          <w:szCs w:val="32"/>
          <w:lang w:eastAsia="zh-CN"/>
        </w:rPr>
      </w:pPr>
    </w:p>
    <w:p w14:paraId="25904C17">
      <w:pPr>
        <w:widowControl w:val="0"/>
        <w:topLinePunct/>
        <w:autoSpaceDE w:val="0"/>
        <w:autoSpaceDN w:val="0"/>
        <w:spacing w:before="0" w:after="0" w:line="360" w:lineRule="auto"/>
        <w:jc w:val="both"/>
        <w:rPr>
          <w:rFonts w:hint="eastAsia" w:ascii="宋体" w:hAnsi="宋体" w:eastAsia="宋体" w:cs="宋体"/>
          <w:sz w:val="32"/>
          <w:szCs w:val="32"/>
          <w:lang w:eastAsia="zh-CN"/>
        </w:rPr>
      </w:pPr>
    </w:p>
    <w:p w14:paraId="051A61F0">
      <w:pPr>
        <w:spacing w:before="0" w:after="0" w:line="360" w:lineRule="auto"/>
        <w:jc w:val="center"/>
        <w:rPr>
          <w:rFonts w:eastAsia="宋体"/>
        </w:rPr>
      </w:pPr>
      <w:bookmarkStart w:id="1" w:name="生成日期_currentDateTime_ym"/>
      <w:r>
        <w:rPr>
          <w:rFonts w:hint="eastAsia" w:ascii="宋体" w:hAnsi="宋体" w:eastAsia="宋体" w:cs="宋体"/>
          <w:sz w:val="36"/>
          <w:szCs w:val="36"/>
          <w:lang w:eastAsia="zh-CN"/>
        </w:rPr>
        <w:t>2026年06月</w:t>
      </w:r>
      <w:bookmarkEnd w:id="1"/>
    </w:p>
    <w:p w14:paraId="796B8B41">
      <w:pPr>
        <w:spacing w:before="0" w:after="0" w:line="360" w:lineRule="auto"/>
        <w:jc w:val="center"/>
        <w:rPr>
          <w:rFonts w:ascii="宋体" w:hAnsi="宋体" w:eastAsia="宋体" w:cs="宋体"/>
          <w:sz w:val="32"/>
        </w:rPr>
      </w:pPr>
      <w:r>
        <w:br w:type="page"/>
      </w:r>
      <w:r>
        <w:rPr>
          <w:rFonts w:ascii="宋体" w:hAnsi="宋体" w:eastAsia="宋体" w:cs="宋体"/>
          <w:sz w:val="32"/>
        </w:rPr>
        <w:t>目 录</w:t>
      </w:r>
    </w:p>
    <w:p w14:paraId="0374DC79">
      <w:pPr>
        <w:pStyle w:val="9"/>
        <w:tabs>
          <w:tab w:val="right" w:leader="dot" w:pos="9016"/>
        </w:tabs>
        <w:spacing w:before="0" w:after="0" w:line="360" w:lineRule="auto"/>
        <w:rPr>
          <w:rFonts w:asciiTheme="minorHAnsi" w:hAnsiTheme="minorHAnsi"/>
          <w:sz w:val="22"/>
        </w:rPr>
      </w:pPr>
      <w:r>
        <w:rPr>
          <w:rFonts w:ascii="宋体" w:hAnsi="宋体" w:eastAsia="宋体" w:cs="宋体"/>
          <w:sz w:val="32"/>
        </w:rPr>
        <w:fldChar w:fldCharType="begin"/>
      </w:r>
      <w:r>
        <w:rPr>
          <w:rFonts w:ascii="宋体" w:hAnsi="宋体" w:eastAsia="宋体" w:cs="宋体"/>
          <w:sz w:val="32"/>
        </w:rPr>
        <w:instrText xml:space="preserve">TOC \o "1-3" \h \z \u</w:instrText>
      </w:r>
      <w:r>
        <w:rPr>
          <w:rFonts w:ascii="宋体" w:hAnsi="宋体" w:eastAsia="宋体" w:cs="宋体"/>
          <w:sz w:val="32"/>
        </w:rPr>
        <w:fldChar w:fldCharType="separate"/>
      </w:r>
      <w:r>
        <w:fldChar w:fldCharType="begin"/>
      </w:r>
      <w:r>
        <w:instrText xml:space="preserve"> HYPERLINK \l "_Toc256000000" </w:instrText>
      </w:r>
      <w:r>
        <w:fldChar w:fldCharType="separate"/>
      </w:r>
      <w:r>
        <w:rPr>
          <w:rStyle w:val="13"/>
          <w:rFonts w:ascii="仿宋_GB2312" w:hAnsi="仿宋_GB2312" w:eastAsia="仿宋_GB2312" w:cs="仿宋_GB2312"/>
          <w:kern w:val="36"/>
        </w:rPr>
        <w:t>1项目概述</w:t>
      </w:r>
      <w:r>
        <w:tab/>
      </w:r>
      <w:r>
        <w:fldChar w:fldCharType="begin"/>
      </w:r>
      <w:r>
        <w:instrText xml:space="preserve"> PAGEREF _Toc256000000 \h </w:instrText>
      </w:r>
      <w:r>
        <w:fldChar w:fldCharType="separate"/>
      </w:r>
      <w:r>
        <w:t>1</w:t>
      </w:r>
      <w:r>
        <w:fldChar w:fldCharType="end"/>
      </w:r>
      <w:r>
        <w:fldChar w:fldCharType="end"/>
      </w:r>
    </w:p>
    <w:p w14:paraId="60E0040D">
      <w:pPr>
        <w:pStyle w:val="10"/>
        <w:tabs>
          <w:tab w:val="right" w:leader="dot" w:pos="9016"/>
        </w:tabs>
        <w:spacing w:before="0" w:after="0" w:line="360" w:lineRule="auto"/>
        <w:rPr>
          <w:rFonts w:asciiTheme="minorHAnsi" w:hAnsiTheme="minorHAnsi"/>
          <w:sz w:val="22"/>
        </w:rPr>
      </w:pPr>
      <w:r>
        <w:fldChar w:fldCharType="begin"/>
      </w:r>
      <w:r>
        <w:instrText xml:space="preserve"> HYPERLINK \l "_Toc256000001" </w:instrText>
      </w:r>
      <w:r>
        <w:fldChar w:fldCharType="separate"/>
      </w:r>
      <w:r>
        <w:rPr>
          <w:rStyle w:val="13"/>
          <w:rFonts w:ascii="仿宋_GB2312" w:hAnsi="仿宋_GB2312" w:eastAsia="仿宋_GB2312" w:cs="仿宋_GB2312"/>
        </w:rPr>
        <w:t>1.1项目背景</w:t>
      </w:r>
      <w:r>
        <w:tab/>
      </w:r>
      <w:r>
        <w:fldChar w:fldCharType="begin"/>
      </w:r>
      <w:r>
        <w:instrText xml:space="preserve"> PAGEREF _Toc256000001 \h </w:instrText>
      </w:r>
      <w:r>
        <w:fldChar w:fldCharType="separate"/>
      </w:r>
      <w:r>
        <w:t>1</w:t>
      </w:r>
      <w:r>
        <w:fldChar w:fldCharType="end"/>
      </w:r>
      <w:r>
        <w:fldChar w:fldCharType="end"/>
      </w:r>
    </w:p>
    <w:p w14:paraId="50AA10A2">
      <w:pPr>
        <w:pStyle w:val="6"/>
        <w:tabs>
          <w:tab w:val="right" w:leader="dot" w:pos="9016"/>
        </w:tabs>
        <w:spacing w:before="0" w:after="0" w:line="360" w:lineRule="auto"/>
        <w:rPr>
          <w:rFonts w:asciiTheme="minorHAnsi" w:hAnsiTheme="minorHAnsi"/>
          <w:sz w:val="22"/>
        </w:rPr>
      </w:pPr>
      <w:r>
        <w:fldChar w:fldCharType="begin"/>
      </w:r>
      <w:r>
        <w:instrText xml:space="preserve"> HYPERLINK \l "_Toc256000002" </w:instrText>
      </w:r>
      <w:r>
        <w:fldChar w:fldCharType="separate"/>
      </w:r>
      <w:r>
        <w:rPr>
          <w:rStyle w:val="13"/>
          <w:rFonts w:ascii="仿宋_GB2312" w:hAnsi="仿宋_GB2312" w:eastAsia="仿宋_GB2312" w:cs="仿宋_GB2312"/>
        </w:rPr>
        <w:t>1.1.1项目目的、意义及背景</w:t>
      </w:r>
      <w:r>
        <w:tab/>
      </w:r>
      <w:r>
        <w:fldChar w:fldCharType="begin"/>
      </w:r>
      <w:r>
        <w:instrText xml:space="preserve"> PAGEREF _Toc256000002 \h </w:instrText>
      </w:r>
      <w:r>
        <w:fldChar w:fldCharType="separate"/>
      </w:r>
      <w:r>
        <w:t>1</w:t>
      </w:r>
      <w:r>
        <w:fldChar w:fldCharType="end"/>
      </w:r>
      <w:r>
        <w:fldChar w:fldCharType="end"/>
      </w:r>
    </w:p>
    <w:p w14:paraId="1A058350">
      <w:pPr>
        <w:pStyle w:val="10"/>
        <w:tabs>
          <w:tab w:val="right" w:leader="dot" w:pos="9016"/>
        </w:tabs>
        <w:spacing w:before="0" w:after="0" w:line="360" w:lineRule="auto"/>
        <w:rPr>
          <w:rFonts w:asciiTheme="minorHAnsi" w:hAnsiTheme="minorHAnsi"/>
          <w:sz w:val="22"/>
        </w:rPr>
      </w:pPr>
      <w:r>
        <w:fldChar w:fldCharType="begin"/>
      </w:r>
      <w:r>
        <w:instrText xml:space="preserve"> HYPERLINK \l "_Toc256000003" </w:instrText>
      </w:r>
      <w:r>
        <w:fldChar w:fldCharType="separate"/>
      </w:r>
      <w:r>
        <w:rPr>
          <w:rStyle w:val="13"/>
          <w:rFonts w:ascii="仿宋_GB2312" w:hAnsi="仿宋_GB2312" w:eastAsia="仿宋_GB2312" w:cs="仿宋_GB2312"/>
        </w:rPr>
        <w:t>1.2项目内容</w:t>
      </w:r>
      <w:r>
        <w:tab/>
      </w:r>
      <w:r>
        <w:fldChar w:fldCharType="begin"/>
      </w:r>
      <w:r>
        <w:instrText xml:space="preserve"> PAGEREF _Toc256000003 \h </w:instrText>
      </w:r>
      <w:r>
        <w:fldChar w:fldCharType="separate"/>
      </w:r>
      <w:r>
        <w:t>1</w:t>
      </w:r>
      <w:r>
        <w:fldChar w:fldCharType="end"/>
      </w:r>
      <w:r>
        <w:fldChar w:fldCharType="end"/>
      </w:r>
    </w:p>
    <w:p w14:paraId="7FB0FD58">
      <w:pPr>
        <w:pStyle w:val="6"/>
        <w:tabs>
          <w:tab w:val="right" w:leader="dot" w:pos="9016"/>
        </w:tabs>
        <w:spacing w:before="0" w:after="0" w:line="360" w:lineRule="auto"/>
        <w:rPr>
          <w:rFonts w:asciiTheme="minorHAnsi" w:hAnsiTheme="minorHAnsi"/>
          <w:sz w:val="22"/>
        </w:rPr>
      </w:pPr>
      <w:r>
        <w:fldChar w:fldCharType="begin"/>
      </w:r>
      <w:r>
        <w:instrText xml:space="preserve"> HYPERLINK \l "_Toc256000004" </w:instrText>
      </w:r>
      <w:r>
        <w:fldChar w:fldCharType="separate"/>
      </w:r>
      <w:r>
        <w:rPr>
          <w:rStyle w:val="13"/>
          <w:rFonts w:ascii="仿宋_GB2312" w:hAnsi="仿宋_GB2312" w:eastAsia="仿宋_GB2312" w:cs="仿宋_GB2312"/>
        </w:rPr>
        <w:t>1.2.1采购内容</w:t>
      </w:r>
      <w:r>
        <w:tab/>
      </w:r>
      <w:r>
        <w:fldChar w:fldCharType="begin"/>
      </w:r>
      <w:r>
        <w:instrText xml:space="preserve"> PAGEREF _Toc256000004 \h </w:instrText>
      </w:r>
      <w:r>
        <w:fldChar w:fldCharType="separate"/>
      </w:r>
      <w:r>
        <w:t>1</w:t>
      </w:r>
      <w:r>
        <w:fldChar w:fldCharType="end"/>
      </w:r>
      <w:r>
        <w:fldChar w:fldCharType="end"/>
      </w:r>
    </w:p>
    <w:p w14:paraId="7FD2BF60">
      <w:pPr>
        <w:pStyle w:val="6"/>
        <w:tabs>
          <w:tab w:val="right" w:leader="dot" w:pos="9016"/>
        </w:tabs>
        <w:spacing w:before="0" w:after="0" w:line="360" w:lineRule="auto"/>
        <w:rPr>
          <w:rFonts w:asciiTheme="minorHAnsi" w:hAnsiTheme="minorHAnsi"/>
          <w:sz w:val="22"/>
        </w:rPr>
      </w:pPr>
      <w:r>
        <w:fldChar w:fldCharType="begin"/>
      </w:r>
      <w:r>
        <w:instrText xml:space="preserve"> HYPERLINK \l "_Toc256000005" </w:instrText>
      </w:r>
      <w:r>
        <w:fldChar w:fldCharType="separate"/>
      </w:r>
      <w:r>
        <w:rPr>
          <w:rStyle w:val="13"/>
          <w:rFonts w:ascii="仿宋_GB2312" w:hAnsi="仿宋_GB2312" w:eastAsia="仿宋_GB2312" w:cs="仿宋_GB2312"/>
        </w:rPr>
        <w:t>1.2.2项目实施要求</w:t>
      </w:r>
      <w:r>
        <w:tab/>
      </w:r>
      <w:r>
        <w:fldChar w:fldCharType="begin"/>
      </w:r>
      <w:r>
        <w:instrText xml:space="preserve"> PAGEREF _Toc256000005 \h </w:instrText>
      </w:r>
      <w:r>
        <w:fldChar w:fldCharType="separate"/>
      </w:r>
      <w:r>
        <w:t>1</w:t>
      </w:r>
      <w:r>
        <w:fldChar w:fldCharType="end"/>
      </w:r>
      <w:r>
        <w:fldChar w:fldCharType="end"/>
      </w:r>
    </w:p>
    <w:p w14:paraId="1FEE75F2">
      <w:pPr>
        <w:pStyle w:val="10"/>
        <w:tabs>
          <w:tab w:val="right" w:leader="dot" w:pos="9016"/>
        </w:tabs>
        <w:spacing w:before="0" w:after="0" w:line="360" w:lineRule="auto"/>
        <w:rPr>
          <w:rFonts w:asciiTheme="minorHAnsi" w:hAnsiTheme="minorHAnsi"/>
          <w:sz w:val="22"/>
        </w:rPr>
      </w:pPr>
      <w:r>
        <w:fldChar w:fldCharType="begin"/>
      </w:r>
      <w:r>
        <w:instrText xml:space="preserve"> HYPERLINK \l "_Toc256000006" </w:instrText>
      </w:r>
      <w:r>
        <w:fldChar w:fldCharType="separate"/>
      </w:r>
      <w:r>
        <w:rPr>
          <w:rStyle w:val="13"/>
          <w:rFonts w:ascii="仿宋_GB2312" w:hAnsi="仿宋_GB2312" w:eastAsia="仿宋_GB2312" w:cs="仿宋_GB2312"/>
        </w:rPr>
        <w:t>1.3其他要求</w:t>
      </w:r>
      <w:r>
        <w:tab/>
      </w:r>
      <w:r>
        <w:fldChar w:fldCharType="begin"/>
      </w:r>
      <w:r>
        <w:instrText xml:space="preserve"> PAGEREF _Toc256000006 \h </w:instrText>
      </w:r>
      <w:r>
        <w:fldChar w:fldCharType="separate"/>
      </w:r>
      <w:r>
        <w:t>2</w:t>
      </w:r>
      <w:r>
        <w:fldChar w:fldCharType="end"/>
      </w:r>
      <w:r>
        <w:fldChar w:fldCharType="end"/>
      </w:r>
    </w:p>
    <w:p w14:paraId="02016224">
      <w:pPr>
        <w:pStyle w:val="6"/>
        <w:tabs>
          <w:tab w:val="right" w:leader="dot" w:pos="9016"/>
        </w:tabs>
        <w:spacing w:before="0" w:after="0" w:line="360" w:lineRule="auto"/>
        <w:rPr>
          <w:rFonts w:asciiTheme="minorHAnsi" w:hAnsiTheme="minorHAnsi"/>
          <w:sz w:val="22"/>
        </w:rPr>
      </w:pPr>
      <w:r>
        <w:fldChar w:fldCharType="begin"/>
      </w:r>
      <w:r>
        <w:instrText xml:space="preserve"> HYPERLINK \l "_Toc256000007" </w:instrText>
      </w:r>
      <w:r>
        <w:fldChar w:fldCharType="separate"/>
      </w:r>
      <w:r>
        <w:rPr>
          <w:rStyle w:val="13"/>
          <w:rFonts w:ascii="仿宋_GB2312" w:hAnsi="仿宋_GB2312" w:eastAsia="仿宋_GB2312" w:cs="仿宋_GB2312"/>
        </w:rPr>
        <w:t>1.3.1采购标的需执行的相关标准规范</w:t>
      </w:r>
      <w:r>
        <w:tab/>
      </w:r>
      <w:r>
        <w:fldChar w:fldCharType="begin"/>
      </w:r>
      <w:r>
        <w:instrText xml:space="preserve"> PAGEREF _Toc256000007 \h </w:instrText>
      </w:r>
      <w:r>
        <w:fldChar w:fldCharType="separate"/>
      </w:r>
      <w:r>
        <w:t>2</w:t>
      </w:r>
      <w:r>
        <w:fldChar w:fldCharType="end"/>
      </w:r>
      <w:r>
        <w:fldChar w:fldCharType="end"/>
      </w:r>
    </w:p>
    <w:p w14:paraId="6ADC4CD4">
      <w:pPr>
        <w:pStyle w:val="9"/>
        <w:tabs>
          <w:tab w:val="right" w:leader="dot" w:pos="9016"/>
        </w:tabs>
        <w:spacing w:before="0" w:after="0" w:line="360" w:lineRule="auto"/>
        <w:rPr>
          <w:rFonts w:asciiTheme="minorHAnsi" w:hAnsiTheme="minorHAnsi"/>
          <w:sz w:val="22"/>
        </w:rPr>
      </w:pPr>
      <w:r>
        <w:fldChar w:fldCharType="begin"/>
      </w:r>
      <w:r>
        <w:instrText xml:space="preserve"> HYPERLINK \l "_Toc256000008" </w:instrText>
      </w:r>
      <w:r>
        <w:fldChar w:fldCharType="separate"/>
      </w:r>
      <w:r>
        <w:rPr>
          <w:rStyle w:val="13"/>
          <w:rFonts w:ascii="仿宋_GB2312" w:hAnsi="仿宋_GB2312" w:eastAsia="仿宋_GB2312" w:cs="仿宋_GB2312"/>
          <w:kern w:val="36"/>
        </w:rPr>
        <w:t>2投标/响应要求</w:t>
      </w:r>
      <w:r>
        <w:tab/>
      </w:r>
      <w:r>
        <w:fldChar w:fldCharType="begin"/>
      </w:r>
      <w:r>
        <w:instrText xml:space="preserve"> PAGEREF _Toc256000008 \h </w:instrText>
      </w:r>
      <w:r>
        <w:fldChar w:fldCharType="separate"/>
      </w:r>
      <w:r>
        <w:t>2</w:t>
      </w:r>
      <w:r>
        <w:fldChar w:fldCharType="end"/>
      </w:r>
      <w:r>
        <w:fldChar w:fldCharType="end"/>
      </w:r>
    </w:p>
    <w:p w14:paraId="14B97F27">
      <w:pPr>
        <w:pStyle w:val="10"/>
        <w:tabs>
          <w:tab w:val="right" w:leader="dot" w:pos="9016"/>
        </w:tabs>
        <w:spacing w:before="0" w:after="0" w:line="360" w:lineRule="auto"/>
        <w:rPr>
          <w:rFonts w:asciiTheme="minorHAnsi" w:hAnsiTheme="minorHAnsi"/>
          <w:sz w:val="22"/>
        </w:rPr>
      </w:pPr>
      <w:r>
        <w:fldChar w:fldCharType="begin"/>
      </w:r>
      <w:r>
        <w:instrText xml:space="preserve"> HYPERLINK \l "_Toc256000009" </w:instrText>
      </w:r>
      <w:r>
        <w:fldChar w:fldCharType="separate"/>
      </w:r>
      <w:r>
        <w:rPr>
          <w:rStyle w:val="13"/>
          <w:rFonts w:ascii="仿宋_GB2312" w:hAnsi="仿宋_GB2312" w:eastAsia="仿宋_GB2312" w:cs="仿宋_GB2312"/>
        </w:rPr>
        <w:t>2.1对供应商的要求</w:t>
      </w:r>
      <w:r>
        <w:tab/>
      </w:r>
      <w:r>
        <w:fldChar w:fldCharType="begin"/>
      </w:r>
      <w:r>
        <w:instrText xml:space="preserve"> PAGEREF _Toc256000009 \h </w:instrText>
      </w:r>
      <w:r>
        <w:fldChar w:fldCharType="separate"/>
      </w:r>
      <w:r>
        <w:t>2</w:t>
      </w:r>
      <w:r>
        <w:fldChar w:fldCharType="end"/>
      </w:r>
      <w:r>
        <w:fldChar w:fldCharType="end"/>
      </w:r>
    </w:p>
    <w:p w14:paraId="1573751B">
      <w:pPr>
        <w:pStyle w:val="6"/>
        <w:tabs>
          <w:tab w:val="right" w:leader="dot" w:pos="9016"/>
        </w:tabs>
        <w:spacing w:before="0" w:after="0" w:line="360" w:lineRule="auto"/>
        <w:rPr>
          <w:rFonts w:asciiTheme="minorHAnsi" w:hAnsiTheme="minorHAnsi"/>
          <w:sz w:val="22"/>
        </w:rPr>
      </w:pPr>
      <w:r>
        <w:fldChar w:fldCharType="begin"/>
      </w:r>
      <w:r>
        <w:instrText xml:space="preserve"> HYPERLINK \l "_Toc256000010" </w:instrText>
      </w:r>
      <w:r>
        <w:fldChar w:fldCharType="separate"/>
      </w:r>
      <w:r>
        <w:rPr>
          <w:rStyle w:val="13"/>
          <w:rFonts w:ascii="仿宋_GB2312" w:hAnsi="仿宋_GB2312" w:eastAsia="仿宋_GB2312" w:cs="仿宋_GB2312"/>
        </w:rPr>
        <w:t>2.1.1必备资质</w:t>
      </w:r>
      <w:r>
        <w:tab/>
      </w:r>
      <w:r>
        <w:fldChar w:fldCharType="begin"/>
      </w:r>
      <w:r>
        <w:instrText xml:space="preserve"> PAGEREF _Toc256000010 \h </w:instrText>
      </w:r>
      <w:r>
        <w:fldChar w:fldCharType="separate"/>
      </w:r>
      <w:r>
        <w:t>2</w:t>
      </w:r>
      <w:r>
        <w:fldChar w:fldCharType="end"/>
      </w:r>
      <w:r>
        <w:fldChar w:fldCharType="end"/>
      </w:r>
    </w:p>
    <w:p w14:paraId="17C9A788">
      <w:pPr>
        <w:pStyle w:val="6"/>
        <w:tabs>
          <w:tab w:val="right" w:leader="dot" w:pos="9016"/>
        </w:tabs>
        <w:spacing w:before="0" w:after="0" w:line="360" w:lineRule="auto"/>
        <w:rPr>
          <w:rFonts w:asciiTheme="minorHAnsi" w:hAnsiTheme="minorHAnsi"/>
          <w:sz w:val="22"/>
        </w:rPr>
      </w:pPr>
      <w:r>
        <w:fldChar w:fldCharType="begin"/>
      </w:r>
      <w:r>
        <w:instrText xml:space="preserve"> HYPERLINK \l "_Toc256000012" </w:instrText>
      </w:r>
      <w:r>
        <w:fldChar w:fldCharType="separate"/>
      </w:r>
      <w:r>
        <w:rPr>
          <w:rStyle w:val="13"/>
          <w:rFonts w:ascii="仿宋_GB2312" w:hAnsi="仿宋_GB2312" w:eastAsia="仿宋_GB2312" w:cs="仿宋_GB2312"/>
        </w:rPr>
        <w:t>2.1.2优选资质/优选指标</w:t>
      </w:r>
      <w:r>
        <w:tab/>
      </w:r>
      <w:r>
        <w:fldChar w:fldCharType="begin"/>
      </w:r>
      <w:r>
        <w:instrText xml:space="preserve"> PAGEREF _Toc256000012 \h </w:instrText>
      </w:r>
      <w:r>
        <w:fldChar w:fldCharType="separate"/>
      </w:r>
      <w:r>
        <w:t>2</w:t>
      </w:r>
      <w:r>
        <w:fldChar w:fldCharType="end"/>
      </w:r>
      <w:r>
        <w:fldChar w:fldCharType="end"/>
      </w:r>
    </w:p>
    <w:p w14:paraId="79F02857">
      <w:pPr>
        <w:pStyle w:val="6"/>
        <w:tabs>
          <w:tab w:val="right" w:leader="dot" w:pos="9016"/>
        </w:tabs>
        <w:spacing w:before="0" w:after="0" w:line="360" w:lineRule="auto"/>
        <w:rPr>
          <w:rFonts w:asciiTheme="minorHAnsi" w:hAnsiTheme="minorHAnsi"/>
          <w:sz w:val="22"/>
        </w:rPr>
      </w:pPr>
      <w:r>
        <w:fldChar w:fldCharType="begin"/>
      </w:r>
      <w:r>
        <w:instrText xml:space="preserve"> HYPERLINK \l "_Toc256000013" </w:instrText>
      </w:r>
      <w:r>
        <w:fldChar w:fldCharType="separate"/>
      </w:r>
      <w:r>
        <w:rPr>
          <w:rStyle w:val="13"/>
          <w:rFonts w:ascii="仿宋_GB2312" w:hAnsi="仿宋_GB2312" w:eastAsia="仿宋_GB2312" w:cs="仿宋_GB2312"/>
        </w:rPr>
        <w:t>2.1.3是否允许联合体</w:t>
      </w:r>
      <w:r>
        <w:tab/>
      </w:r>
      <w:r>
        <w:fldChar w:fldCharType="begin"/>
      </w:r>
      <w:r>
        <w:instrText xml:space="preserve"> PAGEREF _Toc256000013 \h </w:instrText>
      </w:r>
      <w:r>
        <w:fldChar w:fldCharType="separate"/>
      </w:r>
      <w:r>
        <w:t>2</w:t>
      </w:r>
      <w:r>
        <w:fldChar w:fldCharType="end"/>
      </w:r>
      <w:r>
        <w:fldChar w:fldCharType="end"/>
      </w:r>
    </w:p>
    <w:p w14:paraId="32712895">
      <w:pPr>
        <w:pStyle w:val="6"/>
        <w:tabs>
          <w:tab w:val="right" w:leader="dot" w:pos="9016"/>
        </w:tabs>
        <w:spacing w:before="0" w:after="0" w:line="360" w:lineRule="auto"/>
        <w:rPr>
          <w:rFonts w:asciiTheme="minorHAnsi" w:hAnsiTheme="minorHAnsi"/>
          <w:sz w:val="22"/>
        </w:rPr>
      </w:pPr>
      <w:r>
        <w:fldChar w:fldCharType="begin"/>
      </w:r>
      <w:r>
        <w:instrText xml:space="preserve"> HYPERLINK \l "_Toc256000014" </w:instrText>
      </w:r>
      <w:r>
        <w:fldChar w:fldCharType="separate"/>
      </w:r>
      <w:r>
        <w:rPr>
          <w:rStyle w:val="13"/>
          <w:rFonts w:ascii="仿宋_GB2312" w:hAnsi="仿宋_GB2312" w:eastAsia="仿宋_GB2312" w:cs="仿宋_GB2312"/>
        </w:rPr>
        <w:t>2.1.4是否专门面向中小企业</w:t>
      </w:r>
      <w:r>
        <w:tab/>
      </w:r>
      <w:r>
        <w:fldChar w:fldCharType="begin"/>
      </w:r>
      <w:r>
        <w:instrText xml:space="preserve"> PAGEREF _Toc256000014 \h </w:instrText>
      </w:r>
      <w:r>
        <w:fldChar w:fldCharType="separate"/>
      </w:r>
      <w:r>
        <w:t>2</w:t>
      </w:r>
      <w:r>
        <w:fldChar w:fldCharType="end"/>
      </w:r>
      <w:r>
        <w:fldChar w:fldCharType="end"/>
      </w:r>
    </w:p>
    <w:p w14:paraId="01BB576D">
      <w:pPr>
        <w:pStyle w:val="6"/>
        <w:tabs>
          <w:tab w:val="right" w:leader="dot" w:pos="9016"/>
        </w:tabs>
        <w:spacing w:before="0" w:after="0" w:line="360" w:lineRule="auto"/>
        <w:rPr>
          <w:rFonts w:asciiTheme="minorHAnsi" w:hAnsiTheme="minorHAnsi"/>
          <w:sz w:val="22"/>
        </w:rPr>
      </w:pPr>
      <w:r>
        <w:fldChar w:fldCharType="begin"/>
      </w:r>
      <w:r>
        <w:instrText xml:space="preserve"> HYPERLINK \l "_Toc256000015" </w:instrText>
      </w:r>
      <w:r>
        <w:fldChar w:fldCharType="separate"/>
      </w:r>
      <w:r>
        <w:rPr>
          <w:rStyle w:val="13"/>
          <w:rFonts w:ascii="仿宋_GB2312" w:hAnsi="仿宋_GB2312" w:eastAsia="仿宋_GB2312" w:cs="仿宋_GB2312"/>
        </w:rPr>
        <w:t>2.1.5其他要求</w:t>
      </w:r>
      <w:r>
        <w:tab/>
      </w:r>
      <w:r>
        <w:fldChar w:fldCharType="begin"/>
      </w:r>
      <w:r>
        <w:instrText xml:space="preserve"> PAGEREF _Toc256000015 \h </w:instrText>
      </w:r>
      <w:r>
        <w:fldChar w:fldCharType="separate"/>
      </w:r>
      <w:r>
        <w:t>3</w:t>
      </w:r>
      <w:r>
        <w:fldChar w:fldCharType="end"/>
      </w:r>
      <w:r>
        <w:fldChar w:fldCharType="end"/>
      </w:r>
    </w:p>
    <w:p w14:paraId="184E7706">
      <w:pPr>
        <w:pStyle w:val="10"/>
        <w:tabs>
          <w:tab w:val="right" w:leader="dot" w:pos="9016"/>
        </w:tabs>
        <w:spacing w:before="0" w:after="0" w:line="360" w:lineRule="auto"/>
        <w:rPr>
          <w:rFonts w:asciiTheme="minorHAnsi" w:hAnsiTheme="minorHAnsi"/>
          <w:sz w:val="22"/>
        </w:rPr>
      </w:pPr>
      <w:r>
        <w:fldChar w:fldCharType="begin"/>
      </w:r>
      <w:r>
        <w:instrText xml:space="preserve"> HYPERLINK \l "_Toc256000016" </w:instrText>
      </w:r>
      <w:r>
        <w:fldChar w:fldCharType="separate"/>
      </w:r>
      <w:r>
        <w:rPr>
          <w:rStyle w:val="13"/>
          <w:rFonts w:ascii="仿宋_GB2312" w:hAnsi="仿宋_GB2312" w:eastAsia="仿宋_GB2312" w:cs="仿宋_GB2312"/>
        </w:rPr>
        <w:t>2.2技术部分投标/响应内容</w:t>
      </w:r>
      <w:r>
        <w:tab/>
      </w:r>
      <w:r>
        <w:fldChar w:fldCharType="begin"/>
      </w:r>
      <w:r>
        <w:instrText xml:space="preserve"> PAGEREF _Toc256000016 \h </w:instrText>
      </w:r>
      <w:r>
        <w:fldChar w:fldCharType="separate"/>
      </w:r>
      <w:r>
        <w:t>3</w:t>
      </w:r>
      <w:r>
        <w:fldChar w:fldCharType="end"/>
      </w:r>
      <w:r>
        <w:fldChar w:fldCharType="end"/>
      </w:r>
    </w:p>
    <w:p w14:paraId="452F98F4">
      <w:pPr>
        <w:pStyle w:val="6"/>
        <w:tabs>
          <w:tab w:val="right" w:leader="dot" w:pos="9016"/>
        </w:tabs>
        <w:spacing w:before="0" w:after="0" w:line="360" w:lineRule="auto"/>
        <w:rPr>
          <w:rFonts w:asciiTheme="minorHAnsi" w:hAnsiTheme="minorHAnsi"/>
          <w:sz w:val="22"/>
        </w:rPr>
      </w:pPr>
      <w:r>
        <w:fldChar w:fldCharType="begin"/>
      </w:r>
      <w:r>
        <w:instrText xml:space="preserve"> HYPERLINK \l "_Toc256000017" </w:instrText>
      </w:r>
      <w:r>
        <w:fldChar w:fldCharType="separate"/>
      </w:r>
      <w:r>
        <w:rPr>
          <w:rStyle w:val="13"/>
          <w:rFonts w:ascii="仿宋_GB2312" w:hAnsi="仿宋_GB2312" w:eastAsia="仿宋_GB2312" w:cs="仿宋_GB2312"/>
        </w:rPr>
        <w:t>2.2.1技术投标/响应总要求</w:t>
      </w:r>
      <w:r>
        <w:tab/>
      </w:r>
      <w:r>
        <w:fldChar w:fldCharType="begin"/>
      </w:r>
      <w:r>
        <w:instrText xml:space="preserve"> PAGEREF _Toc256000017 \h </w:instrText>
      </w:r>
      <w:r>
        <w:fldChar w:fldCharType="separate"/>
      </w:r>
      <w:r>
        <w:t>3</w:t>
      </w:r>
      <w:r>
        <w:fldChar w:fldCharType="end"/>
      </w:r>
      <w:r>
        <w:fldChar w:fldCharType="end"/>
      </w:r>
    </w:p>
    <w:p w14:paraId="5BD2BF4F">
      <w:pPr>
        <w:pStyle w:val="6"/>
        <w:tabs>
          <w:tab w:val="right" w:leader="dot" w:pos="9016"/>
        </w:tabs>
        <w:spacing w:before="0" w:after="0" w:line="360" w:lineRule="auto"/>
        <w:rPr>
          <w:rFonts w:asciiTheme="minorHAnsi" w:hAnsiTheme="minorHAnsi"/>
          <w:sz w:val="22"/>
        </w:rPr>
      </w:pPr>
      <w:r>
        <w:fldChar w:fldCharType="begin"/>
      </w:r>
      <w:r>
        <w:instrText xml:space="preserve"> HYPERLINK \l "_Toc256000018" </w:instrText>
      </w:r>
      <w:r>
        <w:fldChar w:fldCharType="separate"/>
      </w:r>
      <w:r>
        <w:rPr>
          <w:rStyle w:val="13"/>
          <w:rFonts w:ascii="仿宋_GB2312" w:hAnsi="仿宋_GB2312" w:eastAsia="仿宋_GB2312" w:cs="仿宋_GB2312"/>
        </w:rPr>
        <w:t>2.2.2投标/响应方案要求</w:t>
      </w:r>
      <w:r>
        <w:tab/>
      </w:r>
      <w:r>
        <w:fldChar w:fldCharType="begin"/>
      </w:r>
      <w:r>
        <w:instrText xml:space="preserve"> PAGEREF _Toc256000018 \h </w:instrText>
      </w:r>
      <w:r>
        <w:fldChar w:fldCharType="separate"/>
      </w:r>
      <w:r>
        <w:t>3</w:t>
      </w:r>
      <w:r>
        <w:fldChar w:fldCharType="end"/>
      </w:r>
      <w:r>
        <w:fldChar w:fldCharType="end"/>
      </w:r>
    </w:p>
    <w:p w14:paraId="785EB41E">
      <w:pPr>
        <w:pStyle w:val="9"/>
        <w:tabs>
          <w:tab w:val="right" w:leader="dot" w:pos="9016"/>
        </w:tabs>
        <w:spacing w:before="0" w:after="0" w:line="360" w:lineRule="auto"/>
        <w:rPr>
          <w:rFonts w:asciiTheme="minorHAnsi" w:hAnsiTheme="minorHAnsi"/>
          <w:sz w:val="22"/>
        </w:rPr>
      </w:pPr>
      <w:r>
        <w:fldChar w:fldCharType="begin"/>
      </w:r>
      <w:r>
        <w:instrText xml:space="preserve"> HYPERLINK \l "_Toc256000019" </w:instrText>
      </w:r>
      <w:r>
        <w:fldChar w:fldCharType="separate"/>
      </w:r>
      <w:r>
        <w:rPr>
          <w:rStyle w:val="13"/>
          <w:rFonts w:ascii="仿宋_GB2312" w:hAnsi="仿宋_GB2312" w:eastAsia="仿宋_GB2312" w:cs="仿宋_GB2312"/>
          <w:kern w:val="36"/>
        </w:rPr>
        <w:t>3项目需求</w:t>
      </w:r>
      <w:r>
        <w:tab/>
      </w:r>
      <w:r>
        <w:fldChar w:fldCharType="begin"/>
      </w:r>
      <w:r>
        <w:instrText xml:space="preserve"> PAGEREF _Toc256000019 \h </w:instrText>
      </w:r>
      <w:r>
        <w:fldChar w:fldCharType="separate"/>
      </w:r>
      <w:r>
        <w:t>4</w:t>
      </w:r>
      <w:r>
        <w:fldChar w:fldCharType="end"/>
      </w:r>
      <w:r>
        <w:fldChar w:fldCharType="end"/>
      </w:r>
    </w:p>
    <w:p w14:paraId="171E49A2">
      <w:pPr>
        <w:pStyle w:val="10"/>
        <w:tabs>
          <w:tab w:val="right" w:leader="dot" w:pos="9016"/>
        </w:tabs>
        <w:spacing w:before="0" w:after="0" w:line="360" w:lineRule="auto"/>
        <w:rPr>
          <w:rFonts w:asciiTheme="minorHAnsi" w:hAnsiTheme="minorHAnsi"/>
          <w:sz w:val="22"/>
        </w:rPr>
      </w:pPr>
      <w:r>
        <w:fldChar w:fldCharType="begin"/>
      </w:r>
      <w:r>
        <w:instrText xml:space="preserve"> HYPERLINK \l "_Toc256000020" </w:instrText>
      </w:r>
      <w:r>
        <w:fldChar w:fldCharType="separate"/>
      </w:r>
      <w:r>
        <w:rPr>
          <w:rStyle w:val="13"/>
          <w:rFonts w:ascii="仿宋_GB2312" w:hAnsi="仿宋_GB2312" w:eastAsia="仿宋_GB2312" w:cs="仿宋_GB2312"/>
        </w:rPr>
        <w:t>3.1总体要求</w:t>
      </w:r>
      <w:r>
        <w:tab/>
      </w:r>
      <w:r>
        <w:fldChar w:fldCharType="begin"/>
      </w:r>
      <w:r>
        <w:instrText xml:space="preserve"> PAGEREF _Toc256000020 \h </w:instrText>
      </w:r>
      <w:r>
        <w:fldChar w:fldCharType="separate"/>
      </w:r>
      <w:r>
        <w:t>4</w:t>
      </w:r>
      <w:r>
        <w:fldChar w:fldCharType="end"/>
      </w:r>
      <w:r>
        <w:fldChar w:fldCharType="end"/>
      </w:r>
    </w:p>
    <w:p w14:paraId="0FE9ED6D">
      <w:pPr>
        <w:pStyle w:val="10"/>
        <w:tabs>
          <w:tab w:val="right" w:leader="dot" w:pos="9016"/>
        </w:tabs>
        <w:spacing w:before="0" w:after="0" w:line="360" w:lineRule="auto"/>
        <w:rPr>
          <w:rFonts w:asciiTheme="minorHAnsi" w:hAnsiTheme="minorHAnsi"/>
          <w:sz w:val="22"/>
        </w:rPr>
      </w:pPr>
      <w:r>
        <w:fldChar w:fldCharType="begin"/>
      </w:r>
      <w:r>
        <w:instrText xml:space="preserve"> HYPERLINK \l "_Toc256000021" </w:instrText>
      </w:r>
      <w:r>
        <w:fldChar w:fldCharType="separate"/>
      </w:r>
      <w:r>
        <w:rPr>
          <w:rStyle w:val="13"/>
          <w:rFonts w:ascii="仿宋_GB2312" w:hAnsi="仿宋_GB2312" w:eastAsia="仿宋_GB2312" w:cs="仿宋_GB2312"/>
        </w:rPr>
        <w:t>3.2采购产品一览表</w:t>
      </w:r>
      <w:r>
        <w:tab/>
      </w:r>
      <w:r>
        <w:fldChar w:fldCharType="begin"/>
      </w:r>
      <w:r>
        <w:instrText xml:space="preserve"> PAGEREF _Toc256000021 \h </w:instrText>
      </w:r>
      <w:r>
        <w:fldChar w:fldCharType="separate"/>
      </w:r>
      <w:r>
        <w:t>4</w:t>
      </w:r>
      <w:r>
        <w:fldChar w:fldCharType="end"/>
      </w:r>
      <w:r>
        <w:fldChar w:fldCharType="end"/>
      </w:r>
    </w:p>
    <w:p w14:paraId="0F28C74B">
      <w:pPr>
        <w:pStyle w:val="10"/>
        <w:tabs>
          <w:tab w:val="right" w:leader="dot" w:pos="9016"/>
        </w:tabs>
        <w:spacing w:before="0" w:after="0" w:line="360" w:lineRule="auto"/>
        <w:rPr>
          <w:rFonts w:asciiTheme="minorHAnsi" w:hAnsiTheme="minorHAnsi"/>
          <w:sz w:val="22"/>
        </w:rPr>
      </w:pPr>
      <w:r>
        <w:fldChar w:fldCharType="begin"/>
      </w:r>
      <w:r>
        <w:instrText xml:space="preserve"> HYPERLINK \l "_Toc256000022" </w:instrText>
      </w:r>
      <w:r>
        <w:fldChar w:fldCharType="separate"/>
      </w:r>
      <w:r>
        <w:rPr>
          <w:rStyle w:val="13"/>
          <w:rFonts w:ascii="仿宋_GB2312" w:hAnsi="仿宋_GB2312" w:eastAsia="仿宋_GB2312" w:cs="仿宋_GB2312"/>
        </w:rPr>
        <w:t>3.3采购产品详细清单及技术指标</w:t>
      </w:r>
      <w:r>
        <w:tab/>
      </w:r>
      <w:r>
        <w:fldChar w:fldCharType="begin"/>
      </w:r>
      <w:r>
        <w:instrText xml:space="preserve"> PAGEREF _Toc256000022 \h </w:instrText>
      </w:r>
      <w:r>
        <w:fldChar w:fldCharType="separate"/>
      </w:r>
      <w:r>
        <w:t>4</w:t>
      </w:r>
      <w:r>
        <w:fldChar w:fldCharType="end"/>
      </w:r>
      <w:r>
        <w:fldChar w:fldCharType="end"/>
      </w:r>
    </w:p>
    <w:p w14:paraId="217FEF1D">
      <w:pPr>
        <w:pStyle w:val="10"/>
        <w:tabs>
          <w:tab w:val="right" w:leader="dot" w:pos="9016"/>
        </w:tabs>
        <w:spacing w:before="0" w:after="0" w:line="360" w:lineRule="auto"/>
        <w:rPr>
          <w:rFonts w:asciiTheme="minorHAnsi" w:hAnsiTheme="minorHAnsi"/>
          <w:sz w:val="22"/>
        </w:rPr>
      </w:pPr>
      <w:r>
        <w:fldChar w:fldCharType="begin"/>
      </w:r>
      <w:r>
        <w:instrText xml:space="preserve"> HYPERLINK \l "_Toc256000023" </w:instrText>
      </w:r>
      <w:r>
        <w:fldChar w:fldCharType="separate"/>
      </w:r>
      <w:r>
        <w:rPr>
          <w:rStyle w:val="13"/>
          <w:rFonts w:ascii="仿宋_GB2312" w:hAnsi="仿宋_GB2312" w:eastAsia="仿宋_GB2312" w:cs="仿宋_GB2312"/>
        </w:rPr>
        <w:t>3.4服务要求</w:t>
      </w:r>
      <w:r>
        <w:tab/>
      </w:r>
      <w:r>
        <w:fldChar w:fldCharType="begin"/>
      </w:r>
      <w:r>
        <w:instrText xml:space="preserve"> PAGEREF _Toc256000023 \h </w:instrText>
      </w:r>
      <w:r>
        <w:fldChar w:fldCharType="separate"/>
      </w:r>
      <w:r>
        <w:t>27</w:t>
      </w:r>
      <w:r>
        <w:fldChar w:fldCharType="end"/>
      </w:r>
      <w:r>
        <w:fldChar w:fldCharType="end"/>
      </w:r>
    </w:p>
    <w:p w14:paraId="67479C43">
      <w:pPr>
        <w:pStyle w:val="6"/>
        <w:tabs>
          <w:tab w:val="right" w:leader="dot" w:pos="9016"/>
        </w:tabs>
        <w:spacing w:before="0" w:after="0" w:line="360" w:lineRule="auto"/>
        <w:rPr>
          <w:rFonts w:asciiTheme="minorHAnsi" w:hAnsiTheme="minorHAnsi"/>
          <w:sz w:val="22"/>
        </w:rPr>
      </w:pPr>
      <w:r>
        <w:fldChar w:fldCharType="begin"/>
      </w:r>
      <w:r>
        <w:instrText xml:space="preserve"> HYPERLINK \l "_Toc256000024" </w:instrText>
      </w:r>
      <w:r>
        <w:fldChar w:fldCharType="separate"/>
      </w:r>
      <w:r>
        <w:rPr>
          <w:rStyle w:val="13"/>
          <w:rFonts w:ascii="仿宋_GB2312" w:hAnsi="仿宋_GB2312" w:eastAsia="仿宋_GB2312" w:cs="仿宋_GB2312"/>
        </w:rPr>
        <w:t>3.4.1系统实施服务</w:t>
      </w:r>
      <w:r>
        <w:tab/>
      </w:r>
      <w:r>
        <w:fldChar w:fldCharType="begin"/>
      </w:r>
      <w:r>
        <w:instrText xml:space="preserve"> PAGEREF _Toc256000024 \h </w:instrText>
      </w:r>
      <w:r>
        <w:fldChar w:fldCharType="separate"/>
      </w:r>
      <w:r>
        <w:t>27</w:t>
      </w:r>
      <w:r>
        <w:fldChar w:fldCharType="end"/>
      </w:r>
      <w:r>
        <w:fldChar w:fldCharType="end"/>
      </w:r>
    </w:p>
    <w:p w14:paraId="4C457133">
      <w:pPr>
        <w:pStyle w:val="6"/>
        <w:tabs>
          <w:tab w:val="right" w:leader="dot" w:pos="9016"/>
        </w:tabs>
        <w:spacing w:before="0" w:after="0" w:line="360" w:lineRule="auto"/>
        <w:rPr>
          <w:rFonts w:asciiTheme="minorHAnsi" w:hAnsiTheme="minorHAnsi"/>
          <w:sz w:val="22"/>
        </w:rPr>
      </w:pPr>
      <w:r>
        <w:fldChar w:fldCharType="begin"/>
      </w:r>
      <w:r>
        <w:instrText xml:space="preserve"> HYPERLINK \l "_Toc256000025" </w:instrText>
      </w:r>
      <w:r>
        <w:fldChar w:fldCharType="separate"/>
      </w:r>
      <w:r>
        <w:rPr>
          <w:rStyle w:val="13"/>
          <w:rFonts w:ascii="仿宋_GB2312" w:hAnsi="仿宋_GB2312" w:eastAsia="仿宋_GB2312" w:cs="仿宋_GB2312"/>
        </w:rPr>
        <w:t>3.4.2售后服务要求</w:t>
      </w:r>
      <w:r>
        <w:tab/>
      </w:r>
      <w:r>
        <w:fldChar w:fldCharType="begin"/>
      </w:r>
      <w:r>
        <w:instrText xml:space="preserve"> PAGEREF _Toc256000025 \h </w:instrText>
      </w:r>
      <w:r>
        <w:fldChar w:fldCharType="separate"/>
      </w:r>
      <w:r>
        <w:t>27</w:t>
      </w:r>
      <w:r>
        <w:fldChar w:fldCharType="end"/>
      </w:r>
      <w:r>
        <w:fldChar w:fldCharType="end"/>
      </w:r>
    </w:p>
    <w:p w14:paraId="571A83A3">
      <w:pPr>
        <w:pStyle w:val="10"/>
        <w:tabs>
          <w:tab w:val="right" w:leader="dot" w:pos="9016"/>
        </w:tabs>
        <w:spacing w:before="0" w:after="0" w:line="360" w:lineRule="auto"/>
        <w:rPr>
          <w:rFonts w:asciiTheme="minorHAnsi" w:hAnsiTheme="minorHAnsi"/>
          <w:sz w:val="22"/>
        </w:rPr>
      </w:pPr>
      <w:r>
        <w:fldChar w:fldCharType="begin"/>
      </w:r>
      <w:r>
        <w:instrText xml:space="preserve"> HYPERLINK \l "_Toc256000026" </w:instrText>
      </w:r>
      <w:r>
        <w:fldChar w:fldCharType="separate"/>
      </w:r>
      <w:r>
        <w:rPr>
          <w:rStyle w:val="13"/>
          <w:rFonts w:ascii="仿宋_GB2312" w:hAnsi="仿宋_GB2312" w:eastAsia="仿宋_GB2312" w:cs="仿宋_GB2312"/>
        </w:rPr>
        <w:t>3.5其他要求</w:t>
      </w:r>
      <w:r>
        <w:tab/>
      </w:r>
      <w:r>
        <w:fldChar w:fldCharType="begin"/>
      </w:r>
      <w:r>
        <w:instrText xml:space="preserve"> PAGEREF _Toc256000026 \h </w:instrText>
      </w:r>
      <w:r>
        <w:fldChar w:fldCharType="separate"/>
      </w:r>
      <w:r>
        <w:t>29</w:t>
      </w:r>
      <w:r>
        <w:fldChar w:fldCharType="end"/>
      </w:r>
      <w:r>
        <w:fldChar w:fldCharType="end"/>
      </w:r>
    </w:p>
    <w:p w14:paraId="43A274E9">
      <w:pPr>
        <w:pStyle w:val="9"/>
        <w:tabs>
          <w:tab w:val="right" w:leader="dot" w:pos="9016"/>
        </w:tabs>
        <w:spacing w:before="0" w:after="0" w:line="360" w:lineRule="auto"/>
        <w:rPr>
          <w:rFonts w:asciiTheme="minorHAnsi" w:hAnsiTheme="minorHAnsi"/>
          <w:sz w:val="22"/>
        </w:rPr>
      </w:pPr>
      <w:r>
        <w:fldChar w:fldCharType="begin"/>
      </w:r>
      <w:r>
        <w:instrText xml:space="preserve"> HYPERLINK \l "_Toc256000027" </w:instrText>
      </w:r>
      <w:r>
        <w:fldChar w:fldCharType="separate"/>
      </w:r>
      <w:r>
        <w:rPr>
          <w:rStyle w:val="13"/>
          <w:rFonts w:ascii="仿宋_GB2312" w:hAnsi="仿宋_GB2312" w:eastAsia="仿宋_GB2312" w:cs="仿宋_GB2312"/>
          <w:kern w:val="36"/>
        </w:rPr>
        <w:t>4人员要求</w:t>
      </w:r>
      <w:r>
        <w:tab/>
      </w:r>
      <w:r>
        <w:fldChar w:fldCharType="begin"/>
      </w:r>
      <w:r>
        <w:instrText xml:space="preserve"> PAGEREF _Toc256000027 \h </w:instrText>
      </w:r>
      <w:r>
        <w:fldChar w:fldCharType="separate"/>
      </w:r>
      <w:r>
        <w:t>29</w:t>
      </w:r>
      <w:r>
        <w:fldChar w:fldCharType="end"/>
      </w:r>
      <w:r>
        <w:fldChar w:fldCharType="end"/>
      </w:r>
    </w:p>
    <w:p w14:paraId="08BE9291">
      <w:pPr>
        <w:pStyle w:val="10"/>
        <w:tabs>
          <w:tab w:val="right" w:leader="dot" w:pos="9016"/>
        </w:tabs>
        <w:spacing w:before="0" w:after="0" w:line="360" w:lineRule="auto"/>
        <w:rPr>
          <w:rFonts w:asciiTheme="minorHAnsi" w:hAnsiTheme="minorHAnsi"/>
          <w:sz w:val="22"/>
        </w:rPr>
      </w:pPr>
      <w:r>
        <w:fldChar w:fldCharType="begin"/>
      </w:r>
      <w:r>
        <w:instrText xml:space="preserve"> HYPERLINK \l "_Toc256000028" </w:instrText>
      </w:r>
      <w:r>
        <w:fldChar w:fldCharType="separate"/>
      </w:r>
      <w:r>
        <w:rPr>
          <w:rStyle w:val="13"/>
          <w:rFonts w:ascii="仿宋_GB2312" w:hAnsi="仿宋_GB2312" w:eastAsia="仿宋_GB2312" w:cs="仿宋_GB2312"/>
        </w:rPr>
        <w:t>4.1团队要求</w:t>
      </w:r>
      <w:r>
        <w:tab/>
      </w:r>
      <w:r>
        <w:fldChar w:fldCharType="begin"/>
      </w:r>
      <w:r>
        <w:instrText xml:space="preserve"> PAGEREF _Toc256000028 \h </w:instrText>
      </w:r>
      <w:r>
        <w:fldChar w:fldCharType="separate"/>
      </w:r>
      <w:r>
        <w:t>29</w:t>
      </w:r>
      <w:r>
        <w:fldChar w:fldCharType="end"/>
      </w:r>
      <w:r>
        <w:fldChar w:fldCharType="end"/>
      </w:r>
    </w:p>
    <w:p w14:paraId="1E6CFD35">
      <w:pPr>
        <w:pStyle w:val="6"/>
        <w:tabs>
          <w:tab w:val="right" w:leader="dot" w:pos="9016"/>
        </w:tabs>
        <w:spacing w:before="0" w:after="0" w:line="360" w:lineRule="auto"/>
        <w:rPr>
          <w:rFonts w:asciiTheme="minorHAnsi" w:hAnsiTheme="minorHAnsi"/>
          <w:sz w:val="22"/>
        </w:rPr>
      </w:pPr>
      <w:r>
        <w:fldChar w:fldCharType="begin"/>
      </w:r>
      <w:r>
        <w:instrText xml:space="preserve"> HYPERLINK \l "_Toc256000029" </w:instrText>
      </w:r>
      <w:r>
        <w:fldChar w:fldCharType="separate"/>
      </w:r>
      <w:r>
        <w:rPr>
          <w:rStyle w:val="13"/>
          <w:rFonts w:ascii="仿宋_GB2312" w:hAnsi="仿宋_GB2312" w:eastAsia="仿宋_GB2312" w:cs="仿宋_GB2312"/>
        </w:rPr>
        <w:t>4.1.1基本要求</w:t>
      </w:r>
      <w:r>
        <w:tab/>
      </w:r>
      <w:r>
        <w:fldChar w:fldCharType="begin"/>
      </w:r>
      <w:r>
        <w:instrText xml:space="preserve"> PAGEREF _Toc256000029 \h </w:instrText>
      </w:r>
      <w:r>
        <w:fldChar w:fldCharType="separate"/>
      </w:r>
      <w:r>
        <w:t>29</w:t>
      </w:r>
      <w:r>
        <w:fldChar w:fldCharType="end"/>
      </w:r>
      <w:r>
        <w:fldChar w:fldCharType="end"/>
      </w:r>
    </w:p>
    <w:p w14:paraId="33162802">
      <w:pPr>
        <w:pStyle w:val="6"/>
        <w:tabs>
          <w:tab w:val="right" w:leader="dot" w:pos="9016"/>
        </w:tabs>
        <w:spacing w:before="0" w:after="0" w:line="360" w:lineRule="auto"/>
        <w:rPr>
          <w:rFonts w:asciiTheme="minorHAnsi" w:hAnsiTheme="minorHAnsi"/>
          <w:sz w:val="22"/>
        </w:rPr>
      </w:pPr>
      <w:r>
        <w:fldChar w:fldCharType="begin"/>
      </w:r>
      <w:r>
        <w:instrText xml:space="preserve"> HYPERLINK \l "_Toc256000030" </w:instrText>
      </w:r>
      <w:r>
        <w:fldChar w:fldCharType="separate"/>
      </w:r>
      <w:r>
        <w:rPr>
          <w:rStyle w:val="13"/>
          <w:rFonts w:ascii="仿宋_GB2312" w:hAnsi="仿宋_GB2312" w:eastAsia="仿宋_GB2312" w:cs="仿宋_GB2312"/>
        </w:rPr>
        <w:t>4.1.2优选资质/优选指标</w:t>
      </w:r>
      <w:r>
        <w:tab/>
      </w:r>
      <w:r>
        <w:fldChar w:fldCharType="begin"/>
      </w:r>
      <w:r>
        <w:instrText xml:space="preserve"> PAGEREF _Toc256000030 \h </w:instrText>
      </w:r>
      <w:r>
        <w:fldChar w:fldCharType="separate"/>
      </w:r>
      <w:r>
        <w:t>29</w:t>
      </w:r>
      <w:r>
        <w:fldChar w:fldCharType="end"/>
      </w:r>
      <w:r>
        <w:fldChar w:fldCharType="end"/>
      </w:r>
    </w:p>
    <w:p w14:paraId="56E9ECD5">
      <w:pPr>
        <w:pStyle w:val="9"/>
        <w:tabs>
          <w:tab w:val="right" w:leader="dot" w:pos="9016"/>
        </w:tabs>
        <w:spacing w:before="0" w:after="0" w:line="360" w:lineRule="auto"/>
        <w:rPr>
          <w:rFonts w:asciiTheme="minorHAnsi" w:hAnsiTheme="minorHAnsi"/>
          <w:sz w:val="22"/>
        </w:rPr>
      </w:pPr>
      <w:r>
        <w:fldChar w:fldCharType="begin"/>
      </w:r>
      <w:r>
        <w:instrText xml:space="preserve"> HYPERLINK \l "_Toc256000031" </w:instrText>
      </w:r>
      <w:r>
        <w:fldChar w:fldCharType="separate"/>
      </w:r>
      <w:r>
        <w:rPr>
          <w:rStyle w:val="13"/>
          <w:rFonts w:ascii="仿宋_GB2312" w:hAnsi="仿宋_GB2312" w:eastAsia="仿宋_GB2312" w:cs="仿宋_GB2312"/>
          <w:kern w:val="36"/>
        </w:rPr>
        <w:t>5管理实施要求</w:t>
      </w:r>
      <w:r>
        <w:tab/>
      </w:r>
      <w:r>
        <w:fldChar w:fldCharType="begin"/>
      </w:r>
      <w:r>
        <w:instrText xml:space="preserve"> PAGEREF _Toc256000031 \h </w:instrText>
      </w:r>
      <w:r>
        <w:fldChar w:fldCharType="separate"/>
      </w:r>
      <w:r>
        <w:t>29</w:t>
      </w:r>
      <w:r>
        <w:fldChar w:fldCharType="end"/>
      </w:r>
      <w:r>
        <w:fldChar w:fldCharType="end"/>
      </w:r>
    </w:p>
    <w:p w14:paraId="237E89A5">
      <w:pPr>
        <w:pStyle w:val="9"/>
        <w:tabs>
          <w:tab w:val="right" w:leader="dot" w:pos="9016"/>
        </w:tabs>
        <w:spacing w:before="0" w:after="0" w:line="360" w:lineRule="auto"/>
        <w:rPr>
          <w:rFonts w:asciiTheme="minorHAnsi" w:hAnsiTheme="minorHAnsi"/>
          <w:sz w:val="22"/>
        </w:rPr>
      </w:pPr>
      <w:r>
        <w:fldChar w:fldCharType="begin"/>
      </w:r>
      <w:r>
        <w:instrText xml:space="preserve"> HYPERLINK \l "_Toc256000032" </w:instrText>
      </w:r>
      <w:r>
        <w:fldChar w:fldCharType="separate"/>
      </w:r>
      <w:r>
        <w:rPr>
          <w:rStyle w:val="13"/>
          <w:rFonts w:ascii="仿宋_GB2312" w:hAnsi="仿宋_GB2312" w:eastAsia="仿宋_GB2312" w:cs="仿宋_GB2312"/>
          <w:kern w:val="36"/>
        </w:rPr>
        <w:t>6风险管控要求</w:t>
      </w:r>
      <w:r>
        <w:tab/>
      </w:r>
      <w:r>
        <w:fldChar w:fldCharType="begin"/>
      </w:r>
      <w:r>
        <w:instrText xml:space="preserve"> PAGEREF _Toc256000032 \h </w:instrText>
      </w:r>
      <w:r>
        <w:fldChar w:fldCharType="separate"/>
      </w:r>
      <w:r>
        <w:t>30</w:t>
      </w:r>
      <w:r>
        <w:fldChar w:fldCharType="end"/>
      </w:r>
      <w:r>
        <w:fldChar w:fldCharType="end"/>
      </w:r>
    </w:p>
    <w:p w14:paraId="002FCAF4">
      <w:pPr>
        <w:pStyle w:val="10"/>
        <w:tabs>
          <w:tab w:val="right" w:leader="dot" w:pos="9016"/>
        </w:tabs>
        <w:spacing w:before="0" w:after="0" w:line="360" w:lineRule="auto"/>
        <w:rPr>
          <w:rFonts w:asciiTheme="minorHAnsi" w:hAnsiTheme="minorHAnsi"/>
          <w:sz w:val="22"/>
        </w:rPr>
      </w:pPr>
      <w:r>
        <w:fldChar w:fldCharType="begin"/>
      </w:r>
      <w:r>
        <w:instrText xml:space="preserve"> HYPERLINK \l "_Toc256000033" </w:instrText>
      </w:r>
      <w:r>
        <w:fldChar w:fldCharType="separate"/>
      </w:r>
      <w:r>
        <w:rPr>
          <w:rStyle w:val="13"/>
          <w:rFonts w:ascii="仿宋_GB2312" w:hAnsi="仿宋_GB2312" w:eastAsia="仿宋_GB2312" w:cs="仿宋_GB2312"/>
        </w:rPr>
        <w:t>6.1技术类风险管控</w:t>
      </w:r>
      <w:r>
        <w:tab/>
      </w:r>
      <w:r>
        <w:fldChar w:fldCharType="begin"/>
      </w:r>
      <w:r>
        <w:instrText xml:space="preserve"> PAGEREF _Toc256000033 \h </w:instrText>
      </w:r>
      <w:r>
        <w:fldChar w:fldCharType="separate"/>
      </w:r>
      <w:r>
        <w:t>30</w:t>
      </w:r>
      <w:r>
        <w:fldChar w:fldCharType="end"/>
      </w:r>
      <w:r>
        <w:fldChar w:fldCharType="end"/>
      </w:r>
    </w:p>
    <w:p w14:paraId="3D37E9F6">
      <w:pPr>
        <w:pStyle w:val="10"/>
        <w:tabs>
          <w:tab w:val="right" w:leader="dot" w:pos="9016"/>
        </w:tabs>
        <w:spacing w:before="0" w:after="0" w:line="360" w:lineRule="auto"/>
        <w:rPr>
          <w:rFonts w:asciiTheme="minorHAnsi" w:hAnsiTheme="minorHAnsi"/>
          <w:sz w:val="22"/>
        </w:rPr>
      </w:pPr>
      <w:r>
        <w:fldChar w:fldCharType="begin"/>
      </w:r>
      <w:r>
        <w:instrText xml:space="preserve"> HYPERLINK \l "_Toc256000034" </w:instrText>
      </w:r>
      <w:r>
        <w:fldChar w:fldCharType="separate"/>
      </w:r>
      <w:r>
        <w:rPr>
          <w:rStyle w:val="13"/>
          <w:rFonts w:ascii="仿宋_GB2312" w:hAnsi="仿宋_GB2312" w:eastAsia="仿宋_GB2312" w:cs="仿宋_GB2312"/>
        </w:rPr>
        <w:t>6.2违约风险管控</w:t>
      </w:r>
      <w:r>
        <w:tab/>
      </w:r>
      <w:r>
        <w:fldChar w:fldCharType="begin"/>
      </w:r>
      <w:r>
        <w:instrText xml:space="preserve"> PAGEREF _Toc256000034 \h </w:instrText>
      </w:r>
      <w:r>
        <w:fldChar w:fldCharType="separate"/>
      </w:r>
      <w:r>
        <w:t>30</w:t>
      </w:r>
      <w:r>
        <w:fldChar w:fldCharType="end"/>
      </w:r>
      <w:r>
        <w:fldChar w:fldCharType="end"/>
      </w:r>
    </w:p>
    <w:p w14:paraId="04DE3FE3">
      <w:pPr>
        <w:pStyle w:val="9"/>
        <w:tabs>
          <w:tab w:val="right" w:leader="dot" w:pos="9016"/>
        </w:tabs>
        <w:spacing w:before="0" w:after="0" w:line="360" w:lineRule="auto"/>
        <w:rPr>
          <w:rFonts w:asciiTheme="minorHAnsi" w:hAnsiTheme="minorHAnsi"/>
          <w:sz w:val="22"/>
        </w:rPr>
      </w:pPr>
      <w:r>
        <w:fldChar w:fldCharType="begin"/>
      </w:r>
      <w:r>
        <w:instrText xml:space="preserve"> HYPERLINK \l "_Toc256000035" </w:instrText>
      </w:r>
      <w:r>
        <w:fldChar w:fldCharType="separate"/>
      </w:r>
      <w:r>
        <w:rPr>
          <w:rStyle w:val="13"/>
          <w:rFonts w:ascii="仿宋_GB2312" w:hAnsi="仿宋_GB2312" w:eastAsia="仿宋_GB2312" w:cs="仿宋_GB2312"/>
          <w:kern w:val="36"/>
        </w:rPr>
        <w:t>7履约验收要求</w:t>
      </w:r>
      <w:r>
        <w:tab/>
      </w:r>
      <w:r>
        <w:fldChar w:fldCharType="begin"/>
      </w:r>
      <w:r>
        <w:instrText xml:space="preserve"> PAGEREF _Toc256000035 \h </w:instrText>
      </w:r>
      <w:r>
        <w:fldChar w:fldCharType="separate"/>
      </w:r>
      <w:r>
        <w:t>31</w:t>
      </w:r>
      <w:r>
        <w:fldChar w:fldCharType="end"/>
      </w:r>
      <w:r>
        <w:fldChar w:fldCharType="end"/>
      </w:r>
    </w:p>
    <w:p w14:paraId="09CC0A78">
      <w:pPr>
        <w:pStyle w:val="10"/>
        <w:tabs>
          <w:tab w:val="right" w:leader="dot" w:pos="9016"/>
        </w:tabs>
        <w:spacing w:before="0" w:after="0" w:line="360" w:lineRule="auto"/>
        <w:rPr>
          <w:rFonts w:asciiTheme="minorHAnsi" w:hAnsiTheme="minorHAnsi"/>
          <w:sz w:val="22"/>
        </w:rPr>
      </w:pPr>
      <w:r>
        <w:fldChar w:fldCharType="begin"/>
      </w:r>
      <w:r>
        <w:instrText xml:space="preserve"> HYPERLINK \l "_Toc256000036" </w:instrText>
      </w:r>
      <w:r>
        <w:fldChar w:fldCharType="separate"/>
      </w:r>
      <w:r>
        <w:rPr>
          <w:rStyle w:val="13"/>
          <w:rFonts w:ascii="仿宋_GB2312" w:hAnsi="仿宋_GB2312" w:eastAsia="仿宋_GB2312" w:cs="仿宋_GB2312"/>
        </w:rPr>
        <w:t>7.1总体要求</w:t>
      </w:r>
      <w:r>
        <w:tab/>
      </w:r>
      <w:r>
        <w:fldChar w:fldCharType="begin"/>
      </w:r>
      <w:r>
        <w:instrText xml:space="preserve"> PAGEREF _Toc256000036 \h </w:instrText>
      </w:r>
      <w:r>
        <w:fldChar w:fldCharType="separate"/>
      </w:r>
      <w:r>
        <w:t>31</w:t>
      </w:r>
      <w:r>
        <w:fldChar w:fldCharType="end"/>
      </w:r>
      <w:r>
        <w:fldChar w:fldCharType="end"/>
      </w:r>
    </w:p>
    <w:p w14:paraId="29FFA3FF">
      <w:pPr>
        <w:pStyle w:val="10"/>
        <w:tabs>
          <w:tab w:val="right" w:leader="dot" w:pos="9016"/>
        </w:tabs>
        <w:spacing w:before="0" w:after="0" w:line="360" w:lineRule="auto"/>
        <w:rPr>
          <w:rFonts w:asciiTheme="minorHAnsi" w:hAnsiTheme="minorHAnsi"/>
          <w:sz w:val="22"/>
        </w:rPr>
      </w:pPr>
      <w:r>
        <w:fldChar w:fldCharType="begin"/>
      </w:r>
      <w:r>
        <w:instrText xml:space="preserve"> HYPERLINK \l "_Toc256000037" </w:instrText>
      </w:r>
      <w:r>
        <w:fldChar w:fldCharType="separate"/>
      </w:r>
      <w:r>
        <w:rPr>
          <w:rStyle w:val="13"/>
          <w:rFonts w:ascii="仿宋_GB2312" w:hAnsi="仿宋_GB2312" w:eastAsia="仿宋_GB2312" w:cs="仿宋_GB2312"/>
        </w:rPr>
        <w:t>7.2具体要求</w:t>
      </w:r>
      <w:r>
        <w:tab/>
      </w:r>
      <w:r>
        <w:fldChar w:fldCharType="begin"/>
      </w:r>
      <w:r>
        <w:instrText xml:space="preserve"> PAGEREF _Toc256000037 \h </w:instrText>
      </w:r>
      <w:r>
        <w:fldChar w:fldCharType="separate"/>
      </w:r>
      <w:r>
        <w:t>31</w:t>
      </w:r>
      <w:r>
        <w:fldChar w:fldCharType="end"/>
      </w:r>
      <w:r>
        <w:fldChar w:fldCharType="end"/>
      </w:r>
    </w:p>
    <w:p w14:paraId="644724C8">
      <w:pPr>
        <w:pStyle w:val="9"/>
        <w:tabs>
          <w:tab w:val="right" w:leader="dot" w:pos="9016"/>
        </w:tabs>
        <w:spacing w:before="0" w:after="0" w:line="360" w:lineRule="auto"/>
        <w:rPr>
          <w:rFonts w:asciiTheme="minorHAnsi" w:hAnsiTheme="minorHAnsi"/>
          <w:sz w:val="22"/>
        </w:rPr>
      </w:pPr>
      <w:r>
        <w:fldChar w:fldCharType="begin"/>
      </w:r>
      <w:r>
        <w:instrText xml:space="preserve"> HYPERLINK \l "_Toc256000038" </w:instrText>
      </w:r>
      <w:r>
        <w:fldChar w:fldCharType="separate"/>
      </w:r>
      <w:r>
        <w:rPr>
          <w:rStyle w:val="13"/>
          <w:rFonts w:ascii="仿宋_GB2312" w:hAnsi="仿宋_GB2312" w:eastAsia="仿宋_GB2312" w:cs="仿宋_GB2312"/>
          <w:kern w:val="36"/>
        </w:rPr>
        <w:t>8其他要求</w:t>
      </w:r>
      <w:r>
        <w:tab/>
      </w:r>
      <w:r>
        <w:fldChar w:fldCharType="begin"/>
      </w:r>
      <w:r>
        <w:instrText xml:space="preserve"> PAGEREF _Toc256000038 \h </w:instrText>
      </w:r>
      <w:r>
        <w:fldChar w:fldCharType="separate"/>
      </w:r>
      <w:r>
        <w:t>32</w:t>
      </w:r>
      <w:r>
        <w:fldChar w:fldCharType="end"/>
      </w:r>
      <w:r>
        <w:fldChar w:fldCharType="end"/>
      </w:r>
    </w:p>
    <w:p w14:paraId="67689E24">
      <w:pPr>
        <w:pStyle w:val="10"/>
        <w:tabs>
          <w:tab w:val="right" w:leader="dot" w:pos="9016"/>
        </w:tabs>
        <w:spacing w:before="0" w:after="0" w:line="360" w:lineRule="auto"/>
        <w:rPr>
          <w:rFonts w:asciiTheme="minorHAnsi" w:hAnsiTheme="minorHAnsi"/>
          <w:sz w:val="22"/>
        </w:rPr>
      </w:pPr>
      <w:r>
        <w:fldChar w:fldCharType="begin"/>
      </w:r>
      <w:r>
        <w:instrText xml:space="preserve"> HYPERLINK \l "_Toc256000039" </w:instrText>
      </w:r>
      <w:r>
        <w:fldChar w:fldCharType="separate"/>
      </w:r>
      <w:r>
        <w:rPr>
          <w:rStyle w:val="13"/>
          <w:rFonts w:ascii="仿宋_GB2312" w:hAnsi="仿宋_GB2312" w:eastAsia="仿宋_GB2312" w:cs="仿宋_GB2312"/>
        </w:rPr>
        <w:t>8.1必备要求</w:t>
      </w:r>
      <w:r>
        <w:tab/>
      </w:r>
      <w:r>
        <w:fldChar w:fldCharType="begin"/>
      </w:r>
      <w:r>
        <w:instrText xml:space="preserve"> PAGEREF _Toc256000039 \h </w:instrText>
      </w:r>
      <w:r>
        <w:fldChar w:fldCharType="separate"/>
      </w:r>
      <w:r>
        <w:t>32</w:t>
      </w:r>
      <w:r>
        <w:fldChar w:fldCharType="end"/>
      </w:r>
      <w:r>
        <w:fldChar w:fldCharType="end"/>
      </w:r>
    </w:p>
    <w:p w14:paraId="40D1E469">
      <w:pPr>
        <w:pStyle w:val="6"/>
        <w:tabs>
          <w:tab w:val="right" w:leader="dot" w:pos="9016"/>
        </w:tabs>
        <w:spacing w:before="0" w:after="0" w:line="360" w:lineRule="auto"/>
        <w:rPr>
          <w:rFonts w:asciiTheme="minorHAnsi" w:hAnsiTheme="minorHAnsi"/>
          <w:sz w:val="22"/>
        </w:rPr>
      </w:pPr>
      <w:r>
        <w:fldChar w:fldCharType="begin"/>
      </w:r>
      <w:r>
        <w:instrText xml:space="preserve"> HYPERLINK \l "_Toc256000040" </w:instrText>
      </w:r>
      <w:r>
        <w:fldChar w:fldCharType="separate"/>
      </w:r>
      <w:r>
        <w:rPr>
          <w:rStyle w:val="13"/>
          <w:rFonts w:ascii="仿宋_GB2312" w:hAnsi="仿宋_GB2312" w:eastAsia="仿宋_GB2312" w:cs="仿宋_GB2312"/>
        </w:rPr>
        <w:t>8.1.1通用必备要求</w:t>
      </w:r>
      <w:r>
        <w:tab/>
      </w:r>
      <w:r>
        <w:fldChar w:fldCharType="begin"/>
      </w:r>
      <w:r>
        <w:instrText xml:space="preserve"> PAGEREF _Toc256000040 \h </w:instrText>
      </w:r>
      <w:r>
        <w:fldChar w:fldCharType="separate"/>
      </w:r>
      <w:r>
        <w:t>32</w:t>
      </w:r>
      <w:r>
        <w:fldChar w:fldCharType="end"/>
      </w:r>
      <w:r>
        <w:fldChar w:fldCharType="end"/>
      </w:r>
    </w:p>
    <w:p w14:paraId="71C05AA0">
      <w:pPr>
        <w:pStyle w:val="10"/>
        <w:tabs>
          <w:tab w:val="right" w:leader="dot" w:pos="9016"/>
        </w:tabs>
        <w:spacing w:before="0" w:after="0" w:line="360" w:lineRule="auto"/>
        <w:rPr>
          <w:rFonts w:asciiTheme="minorHAnsi" w:hAnsiTheme="minorHAnsi"/>
          <w:sz w:val="22"/>
        </w:rPr>
      </w:pPr>
      <w:r>
        <w:fldChar w:fldCharType="begin"/>
      </w:r>
      <w:r>
        <w:instrText xml:space="preserve"> HYPERLINK \l "_Toc256000041" </w:instrText>
      </w:r>
      <w:r>
        <w:fldChar w:fldCharType="separate"/>
      </w:r>
      <w:r>
        <w:rPr>
          <w:rStyle w:val="13"/>
          <w:rFonts w:ascii="仿宋_GB2312" w:hAnsi="仿宋_GB2312" w:eastAsia="仿宋_GB2312" w:cs="仿宋_GB2312"/>
        </w:rPr>
        <w:t>8.2付款安排建议</w:t>
      </w:r>
      <w:r>
        <w:tab/>
      </w:r>
      <w:r>
        <w:fldChar w:fldCharType="begin"/>
      </w:r>
      <w:r>
        <w:instrText xml:space="preserve"> PAGEREF _Toc256000041 \h </w:instrText>
      </w:r>
      <w:r>
        <w:fldChar w:fldCharType="separate"/>
      </w:r>
      <w:r>
        <w:t>33</w:t>
      </w:r>
      <w:r>
        <w:fldChar w:fldCharType="end"/>
      </w:r>
      <w:r>
        <w:fldChar w:fldCharType="end"/>
      </w:r>
    </w:p>
    <w:p w14:paraId="4BF8C036">
      <w:pPr>
        <w:pStyle w:val="10"/>
        <w:tabs>
          <w:tab w:val="right" w:leader="dot" w:pos="9016"/>
        </w:tabs>
        <w:spacing w:before="0" w:after="0" w:line="360" w:lineRule="auto"/>
        <w:rPr>
          <w:rFonts w:asciiTheme="minorHAnsi" w:hAnsiTheme="minorHAnsi"/>
          <w:sz w:val="22"/>
        </w:rPr>
      </w:pPr>
      <w:r>
        <w:fldChar w:fldCharType="begin"/>
      </w:r>
      <w:r>
        <w:instrText xml:space="preserve"> HYPERLINK \l "_Toc256000042" </w:instrText>
      </w:r>
      <w:r>
        <w:fldChar w:fldCharType="separate"/>
      </w:r>
      <w:r>
        <w:rPr>
          <w:rStyle w:val="13"/>
          <w:rFonts w:ascii="仿宋_GB2312" w:hAnsi="仿宋_GB2312" w:eastAsia="仿宋_GB2312" w:cs="仿宋_GB2312"/>
        </w:rPr>
        <w:t>8.3其他要求</w:t>
      </w:r>
      <w:r>
        <w:tab/>
      </w:r>
      <w:r>
        <w:fldChar w:fldCharType="begin"/>
      </w:r>
      <w:r>
        <w:instrText xml:space="preserve"> PAGEREF _Toc256000042 \h </w:instrText>
      </w:r>
      <w:r>
        <w:fldChar w:fldCharType="separate"/>
      </w:r>
      <w:r>
        <w:t>33</w:t>
      </w:r>
      <w:r>
        <w:fldChar w:fldCharType="end"/>
      </w:r>
      <w:r>
        <w:fldChar w:fldCharType="end"/>
      </w:r>
    </w:p>
    <w:p w14:paraId="23C3AA1C">
      <w:pPr>
        <w:pStyle w:val="6"/>
        <w:tabs>
          <w:tab w:val="right" w:leader="dot" w:pos="9016"/>
        </w:tabs>
        <w:spacing w:before="0" w:after="0" w:line="360" w:lineRule="auto"/>
        <w:rPr>
          <w:rFonts w:asciiTheme="minorHAnsi" w:hAnsiTheme="minorHAnsi"/>
          <w:sz w:val="22"/>
        </w:rPr>
      </w:pPr>
      <w:r>
        <w:fldChar w:fldCharType="begin"/>
      </w:r>
      <w:r>
        <w:instrText xml:space="preserve"> HYPERLINK \l "_Toc256000043" </w:instrText>
      </w:r>
      <w:r>
        <w:fldChar w:fldCharType="separate"/>
      </w:r>
      <w:r>
        <w:rPr>
          <w:rStyle w:val="13"/>
          <w:rFonts w:ascii="仿宋_GB2312" w:hAnsi="仿宋_GB2312" w:eastAsia="仿宋_GB2312" w:cs="仿宋_GB2312"/>
        </w:rPr>
        <w:t>8.3.1保密要求</w:t>
      </w:r>
      <w:r>
        <w:tab/>
      </w:r>
      <w:r>
        <w:fldChar w:fldCharType="begin"/>
      </w:r>
      <w:r>
        <w:instrText xml:space="preserve"> PAGEREF _Toc256000043 \h </w:instrText>
      </w:r>
      <w:r>
        <w:fldChar w:fldCharType="separate"/>
      </w:r>
      <w:r>
        <w:t>33</w:t>
      </w:r>
      <w:r>
        <w:fldChar w:fldCharType="end"/>
      </w:r>
      <w:r>
        <w:fldChar w:fldCharType="end"/>
      </w:r>
    </w:p>
    <w:p w14:paraId="09186BBD">
      <w:pPr>
        <w:pStyle w:val="6"/>
        <w:tabs>
          <w:tab w:val="right" w:leader="dot" w:pos="9016"/>
        </w:tabs>
        <w:spacing w:before="0" w:after="0" w:line="360" w:lineRule="auto"/>
        <w:rPr>
          <w:rFonts w:asciiTheme="minorHAnsi" w:hAnsiTheme="minorHAnsi"/>
          <w:sz w:val="22"/>
        </w:rPr>
      </w:pPr>
      <w:r>
        <w:fldChar w:fldCharType="begin"/>
      </w:r>
      <w:r>
        <w:instrText xml:space="preserve"> HYPERLINK \l "_Toc256000044" </w:instrText>
      </w:r>
      <w:r>
        <w:fldChar w:fldCharType="separate"/>
      </w:r>
      <w:r>
        <w:rPr>
          <w:rStyle w:val="13"/>
          <w:rFonts w:ascii="仿宋_GB2312" w:hAnsi="仿宋_GB2312" w:eastAsia="仿宋_GB2312" w:cs="仿宋_GB2312"/>
        </w:rPr>
        <w:t>8.3.2知识产权要求</w:t>
      </w:r>
      <w:r>
        <w:tab/>
      </w:r>
      <w:r>
        <w:fldChar w:fldCharType="begin"/>
      </w:r>
      <w:r>
        <w:instrText xml:space="preserve"> PAGEREF _Toc256000044 \h </w:instrText>
      </w:r>
      <w:r>
        <w:fldChar w:fldCharType="separate"/>
      </w:r>
      <w:r>
        <w:t>34</w:t>
      </w:r>
      <w:r>
        <w:fldChar w:fldCharType="end"/>
      </w:r>
      <w:r>
        <w:fldChar w:fldCharType="end"/>
      </w:r>
    </w:p>
    <w:p w14:paraId="690A5FD9">
      <w:pPr>
        <w:pStyle w:val="6"/>
        <w:tabs>
          <w:tab w:val="right" w:leader="dot" w:pos="9016"/>
        </w:tabs>
        <w:spacing w:before="0" w:after="0" w:line="360" w:lineRule="auto"/>
        <w:rPr>
          <w:rFonts w:asciiTheme="minorHAnsi" w:hAnsiTheme="minorHAnsi"/>
          <w:sz w:val="22"/>
        </w:rPr>
      </w:pPr>
      <w:r>
        <w:fldChar w:fldCharType="begin"/>
      </w:r>
      <w:r>
        <w:instrText xml:space="preserve"> HYPERLINK \l "_Toc256000045" </w:instrText>
      </w:r>
      <w:r>
        <w:fldChar w:fldCharType="separate"/>
      </w:r>
      <w:r>
        <w:rPr>
          <w:rStyle w:val="13"/>
          <w:rFonts w:ascii="仿宋_GB2312" w:hAnsi="仿宋_GB2312" w:eastAsia="仿宋_GB2312" w:cs="仿宋_GB2312"/>
        </w:rPr>
        <w:t>8.3.3★供应链安全管理要求</w:t>
      </w:r>
      <w:r>
        <w:tab/>
      </w:r>
      <w:r>
        <w:fldChar w:fldCharType="begin"/>
      </w:r>
      <w:r>
        <w:instrText xml:space="preserve"> PAGEREF _Toc256000045 \h </w:instrText>
      </w:r>
      <w:r>
        <w:fldChar w:fldCharType="separate"/>
      </w:r>
      <w:r>
        <w:t>34</w:t>
      </w:r>
      <w:r>
        <w:fldChar w:fldCharType="end"/>
      </w:r>
      <w:r>
        <w:fldChar w:fldCharType="end"/>
      </w:r>
    </w:p>
    <w:p w14:paraId="5661BAAB">
      <w:pPr>
        <w:pStyle w:val="6"/>
        <w:tabs>
          <w:tab w:val="right" w:leader="dot" w:pos="9016"/>
        </w:tabs>
        <w:spacing w:before="0" w:after="0" w:line="360" w:lineRule="auto"/>
        <w:rPr>
          <w:rFonts w:asciiTheme="minorHAnsi" w:hAnsiTheme="minorHAnsi"/>
          <w:sz w:val="22"/>
        </w:rPr>
      </w:pPr>
      <w:r>
        <w:fldChar w:fldCharType="begin"/>
      </w:r>
      <w:r>
        <w:instrText xml:space="preserve"> HYPERLINK \l "_Toc256000046" </w:instrText>
      </w:r>
      <w:r>
        <w:fldChar w:fldCharType="separate"/>
      </w:r>
      <w:r>
        <w:rPr>
          <w:rStyle w:val="13"/>
          <w:rFonts w:ascii="仿宋_GB2312" w:hAnsi="仿宋_GB2312" w:eastAsia="仿宋_GB2312" w:cs="仿宋_GB2312"/>
        </w:rPr>
        <w:t>8.3.4税务信息化服务商廉政相关要求</w:t>
      </w:r>
      <w:r>
        <w:tab/>
      </w:r>
      <w:r>
        <w:fldChar w:fldCharType="begin"/>
      </w:r>
      <w:r>
        <w:instrText xml:space="preserve"> PAGEREF _Toc256000046 \h </w:instrText>
      </w:r>
      <w:r>
        <w:fldChar w:fldCharType="separate"/>
      </w:r>
      <w:r>
        <w:t>35</w:t>
      </w:r>
      <w:r>
        <w:fldChar w:fldCharType="end"/>
      </w:r>
      <w:r>
        <w:fldChar w:fldCharType="end"/>
      </w:r>
    </w:p>
    <w:p w14:paraId="6A56A892">
      <w:pPr>
        <w:spacing w:before="0" w:after="0" w:line="360" w:lineRule="auto"/>
        <w:jc w:val="left"/>
        <w:rPr>
          <w:rFonts w:ascii="宋体" w:hAnsi="宋体" w:eastAsia="宋体" w:cs="宋体"/>
          <w:sz w:val="32"/>
        </w:rPr>
      </w:pPr>
      <w:r>
        <w:rPr>
          <w:rFonts w:ascii="宋体" w:hAnsi="宋体" w:eastAsia="宋体" w:cs="宋体"/>
          <w:sz w:val="32"/>
        </w:rPr>
        <w:fldChar w:fldCharType="end"/>
      </w:r>
    </w:p>
    <w:p w14:paraId="4CB688C9">
      <w:pPr>
        <w:spacing w:before="0" w:after="0" w:line="360" w:lineRule="auto"/>
        <w:jc w:val="left"/>
        <w:rPr>
          <w:rFonts w:ascii="宋体" w:hAnsi="宋体" w:eastAsia="宋体" w:cs="宋体"/>
          <w:sz w:val="32"/>
        </w:rPr>
      </w:pPr>
    </w:p>
    <w:p w14:paraId="6CFD9461">
      <w:pPr>
        <w:spacing w:before="0" w:after="0" w:line="360" w:lineRule="auto"/>
        <w:jc w:val="left"/>
        <w:rPr>
          <w:rFonts w:ascii="宋体" w:hAnsi="宋体" w:eastAsia="宋体" w:cs="宋体"/>
          <w:sz w:val="32"/>
        </w:rPr>
      </w:pPr>
    </w:p>
    <w:p w14:paraId="671C0F31">
      <w:pPr>
        <w:spacing w:before="0" w:after="0" w:line="360" w:lineRule="auto"/>
        <w:jc w:val="left"/>
        <w:rPr>
          <w:rFonts w:ascii="宋体" w:hAnsi="宋体" w:eastAsia="宋体" w:cs="宋体"/>
          <w:sz w:val="32"/>
        </w:rPr>
      </w:pPr>
    </w:p>
    <w:p w14:paraId="4D90F21D">
      <w:pPr>
        <w:spacing w:before="0" w:after="0" w:line="360" w:lineRule="auto"/>
        <w:jc w:val="left"/>
        <w:rPr>
          <w:rFonts w:ascii="宋体" w:hAnsi="宋体" w:eastAsia="宋体" w:cs="宋体"/>
          <w:sz w:val="32"/>
        </w:rPr>
      </w:pPr>
    </w:p>
    <w:p w14:paraId="4E1A9FCC">
      <w:pPr>
        <w:spacing w:before="0" w:after="0" w:line="360" w:lineRule="auto"/>
        <w:jc w:val="left"/>
        <w:rPr>
          <w:rFonts w:ascii="宋体" w:hAnsi="宋体" w:eastAsia="宋体" w:cs="宋体"/>
          <w:sz w:val="32"/>
        </w:rPr>
      </w:pPr>
    </w:p>
    <w:p w14:paraId="40816B78">
      <w:pPr>
        <w:spacing w:before="0" w:after="0" w:line="360" w:lineRule="auto"/>
        <w:jc w:val="left"/>
        <w:rPr>
          <w:rFonts w:ascii="宋体" w:hAnsi="宋体" w:eastAsia="宋体" w:cs="宋体"/>
          <w:sz w:val="32"/>
        </w:rPr>
      </w:pPr>
    </w:p>
    <w:p w14:paraId="0AB5FEBB">
      <w:pPr>
        <w:spacing w:before="0" w:after="0" w:line="360" w:lineRule="auto"/>
        <w:jc w:val="left"/>
        <w:rPr>
          <w:rFonts w:ascii="宋体" w:hAnsi="宋体" w:eastAsia="宋体" w:cs="宋体"/>
          <w:sz w:val="32"/>
        </w:rPr>
      </w:pPr>
    </w:p>
    <w:p w14:paraId="4DCC6463">
      <w:pPr>
        <w:pStyle w:val="2"/>
        <w:keepNext w:val="0"/>
        <w:spacing w:before="0" w:after="0" w:line="360" w:lineRule="auto"/>
        <w:jc w:val="center"/>
        <w:rPr>
          <w:rFonts w:ascii="仿宋_GB2312" w:hAnsi="仿宋_GB2312" w:eastAsia="仿宋_GB2312" w:cs="仿宋_GB2312"/>
          <w:kern w:val="36"/>
        </w:rPr>
        <w:sectPr>
          <w:footerReference r:id="rId3" w:type="default"/>
          <w:pgSz w:w="11906" w:h="16838"/>
          <w:pgMar w:top="1440" w:right="1440" w:bottom="1440" w:left="1440" w:header="708" w:footer="708" w:gutter="0"/>
          <w:cols w:space="708" w:num="1"/>
          <w:docGrid w:linePitch="360" w:charSpace="0"/>
        </w:sectPr>
      </w:pPr>
      <w:bookmarkStart w:id="2" w:name="_Toc256000000"/>
    </w:p>
    <w:p w14:paraId="5BD1EF70">
      <w:pPr>
        <w:pStyle w:val="2"/>
        <w:keepNext w:val="0"/>
        <w:spacing w:before="0" w:after="0" w:line="360" w:lineRule="auto"/>
        <w:jc w:val="center"/>
        <w:rPr>
          <w:rFonts w:ascii="仿宋_GB2312" w:hAnsi="仿宋_GB2312" w:eastAsia="仿宋_GB2312" w:cs="仿宋_GB2312"/>
          <w:b/>
          <w:bCs/>
          <w:sz w:val="32"/>
          <w:szCs w:val="32"/>
        </w:rPr>
      </w:pPr>
      <w:r>
        <w:rPr>
          <w:rFonts w:ascii="仿宋_GB2312" w:hAnsi="仿宋_GB2312" w:eastAsia="仿宋_GB2312" w:cs="仿宋_GB2312"/>
          <w:kern w:val="36"/>
        </w:rPr>
        <w:t>1项目概述</w:t>
      </w:r>
      <w:bookmarkEnd w:id="2"/>
    </w:p>
    <w:p w14:paraId="2970CD26">
      <w:pPr>
        <w:pStyle w:val="3"/>
        <w:keepNext w:val="0"/>
        <w:spacing w:before="0" w:after="0" w:line="360" w:lineRule="auto"/>
        <w:rPr>
          <w:rFonts w:ascii="仿宋_GB2312" w:hAnsi="仿宋_GB2312" w:eastAsia="仿宋_GB2312" w:cs="仿宋_GB2312"/>
          <w:b/>
          <w:bCs/>
          <w:sz w:val="28"/>
          <w:szCs w:val="28"/>
        </w:rPr>
      </w:pPr>
      <w:bookmarkStart w:id="3" w:name="_Toc256000001"/>
      <w:r>
        <w:rPr>
          <w:rFonts w:ascii="仿宋_GB2312" w:hAnsi="仿宋_GB2312" w:eastAsia="仿宋_GB2312" w:cs="仿宋_GB2312"/>
          <w:i w:val="0"/>
          <w:iCs w:val="0"/>
        </w:rPr>
        <w:t>1.1项目背景</w:t>
      </w:r>
      <w:bookmarkEnd w:id="3"/>
    </w:p>
    <w:p w14:paraId="7162A292">
      <w:pPr>
        <w:pStyle w:val="4"/>
        <w:keepNext w:val="0"/>
        <w:spacing w:before="0" w:after="0" w:line="360" w:lineRule="auto"/>
        <w:rPr>
          <w:rFonts w:ascii="仿宋_GB2312" w:hAnsi="仿宋_GB2312" w:eastAsia="仿宋_GB2312" w:cs="仿宋_GB2312"/>
          <w:b/>
          <w:bCs/>
          <w:sz w:val="28"/>
          <w:szCs w:val="28"/>
        </w:rPr>
      </w:pPr>
      <w:bookmarkStart w:id="4" w:name="_Toc256000002"/>
      <w:r>
        <w:rPr>
          <w:rFonts w:ascii="仿宋_GB2312" w:hAnsi="仿宋_GB2312" w:eastAsia="仿宋_GB2312" w:cs="仿宋_GB2312"/>
          <w:sz w:val="28"/>
          <w:szCs w:val="28"/>
        </w:rPr>
        <w:t>1.1.1项目目的、意义及背景</w:t>
      </w:r>
      <w:bookmarkEnd w:id="4"/>
    </w:p>
    <w:p w14:paraId="6812C48F">
      <w:pPr>
        <w:pStyle w:val="14"/>
        <w:spacing w:before="0" w:after="0" w:line="360" w:lineRule="auto"/>
        <w:ind w:firstLine="480"/>
        <w:jc w:val="both"/>
        <w:rPr>
          <w:rFonts w:ascii="Times New Roman" w:hAnsi="Times New Roman" w:eastAsia="Times New Roman" w:cs="Times New Roman"/>
        </w:rPr>
      </w:pPr>
      <w:r>
        <w:rPr>
          <w:rFonts w:ascii="仿宋_GB2312" w:hAnsi="仿宋_GB2312" w:eastAsia="仿宋_GB2312" w:cs="仿宋_GB2312"/>
          <w:sz w:val="28"/>
          <w:szCs w:val="28"/>
        </w:rPr>
        <w:t>随着网络安全形势日益严峻，针对我局信息系统漏洞扫描探测日益增加，动态安全防护可有效抵御漏洞扫描探测攻击行为，采用动态变化技术，以动态变化自身，起到对攻击者隐藏自身，判定合法非法访问行为，抵御攻击的效果；为更好发现我局信息系统API接口风险信息，加强API接口安全管理，采购API接口安全审计设备，强化应用和接口安全，高效识别并梳理应用资产和API资产，有效识别API漏洞、基线偏离、异常行为、潜在攻击以及僵尸木马等因素，严防敏感信息泄露，及时发现API接口风险隐患，同时提高API日志审计效率；主机安全管理系统可对主机信息和行为进行持续监控和分析，快速精准地发现安全威胁和入侵事件，并提供快速的防护阻断能力，强化主机安全管理；外联网一台防火墙运行超过十年，存在性能不足和设备老化风险，需要替换。为加强我局数据中心安全系统防护，计划购买2台动态安全防护设备、1台API接口安全审计设备、1套主机安全管理系统、1台防火墙。</w:t>
      </w:r>
    </w:p>
    <w:p w14:paraId="60278AD9">
      <w:pPr>
        <w:pStyle w:val="3"/>
        <w:keepNext w:val="0"/>
        <w:spacing w:before="0" w:after="0" w:line="360" w:lineRule="auto"/>
        <w:rPr>
          <w:rFonts w:ascii="仿宋_GB2312" w:hAnsi="仿宋_GB2312" w:eastAsia="仿宋_GB2312" w:cs="仿宋_GB2312"/>
          <w:b/>
          <w:bCs/>
          <w:sz w:val="28"/>
          <w:szCs w:val="28"/>
        </w:rPr>
      </w:pPr>
      <w:bookmarkStart w:id="5" w:name="_Toc256000003"/>
      <w:r>
        <w:rPr>
          <w:rFonts w:ascii="仿宋_GB2312" w:hAnsi="仿宋_GB2312" w:eastAsia="仿宋_GB2312" w:cs="仿宋_GB2312"/>
          <w:i w:val="0"/>
          <w:iCs w:val="0"/>
        </w:rPr>
        <w:t>1.2项目内容</w:t>
      </w:r>
      <w:bookmarkEnd w:id="5"/>
    </w:p>
    <w:p w14:paraId="340CB1FD">
      <w:pPr>
        <w:pStyle w:val="4"/>
        <w:keepNext w:val="0"/>
        <w:spacing w:before="0" w:after="0" w:line="360" w:lineRule="auto"/>
        <w:rPr>
          <w:rFonts w:ascii="仿宋_GB2312" w:hAnsi="仿宋_GB2312" w:eastAsia="仿宋_GB2312" w:cs="仿宋_GB2312"/>
          <w:b/>
          <w:bCs/>
          <w:sz w:val="28"/>
          <w:szCs w:val="28"/>
        </w:rPr>
      </w:pPr>
      <w:bookmarkStart w:id="6" w:name="_Toc256000004"/>
      <w:r>
        <w:rPr>
          <w:rFonts w:ascii="仿宋_GB2312" w:hAnsi="仿宋_GB2312" w:eastAsia="仿宋_GB2312" w:cs="仿宋_GB2312"/>
          <w:sz w:val="28"/>
          <w:szCs w:val="28"/>
        </w:rPr>
        <w:t>1.2.1采购内容</w:t>
      </w:r>
      <w:bookmarkEnd w:id="6"/>
      <w:bookmarkStart w:id="49" w:name="_GoBack"/>
      <w:bookmarkEnd w:id="49"/>
    </w:p>
    <w:p w14:paraId="0D2B681F">
      <w:pPr>
        <w:pStyle w:val="14"/>
        <w:spacing w:before="0" w:after="0" w:line="360" w:lineRule="auto"/>
        <w:ind w:firstLine="480"/>
        <w:jc w:val="both"/>
        <w:rPr>
          <w:rFonts w:ascii="Times New Roman" w:hAnsi="Times New Roman" w:eastAsia="Times New Roman" w:cs="Times New Roman"/>
        </w:rPr>
      </w:pPr>
      <w:r>
        <w:rPr>
          <w:rFonts w:ascii="仿宋_GB2312" w:hAnsi="仿宋_GB2312" w:eastAsia="仿宋_GB2312" w:cs="仿宋_GB2312"/>
          <w:color w:val="000000"/>
          <w:sz w:val="28"/>
          <w:szCs w:val="28"/>
        </w:rPr>
        <w:t>本项目预算为220万元。采购2台动态安全防护设备,最高限价（单价）：76万元/台；1台API接口安全审计设备,最高限价（单价）：45万元/台；1套主机安全管理系统,最高限价（单价）：20万元/台；1台防火墙,最高限价（单价）：75万元/台。</w:t>
      </w:r>
    </w:p>
    <w:p w14:paraId="518720B5">
      <w:pPr>
        <w:pStyle w:val="4"/>
        <w:keepNext w:val="0"/>
        <w:spacing w:before="0" w:after="0" w:line="360" w:lineRule="auto"/>
        <w:rPr>
          <w:rFonts w:ascii="仿宋_GB2312" w:hAnsi="仿宋_GB2312" w:eastAsia="仿宋_GB2312" w:cs="仿宋_GB2312"/>
          <w:b/>
          <w:bCs/>
          <w:sz w:val="28"/>
          <w:szCs w:val="28"/>
        </w:rPr>
      </w:pPr>
      <w:bookmarkStart w:id="7" w:name="_Toc256000005"/>
      <w:r>
        <w:rPr>
          <w:rFonts w:ascii="仿宋_GB2312" w:hAnsi="仿宋_GB2312" w:eastAsia="仿宋_GB2312" w:cs="仿宋_GB2312"/>
          <w:sz w:val="28"/>
          <w:szCs w:val="28"/>
        </w:rPr>
        <w:t>1.2.2项目实施要求</w:t>
      </w:r>
      <w:bookmarkEnd w:id="7"/>
    </w:p>
    <w:p w14:paraId="4B991D4B">
      <w:pPr>
        <w:pStyle w:val="5"/>
        <w:keepNext w:val="0"/>
        <w:spacing w:before="0" w:after="0" w:line="360" w:lineRule="auto"/>
        <w:rPr>
          <w:rFonts w:ascii="仿宋_GB2312" w:hAnsi="仿宋_GB2312" w:eastAsia="仿宋_GB2312" w:cs="仿宋_GB2312"/>
          <w:b/>
          <w:bCs/>
          <w:sz w:val="28"/>
          <w:szCs w:val="28"/>
        </w:rPr>
      </w:pPr>
      <w:r>
        <w:rPr>
          <w:rFonts w:ascii="仿宋_GB2312" w:hAnsi="仿宋_GB2312" w:eastAsia="仿宋_GB2312" w:cs="仿宋_GB2312"/>
        </w:rPr>
        <w:t>1.2.2.1实施范围要求</w:t>
      </w:r>
    </w:p>
    <w:p w14:paraId="2ECF7D1E">
      <w:pPr>
        <w:pStyle w:val="15"/>
        <w:spacing w:before="0" w:after="0" w:line="360" w:lineRule="auto"/>
        <w:ind w:left="0" w:right="0" w:firstLine="560"/>
      </w:pPr>
      <w:r>
        <w:rPr>
          <w:rFonts w:ascii="FangSong_GB2312" w:hAnsi="FangSong_GB2312" w:eastAsia="FangSong_GB2312" w:cs="FangSong_GB2312"/>
          <w:sz w:val="28"/>
          <w:szCs w:val="28"/>
        </w:rPr>
        <w:t>国家税务总局新疆维吾尔自治区税务局机房。</w:t>
      </w:r>
    </w:p>
    <w:p w14:paraId="2B6332C1">
      <w:pPr>
        <w:pStyle w:val="5"/>
        <w:keepNext w:val="0"/>
        <w:spacing w:before="0" w:after="0" w:line="360" w:lineRule="auto"/>
        <w:rPr>
          <w:rFonts w:ascii="仿宋_GB2312" w:hAnsi="仿宋_GB2312" w:eastAsia="仿宋_GB2312" w:cs="仿宋_GB2312"/>
          <w:b/>
          <w:bCs/>
          <w:sz w:val="28"/>
          <w:szCs w:val="28"/>
        </w:rPr>
      </w:pPr>
      <w:r>
        <w:rPr>
          <w:rFonts w:ascii="仿宋_GB2312" w:hAnsi="仿宋_GB2312" w:eastAsia="仿宋_GB2312" w:cs="仿宋_GB2312"/>
        </w:rPr>
        <w:t>1.2.2.2实施时间要求</w:t>
      </w:r>
    </w:p>
    <w:p w14:paraId="034E26DD">
      <w:pPr>
        <w:pStyle w:val="15"/>
        <w:spacing w:before="0" w:after="0" w:line="360" w:lineRule="auto"/>
        <w:ind w:left="0" w:right="0" w:firstLine="560"/>
      </w:pPr>
      <w:r>
        <w:rPr>
          <w:rFonts w:ascii="FangSong_GB2312" w:hAnsi="FangSong_GB2312" w:eastAsia="FangSong_GB2312" w:cs="FangSong_GB2312"/>
          <w:sz w:val="28"/>
          <w:szCs w:val="28"/>
        </w:rPr>
        <w:t>自合同签订之日起6个月内。</w:t>
      </w:r>
    </w:p>
    <w:p w14:paraId="0C70E97C">
      <w:pPr>
        <w:pStyle w:val="5"/>
        <w:keepNext w:val="0"/>
        <w:spacing w:before="0" w:after="0" w:line="360" w:lineRule="auto"/>
        <w:rPr>
          <w:rFonts w:ascii="仿宋_GB2312" w:hAnsi="仿宋_GB2312" w:eastAsia="仿宋_GB2312" w:cs="仿宋_GB2312"/>
          <w:b/>
          <w:bCs/>
          <w:sz w:val="28"/>
          <w:szCs w:val="28"/>
        </w:rPr>
      </w:pPr>
      <w:r>
        <w:rPr>
          <w:rFonts w:ascii="仿宋_GB2312" w:hAnsi="仿宋_GB2312" w:eastAsia="仿宋_GB2312" w:cs="仿宋_GB2312"/>
        </w:rPr>
        <w:t>1.2.2.3实施地点要求</w:t>
      </w:r>
    </w:p>
    <w:p w14:paraId="37368D22">
      <w:pPr>
        <w:pStyle w:val="15"/>
        <w:spacing w:before="0" w:after="0" w:line="360" w:lineRule="auto"/>
        <w:ind w:left="0" w:right="0" w:firstLine="560"/>
      </w:pPr>
      <w:r>
        <w:rPr>
          <w:rFonts w:ascii="FangSong_GB2312" w:hAnsi="FangSong_GB2312" w:eastAsia="FangSong_GB2312" w:cs="FangSong_GB2312"/>
          <w:sz w:val="28"/>
          <w:szCs w:val="28"/>
        </w:rPr>
        <w:t>国家税务总局新疆维吾尔自治区税务局。</w:t>
      </w:r>
    </w:p>
    <w:p w14:paraId="0BC31BAE">
      <w:pPr>
        <w:pStyle w:val="3"/>
        <w:keepNext w:val="0"/>
        <w:spacing w:before="0" w:after="0" w:line="360" w:lineRule="auto"/>
        <w:rPr>
          <w:rFonts w:ascii="仿宋_GB2312" w:hAnsi="仿宋_GB2312" w:eastAsia="仿宋_GB2312" w:cs="仿宋_GB2312"/>
          <w:b/>
          <w:bCs/>
          <w:sz w:val="28"/>
          <w:szCs w:val="28"/>
        </w:rPr>
      </w:pPr>
      <w:bookmarkStart w:id="8" w:name="_Toc256000006"/>
      <w:r>
        <w:rPr>
          <w:rFonts w:ascii="仿宋_GB2312" w:hAnsi="仿宋_GB2312" w:eastAsia="仿宋_GB2312" w:cs="仿宋_GB2312"/>
          <w:i w:val="0"/>
          <w:iCs w:val="0"/>
        </w:rPr>
        <w:t>1.3其他要求</w:t>
      </w:r>
      <w:bookmarkEnd w:id="8"/>
    </w:p>
    <w:p w14:paraId="674A3F7A">
      <w:pPr>
        <w:pStyle w:val="4"/>
        <w:keepNext w:val="0"/>
        <w:spacing w:before="0" w:after="0" w:line="360" w:lineRule="auto"/>
        <w:rPr>
          <w:rFonts w:ascii="仿宋_GB2312" w:hAnsi="仿宋_GB2312" w:eastAsia="仿宋_GB2312" w:cs="仿宋_GB2312"/>
          <w:b/>
          <w:bCs/>
          <w:sz w:val="28"/>
          <w:szCs w:val="28"/>
        </w:rPr>
      </w:pPr>
      <w:bookmarkStart w:id="9" w:name="_Toc256000007"/>
      <w:r>
        <w:rPr>
          <w:rFonts w:ascii="仿宋_GB2312" w:hAnsi="仿宋_GB2312" w:eastAsia="仿宋_GB2312" w:cs="仿宋_GB2312"/>
          <w:sz w:val="28"/>
          <w:szCs w:val="28"/>
        </w:rPr>
        <w:t>1.3.1采购标的需执行的相关标准规范</w:t>
      </w:r>
      <w:bookmarkEnd w:id="9"/>
    </w:p>
    <w:p w14:paraId="0CD4CAF6">
      <w:pPr>
        <w:pStyle w:val="15"/>
        <w:spacing w:before="0" w:after="0" w:line="360" w:lineRule="auto"/>
        <w:ind w:left="0" w:right="0" w:firstLine="560"/>
      </w:pPr>
      <w:r>
        <w:rPr>
          <w:rFonts w:ascii="FangSong_GB2312" w:hAnsi="FangSong_GB2312" w:eastAsia="FangSong_GB2312" w:cs="FangSong_GB2312"/>
          <w:sz w:val="28"/>
          <w:szCs w:val="28"/>
        </w:rPr>
        <w:t>无。</w:t>
      </w:r>
    </w:p>
    <w:p w14:paraId="0AC44D15">
      <w:pPr>
        <w:pStyle w:val="2"/>
        <w:keepNext w:val="0"/>
        <w:spacing w:before="0" w:after="0" w:line="360" w:lineRule="auto"/>
        <w:jc w:val="center"/>
        <w:rPr>
          <w:rFonts w:ascii="仿宋_GB2312" w:hAnsi="仿宋_GB2312" w:eastAsia="仿宋_GB2312" w:cs="仿宋_GB2312"/>
          <w:b/>
          <w:bCs/>
          <w:sz w:val="32"/>
          <w:szCs w:val="32"/>
        </w:rPr>
      </w:pPr>
      <w:bookmarkStart w:id="10" w:name="_Toc256000008"/>
      <w:r>
        <w:rPr>
          <w:rFonts w:ascii="仿宋_GB2312" w:hAnsi="仿宋_GB2312" w:eastAsia="仿宋_GB2312" w:cs="仿宋_GB2312"/>
          <w:kern w:val="36"/>
        </w:rPr>
        <w:t>2投标/响应要求</w:t>
      </w:r>
      <w:bookmarkEnd w:id="10"/>
    </w:p>
    <w:p w14:paraId="5D6D54C6">
      <w:pPr>
        <w:pStyle w:val="3"/>
        <w:keepNext w:val="0"/>
        <w:spacing w:before="0" w:after="0" w:line="360" w:lineRule="auto"/>
        <w:jc w:val="both"/>
        <w:rPr>
          <w:rFonts w:ascii="仿宋_GB2312" w:hAnsi="仿宋_GB2312" w:eastAsia="仿宋_GB2312" w:cs="仿宋_GB2312"/>
          <w:b/>
          <w:bCs/>
          <w:sz w:val="28"/>
          <w:szCs w:val="28"/>
        </w:rPr>
      </w:pPr>
      <w:bookmarkStart w:id="11" w:name="_Toc256000009"/>
      <w:r>
        <w:rPr>
          <w:rFonts w:ascii="仿宋_GB2312" w:hAnsi="仿宋_GB2312" w:eastAsia="仿宋_GB2312" w:cs="仿宋_GB2312"/>
          <w:i w:val="0"/>
          <w:iCs w:val="0"/>
        </w:rPr>
        <w:t>2.1对供应商的要求</w:t>
      </w:r>
      <w:bookmarkEnd w:id="11"/>
    </w:p>
    <w:p w14:paraId="577EBC94">
      <w:pPr>
        <w:pStyle w:val="4"/>
        <w:keepNext w:val="0"/>
        <w:spacing w:before="0" w:after="0" w:line="360" w:lineRule="auto"/>
        <w:jc w:val="both"/>
        <w:rPr>
          <w:rFonts w:ascii="仿宋_GB2312" w:hAnsi="仿宋_GB2312" w:eastAsia="仿宋_GB2312" w:cs="仿宋_GB2312"/>
          <w:b/>
          <w:bCs/>
          <w:sz w:val="28"/>
          <w:szCs w:val="28"/>
        </w:rPr>
      </w:pPr>
      <w:bookmarkStart w:id="12" w:name="_Toc256000010"/>
      <w:r>
        <w:rPr>
          <w:rFonts w:ascii="仿宋_GB2312" w:hAnsi="仿宋_GB2312" w:eastAsia="仿宋_GB2312" w:cs="仿宋_GB2312"/>
          <w:sz w:val="28"/>
          <w:szCs w:val="28"/>
        </w:rPr>
        <w:t>2.1.1必备资质</w:t>
      </w:r>
      <w:bookmarkEnd w:id="12"/>
    </w:p>
    <w:p w14:paraId="52F3DCB2">
      <w:pPr>
        <w:pStyle w:val="5"/>
        <w:keepNext w:val="0"/>
        <w:spacing w:before="0" w:after="0" w:line="360" w:lineRule="auto"/>
        <w:jc w:val="both"/>
        <w:rPr>
          <w:rFonts w:ascii="仿宋_GB2312" w:hAnsi="仿宋_GB2312" w:eastAsia="仿宋_GB2312" w:cs="仿宋_GB2312"/>
          <w:b/>
          <w:bCs/>
          <w:sz w:val="28"/>
          <w:szCs w:val="28"/>
        </w:rPr>
      </w:pPr>
      <w:r>
        <w:rPr>
          <w:rFonts w:ascii="仿宋_GB2312" w:hAnsi="仿宋_GB2312" w:eastAsia="仿宋_GB2312" w:cs="仿宋_GB2312"/>
        </w:rPr>
        <w:t>2.1.1.1投标人应遵守有关国家法律、法规和条例,具备《中华人民共和国政府采购法》第二十二条的规定和本文件中规定的条件。</w:t>
      </w:r>
    </w:p>
    <w:p w14:paraId="1E44A700">
      <w:pPr>
        <w:pStyle w:val="5"/>
        <w:keepNext w:val="0"/>
        <w:spacing w:before="0" w:after="0" w:line="360" w:lineRule="auto"/>
        <w:jc w:val="both"/>
        <w:rPr>
          <w:rFonts w:ascii="仿宋_GB2312" w:hAnsi="仿宋_GB2312" w:eastAsia="仿宋_GB2312" w:cs="仿宋_GB2312"/>
          <w:b/>
          <w:bCs/>
          <w:sz w:val="28"/>
          <w:szCs w:val="28"/>
        </w:rPr>
      </w:pPr>
      <w:r>
        <w:rPr>
          <w:rFonts w:ascii="仿宋_GB2312" w:hAnsi="仿宋_GB2312" w:eastAsia="仿宋_GB2312" w:cs="仿宋_GB2312"/>
        </w:rPr>
        <w:t>2.1.1.2本项目的特定资格要求</w:t>
      </w:r>
    </w:p>
    <w:p w14:paraId="3C07AC10">
      <w:pPr>
        <w:pStyle w:val="4"/>
        <w:keepNext w:val="0"/>
        <w:spacing w:before="0" w:after="0" w:line="360" w:lineRule="auto"/>
        <w:ind w:firstLine="560"/>
        <w:jc w:val="both"/>
        <w:rPr>
          <w:rFonts w:ascii="Arial" w:hAnsi="Arial" w:eastAsia="Arial" w:cs="Arial"/>
          <w:b/>
          <w:bCs/>
          <w:sz w:val="26"/>
          <w:szCs w:val="26"/>
        </w:rPr>
      </w:pPr>
      <w:bookmarkStart w:id="13" w:name="_Toc256000011"/>
      <w:r>
        <w:rPr>
          <w:rFonts w:ascii="仿宋_GB2312" w:hAnsi="仿宋_GB2312" w:eastAsia="仿宋_GB2312" w:cs="仿宋_GB2312"/>
          <w:b w:val="0"/>
          <w:bCs w:val="0"/>
          <w:sz w:val="28"/>
          <w:szCs w:val="28"/>
        </w:rPr>
        <w:t>无。</w:t>
      </w:r>
      <w:bookmarkEnd w:id="13"/>
    </w:p>
    <w:p w14:paraId="14B61131">
      <w:pPr>
        <w:pStyle w:val="4"/>
        <w:keepNext w:val="0"/>
        <w:spacing w:before="0" w:after="0" w:line="360" w:lineRule="auto"/>
        <w:jc w:val="both"/>
        <w:rPr>
          <w:rFonts w:ascii="仿宋_GB2312" w:hAnsi="仿宋_GB2312" w:eastAsia="仿宋_GB2312" w:cs="仿宋_GB2312"/>
          <w:b/>
          <w:bCs/>
          <w:sz w:val="28"/>
          <w:szCs w:val="28"/>
        </w:rPr>
      </w:pPr>
      <w:bookmarkStart w:id="14" w:name="_Toc256000012"/>
      <w:r>
        <w:rPr>
          <w:rFonts w:ascii="仿宋_GB2312" w:hAnsi="仿宋_GB2312" w:eastAsia="仿宋_GB2312" w:cs="仿宋_GB2312"/>
          <w:sz w:val="28"/>
          <w:szCs w:val="28"/>
        </w:rPr>
        <w:t>2.1.2优选资质/优选指标</w:t>
      </w:r>
      <w:bookmarkEnd w:id="14"/>
    </w:p>
    <w:p w14:paraId="2CC92E70">
      <w:pPr>
        <w:pStyle w:val="5"/>
        <w:keepNext w:val="0"/>
        <w:spacing w:before="0" w:after="0" w:line="360" w:lineRule="auto"/>
        <w:jc w:val="both"/>
        <w:rPr>
          <w:rFonts w:ascii="仿宋_GB2312" w:hAnsi="仿宋_GB2312" w:eastAsia="仿宋_GB2312" w:cs="仿宋_GB2312"/>
          <w:b/>
          <w:bCs/>
          <w:sz w:val="28"/>
          <w:szCs w:val="28"/>
        </w:rPr>
      </w:pPr>
      <w:r>
        <w:rPr>
          <w:rFonts w:ascii="仿宋_GB2312" w:hAnsi="仿宋_GB2312" w:eastAsia="仿宋_GB2312" w:cs="仿宋_GB2312"/>
        </w:rPr>
        <w:t>2.1.2.1相关证书</w:t>
      </w:r>
    </w:p>
    <w:tbl>
      <w:tblPr>
        <w:tblStyle w:val="11"/>
        <w:tblW w:w="5000" w:type="pct"/>
        <w:tblInd w:w="30" w:type="dxa"/>
        <w:tblLayout w:type="autofit"/>
        <w:tblCellMar>
          <w:top w:w="15" w:type="dxa"/>
          <w:left w:w="15" w:type="dxa"/>
          <w:bottom w:w="15" w:type="dxa"/>
          <w:right w:w="15" w:type="dxa"/>
        </w:tblCellMar>
      </w:tblPr>
      <w:tblGrid>
        <w:gridCol w:w="906"/>
        <w:gridCol w:w="4082"/>
        <w:gridCol w:w="4082"/>
      </w:tblGrid>
      <w:tr w14:paraId="6C3CAE4E">
        <w:tblPrEx>
          <w:tblCellMar>
            <w:top w:w="15" w:type="dxa"/>
            <w:left w:w="15" w:type="dxa"/>
            <w:bottom w:w="15" w:type="dxa"/>
            <w:right w:w="15" w:type="dxa"/>
          </w:tblCellMar>
        </w:tblPrEx>
        <w:tc>
          <w:tcPr>
            <w:tcW w:w="50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14:paraId="35129D30">
            <w:pPr>
              <w:jc w:val="center"/>
              <w:rPr>
                <w:rFonts w:ascii="仿宋_GB2312" w:hAnsi="仿宋_GB2312" w:eastAsia="仿宋_GB2312" w:cs="仿宋_GB2312"/>
                <w:b/>
                <w:bCs/>
                <w:i w:val="0"/>
                <w:iCs w:val="0"/>
                <w:smallCaps w:val="0"/>
                <w:color w:val="000000"/>
                <w:sz w:val="21"/>
                <w:szCs w:val="21"/>
              </w:rPr>
            </w:pPr>
            <w:r>
              <w:rPr>
                <w:rFonts w:ascii="仿宋_GB2312" w:hAnsi="仿宋_GB2312" w:eastAsia="仿宋_GB2312" w:cs="仿宋_GB2312"/>
                <w:b/>
                <w:bCs/>
                <w:i w:val="0"/>
                <w:iCs w:val="0"/>
                <w:smallCaps w:val="0"/>
                <w:color w:val="000000"/>
                <w:sz w:val="21"/>
                <w:szCs w:val="21"/>
              </w:rPr>
              <w:t>序号</w:t>
            </w:r>
          </w:p>
        </w:tc>
        <w:tc>
          <w:tcPr>
            <w:tcW w:w="225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14:paraId="6E87BC76">
            <w:pPr>
              <w:jc w:val="center"/>
              <w:rPr>
                <w:rFonts w:ascii="仿宋_GB2312" w:hAnsi="仿宋_GB2312" w:eastAsia="仿宋_GB2312" w:cs="仿宋_GB2312"/>
                <w:b/>
                <w:bCs/>
                <w:i w:val="0"/>
                <w:iCs w:val="0"/>
                <w:smallCaps w:val="0"/>
                <w:color w:val="000000"/>
                <w:sz w:val="21"/>
                <w:szCs w:val="21"/>
              </w:rPr>
            </w:pPr>
            <w:r>
              <w:rPr>
                <w:rFonts w:ascii="仿宋_GB2312" w:hAnsi="仿宋_GB2312" w:eastAsia="仿宋_GB2312" w:cs="仿宋_GB2312"/>
                <w:b/>
                <w:bCs/>
                <w:i w:val="0"/>
                <w:iCs w:val="0"/>
                <w:smallCaps w:val="0"/>
                <w:color w:val="000000"/>
                <w:sz w:val="21"/>
                <w:szCs w:val="21"/>
              </w:rPr>
              <w:t>证书名称</w:t>
            </w:r>
          </w:p>
        </w:tc>
        <w:tc>
          <w:tcPr>
            <w:tcW w:w="225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14:paraId="50F315C0">
            <w:pPr>
              <w:jc w:val="center"/>
              <w:rPr>
                <w:rFonts w:ascii="仿宋_GB2312" w:hAnsi="仿宋_GB2312" w:eastAsia="仿宋_GB2312" w:cs="仿宋_GB2312"/>
                <w:b/>
                <w:bCs/>
                <w:i w:val="0"/>
                <w:iCs w:val="0"/>
                <w:smallCaps w:val="0"/>
                <w:color w:val="000000"/>
                <w:sz w:val="21"/>
                <w:szCs w:val="21"/>
              </w:rPr>
            </w:pPr>
            <w:r>
              <w:rPr>
                <w:rFonts w:ascii="仿宋_GB2312" w:hAnsi="仿宋_GB2312" w:eastAsia="仿宋_GB2312" w:cs="仿宋_GB2312"/>
                <w:b/>
                <w:bCs/>
                <w:i w:val="0"/>
                <w:iCs w:val="0"/>
                <w:smallCaps w:val="0"/>
                <w:color w:val="000000"/>
                <w:sz w:val="21"/>
                <w:szCs w:val="21"/>
              </w:rPr>
              <w:t>备注</w:t>
            </w:r>
          </w:p>
        </w:tc>
      </w:tr>
      <w:tr w14:paraId="450AEC3D">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30402B2">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1</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F85019D">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ISO9001质量管理体系认证证书</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C3F0A29">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须提供证书复印件，加盖公章</w:t>
            </w:r>
          </w:p>
        </w:tc>
      </w:tr>
    </w:tbl>
    <w:p w14:paraId="4AD0FAB5">
      <w:pPr>
        <w:pStyle w:val="5"/>
        <w:keepNext w:val="0"/>
        <w:spacing w:before="0" w:after="0" w:line="360" w:lineRule="auto"/>
        <w:rPr>
          <w:rFonts w:ascii="仿宋_GB2312" w:hAnsi="仿宋_GB2312" w:eastAsia="仿宋_GB2312" w:cs="仿宋_GB2312"/>
          <w:b/>
          <w:bCs/>
          <w:sz w:val="28"/>
          <w:szCs w:val="28"/>
        </w:rPr>
      </w:pPr>
      <w:r>
        <w:rPr>
          <w:rFonts w:ascii="仿宋_GB2312" w:hAnsi="仿宋_GB2312" w:eastAsia="仿宋_GB2312" w:cs="仿宋_GB2312"/>
        </w:rPr>
        <w:t>2.1.2.2成功案例</w:t>
      </w:r>
    </w:p>
    <w:p w14:paraId="73311A76">
      <w:pPr>
        <w:pStyle w:val="15"/>
        <w:spacing w:before="0" w:after="0" w:line="360" w:lineRule="auto"/>
        <w:ind w:left="0" w:right="0" w:firstLine="480"/>
        <w:jc w:val="both"/>
      </w:pPr>
      <w:r>
        <w:rPr>
          <w:rFonts w:ascii="仿宋_GB2312" w:hAnsi="仿宋_GB2312" w:eastAsia="仿宋_GB2312" w:cs="仿宋_GB2312"/>
          <w:color w:val="000000"/>
          <w:sz w:val="28"/>
          <w:szCs w:val="28"/>
        </w:rPr>
        <w:t>提供自2023年6月1日至今动态安全防护产品相关业绩（提供中标通知书复印件或合同复印件加盖单位公章</w:t>
      </w:r>
      <w:r>
        <w:rPr>
          <w:rFonts w:ascii="宋体" w:hAnsi="宋体" w:eastAsia="宋体" w:cs="宋体"/>
          <w:color w:val="000000"/>
        </w:rPr>
        <w:t>。</w:t>
      </w:r>
      <w:r>
        <w:rPr>
          <w:rFonts w:ascii="仿宋_GB2312" w:hAnsi="仿宋_GB2312" w:eastAsia="仿宋_GB2312" w:cs="仿宋_GB2312"/>
          <w:color w:val="000000"/>
          <w:sz w:val="28"/>
          <w:szCs w:val="28"/>
        </w:rPr>
        <w:t>（须包含合同首页、服务周期页、服务内容所在页、签署页复印件）</w:t>
      </w:r>
    </w:p>
    <w:p w14:paraId="0BC88084">
      <w:pPr>
        <w:pStyle w:val="4"/>
        <w:keepNext w:val="0"/>
        <w:spacing w:before="0" w:after="0" w:line="360" w:lineRule="auto"/>
        <w:jc w:val="both"/>
        <w:rPr>
          <w:rFonts w:ascii="仿宋_GB2312" w:hAnsi="仿宋_GB2312" w:eastAsia="仿宋_GB2312" w:cs="仿宋_GB2312"/>
          <w:b/>
          <w:bCs/>
          <w:sz w:val="28"/>
          <w:szCs w:val="28"/>
        </w:rPr>
      </w:pPr>
      <w:bookmarkStart w:id="15" w:name="_Toc256000013"/>
      <w:r>
        <w:rPr>
          <w:rFonts w:ascii="仿宋_GB2312" w:hAnsi="仿宋_GB2312" w:eastAsia="仿宋_GB2312" w:cs="仿宋_GB2312"/>
          <w:sz w:val="28"/>
          <w:szCs w:val="28"/>
        </w:rPr>
        <w:t>2.1.3是否允许联合体</w:t>
      </w:r>
      <w:bookmarkEnd w:id="15"/>
    </w:p>
    <w:p w14:paraId="789D3806">
      <w:pPr>
        <w:spacing w:before="0" w:after="0" w:line="360" w:lineRule="auto"/>
        <w:ind w:firstLine="561"/>
        <w:jc w:val="both"/>
        <w:rPr>
          <w:rFonts w:hint="eastAsia" w:ascii="仿宋_GB2312" w:hAnsi="仿宋_GB2312" w:eastAsia="仿宋_GB2312" w:cs="仿宋_GB2312"/>
          <w:sz w:val="28"/>
          <w:szCs w:val="28"/>
          <w:lang w:eastAsia="zh-CN"/>
        </w:rPr>
      </w:pPr>
      <w:r>
        <w:rPr>
          <w:rFonts w:ascii="仿宋_GB2312" w:hAnsi="仿宋_GB2312" w:eastAsia="仿宋_GB2312" w:cs="仿宋_GB2312"/>
          <w:sz w:val="28"/>
          <w:szCs w:val="28"/>
        </w:rPr>
        <w:t>否</w:t>
      </w:r>
      <w:r>
        <w:rPr>
          <w:rFonts w:hint="eastAsia" w:ascii="仿宋_GB2312" w:hAnsi="仿宋_GB2312" w:eastAsia="仿宋_GB2312" w:cs="仿宋_GB2312"/>
          <w:sz w:val="28"/>
          <w:szCs w:val="28"/>
          <w:lang w:eastAsia="zh-CN"/>
        </w:rPr>
        <w:t>。</w:t>
      </w:r>
    </w:p>
    <w:p w14:paraId="6BE0DFB9">
      <w:pPr>
        <w:pStyle w:val="4"/>
        <w:keepNext w:val="0"/>
        <w:spacing w:before="0" w:after="0" w:line="360" w:lineRule="auto"/>
        <w:jc w:val="both"/>
        <w:rPr>
          <w:rFonts w:ascii="仿宋_GB2312" w:hAnsi="仿宋_GB2312" w:eastAsia="仿宋_GB2312" w:cs="仿宋_GB2312"/>
          <w:b/>
          <w:bCs/>
          <w:sz w:val="28"/>
          <w:szCs w:val="28"/>
        </w:rPr>
      </w:pPr>
      <w:bookmarkStart w:id="16" w:name="_Toc256000014"/>
      <w:r>
        <w:rPr>
          <w:rFonts w:ascii="仿宋_GB2312" w:hAnsi="仿宋_GB2312" w:eastAsia="仿宋_GB2312" w:cs="仿宋_GB2312"/>
          <w:sz w:val="28"/>
          <w:szCs w:val="28"/>
        </w:rPr>
        <w:t>2.1.4是否专门面向中小企业</w:t>
      </w:r>
      <w:bookmarkEnd w:id="16"/>
    </w:p>
    <w:p w14:paraId="3D03F6AB">
      <w:pPr>
        <w:spacing w:before="0" w:after="0" w:line="360" w:lineRule="auto"/>
        <w:ind w:firstLine="561"/>
        <w:jc w:val="both"/>
        <w:rPr>
          <w:rFonts w:hint="eastAsia" w:ascii="仿宋_GB2312" w:hAnsi="仿宋_GB2312" w:eastAsia="仿宋_GB2312" w:cs="仿宋_GB2312"/>
          <w:sz w:val="28"/>
          <w:szCs w:val="28"/>
          <w:lang w:eastAsia="zh-CN"/>
        </w:rPr>
      </w:pPr>
      <w:r>
        <w:rPr>
          <w:rFonts w:ascii="仿宋_GB2312" w:hAnsi="仿宋_GB2312" w:eastAsia="仿宋_GB2312" w:cs="仿宋_GB2312"/>
          <w:sz w:val="28"/>
          <w:szCs w:val="28"/>
        </w:rPr>
        <w:t>本项目不专门面向中小企业采购项目</w:t>
      </w:r>
      <w:r>
        <w:rPr>
          <w:rFonts w:hint="eastAsia" w:ascii="仿宋_GB2312" w:hAnsi="仿宋_GB2312" w:eastAsia="仿宋_GB2312" w:cs="仿宋_GB2312"/>
          <w:sz w:val="28"/>
          <w:szCs w:val="28"/>
          <w:lang w:eastAsia="zh-CN"/>
        </w:rPr>
        <w:t>。</w:t>
      </w:r>
    </w:p>
    <w:p w14:paraId="7A30D000">
      <w:pPr>
        <w:pStyle w:val="4"/>
        <w:keepNext w:val="0"/>
        <w:spacing w:before="0" w:after="0" w:line="360" w:lineRule="auto"/>
        <w:jc w:val="both"/>
        <w:rPr>
          <w:rFonts w:ascii="仿宋_GB2312" w:hAnsi="仿宋_GB2312" w:eastAsia="仿宋_GB2312" w:cs="仿宋_GB2312"/>
          <w:b/>
          <w:bCs/>
          <w:sz w:val="28"/>
          <w:szCs w:val="28"/>
        </w:rPr>
      </w:pPr>
      <w:bookmarkStart w:id="17" w:name="_Toc256000015"/>
      <w:r>
        <w:rPr>
          <w:rFonts w:ascii="仿宋_GB2312" w:hAnsi="仿宋_GB2312" w:eastAsia="仿宋_GB2312" w:cs="仿宋_GB2312"/>
          <w:sz w:val="28"/>
          <w:szCs w:val="28"/>
        </w:rPr>
        <w:t>2.1.5其他要求</w:t>
      </w:r>
      <w:bookmarkEnd w:id="17"/>
    </w:p>
    <w:p w14:paraId="3A6A7716">
      <w:pPr>
        <w:pStyle w:val="15"/>
        <w:spacing w:before="0" w:after="0" w:line="360" w:lineRule="auto"/>
        <w:ind w:left="0" w:right="0" w:firstLine="560"/>
        <w:jc w:val="both"/>
      </w:pPr>
      <w:r>
        <w:rPr>
          <w:rFonts w:ascii="FangSong_GB2312" w:hAnsi="FangSong_GB2312" w:eastAsia="FangSong_GB2312" w:cs="FangSong_GB2312"/>
          <w:sz w:val="28"/>
          <w:szCs w:val="28"/>
        </w:rPr>
        <w:t>无。</w:t>
      </w:r>
    </w:p>
    <w:p w14:paraId="24A4CA84">
      <w:pPr>
        <w:pStyle w:val="3"/>
        <w:keepNext w:val="0"/>
        <w:spacing w:before="0" w:after="0" w:line="360" w:lineRule="auto"/>
        <w:jc w:val="both"/>
        <w:rPr>
          <w:rFonts w:ascii="仿宋_GB2312" w:hAnsi="仿宋_GB2312" w:eastAsia="仿宋_GB2312" w:cs="仿宋_GB2312"/>
          <w:b/>
          <w:bCs/>
          <w:sz w:val="28"/>
          <w:szCs w:val="28"/>
        </w:rPr>
      </w:pPr>
      <w:bookmarkStart w:id="18" w:name="_Toc256000016"/>
      <w:r>
        <w:rPr>
          <w:rFonts w:ascii="仿宋_GB2312" w:hAnsi="仿宋_GB2312" w:eastAsia="仿宋_GB2312" w:cs="仿宋_GB2312"/>
          <w:i w:val="0"/>
          <w:iCs w:val="0"/>
        </w:rPr>
        <w:t>2.2技术部分投标/响应内容</w:t>
      </w:r>
      <w:bookmarkEnd w:id="18"/>
    </w:p>
    <w:p w14:paraId="37FFCA13">
      <w:pPr>
        <w:pStyle w:val="4"/>
        <w:keepNext w:val="0"/>
        <w:spacing w:before="0" w:after="0" w:line="360" w:lineRule="auto"/>
        <w:jc w:val="both"/>
        <w:rPr>
          <w:rFonts w:ascii="仿宋_GB2312" w:hAnsi="仿宋_GB2312" w:eastAsia="仿宋_GB2312" w:cs="仿宋_GB2312"/>
          <w:b/>
          <w:bCs/>
          <w:sz w:val="28"/>
          <w:szCs w:val="28"/>
        </w:rPr>
      </w:pPr>
      <w:bookmarkStart w:id="19" w:name="_Toc256000017"/>
      <w:r>
        <w:rPr>
          <w:rFonts w:ascii="仿宋_GB2312" w:hAnsi="仿宋_GB2312" w:eastAsia="仿宋_GB2312" w:cs="仿宋_GB2312"/>
          <w:sz w:val="28"/>
          <w:szCs w:val="28"/>
        </w:rPr>
        <w:t>2.2.1技术投标/响应总要求</w:t>
      </w:r>
      <w:bookmarkEnd w:id="19"/>
    </w:p>
    <w:p w14:paraId="3123A1D9">
      <w:pPr>
        <w:pStyle w:val="15"/>
        <w:spacing w:before="0" w:after="0" w:line="360" w:lineRule="auto"/>
        <w:ind w:left="0" w:right="0" w:firstLine="560"/>
        <w:jc w:val="both"/>
      </w:pPr>
      <w:r>
        <w:rPr>
          <w:rFonts w:ascii="FangSong_GB2312" w:hAnsi="FangSong_GB2312" w:eastAsia="FangSong_GB2312" w:cs="FangSong_GB2312"/>
          <w:sz w:val="28"/>
          <w:szCs w:val="28"/>
        </w:rPr>
        <w:t>无。</w:t>
      </w:r>
    </w:p>
    <w:p w14:paraId="4D8BD44B">
      <w:pPr>
        <w:pStyle w:val="4"/>
        <w:keepNext w:val="0"/>
        <w:spacing w:before="0" w:after="0" w:line="360" w:lineRule="auto"/>
        <w:jc w:val="both"/>
        <w:rPr>
          <w:rFonts w:ascii="仿宋_GB2312" w:hAnsi="仿宋_GB2312" w:eastAsia="仿宋_GB2312" w:cs="仿宋_GB2312"/>
          <w:b/>
          <w:bCs/>
          <w:sz w:val="28"/>
          <w:szCs w:val="28"/>
        </w:rPr>
      </w:pPr>
      <w:bookmarkStart w:id="20" w:name="_Toc256000018"/>
      <w:r>
        <w:rPr>
          <w:rFonts w:ascii="仿宋_GB2312" w:hAnsi="仿宋_GB2312" w:eastAsia="仿宋_GB2312" w:cs="仿宋_GB2312"/>
          <w:sz w:val="28"/>
          <w:szCs w:val="28"/>
        </w:rPr>
        <w:t>2.2.2投标/响应方案要求</w:t>
      </w:r>
      <w:bookmarkEnd w:id="20"/>
    </w:p>
    <w:p w14:paraId="4FF68105">
      <w:pPr>
        <w:spacing w:before="0" w:after="0" w:line="360" w:lineRule="auto"/>
        <w:ind w:firstLine="561"/>
        <w:jc w:val="both"/>
        <w:rPr>
          <w:rFonts w:ascii="仿宋_GB2312" w:hAnsi="仿宋_GB2312" w:eastAsia="仿宋_GB2312" w:cs="仿宋_GB2312"/>
          <w:sz w:val="28"/>
          <w:szCs w:val="28"/>
        </w:rPr>
      </w:pPr>
      <w:r>
        <w:rPr>
          <w:rFonts w:ascii="仿宋_GB2312" w:hAnsi="仿宋_GB2312" w:eastAsia="仿宋_GB2312" w:cs="仿宋_GB2312"/>
          <w:sz w:val="28"/>
          <w:szCs w:val="28"/>
        </w:rPr>
        <w:t>以下相关方案，若作为评审因素，则投标人应在满足★必备指标项要求的前提下，基于对优于★指标项及#、△指标项的应答，根据项目特点和采购需求，制定更为完整、详细、可操作性强的方案。</w:t>
      </w:r>
    </w:p>
    <w:p w14:paraId="15867443">
      <w:pPr>
        <w:pStyle w:val="5"/>
        <w:keepNext w:val="0"/>
        <w:spacing w:before="0" w:after="0" w:line="360" w:lineRule="auto"/>
        <w:jc w:val="both"/>
        <w:rPr>
          <w:rFonts w:ascii="仿宋_GB2312" w:hAnsi="仿宋_GB2312" w:eastAsia="仿宋_GB2312" w:cs="仿宋_GB2312"/>
          <w:b/>
          <w:bCs/>
          <w:sz w:val="28"/>
          <w:szCs w:val="28"/>
        </w:rPr>
      </w:pPr>
      <w:r>
        <w:rPr>
          <w:rFonts w:ascii="仿宋_GB2312" w:hAnsi="仿宋_GB2312" w:eastAsia="仿宋_GB2312" w:cs="仿宋_GB2312"/>
        </w:rPr>
        <w:t>2.2.2.1项目需求理解</w:t>
      </w:r>
    </w:p>
    <w:p w14:paraId="1EAAFAE1">
      <w:pPr>
        <w:pStyle w:val="15"/>
        <w:spacing w:before="0" w:after="0" w:line="360" w:lineRule="auto"/>
        <w:ind w:left="0" w:right="0" w:firstLine="561"/>
        <w:jc w:val="both"/>
      </w:pPr>
      <w:r>
        <w:rPr>
          <w:rFonts w:ascii="仿宋_GB2312" w:hAnsi="仿宋_GB2312" w:eastAsia="仿宋_GB2312" w:cs="仿宋_GB2312"/>
          <w:color w:val="000000"/>
          <w:sz w:val="28"/>
          <w:szCs w:val="28"/>
        </w:rPr>
        <w:t>供应商应当提供针对本项目的</w:t>
      </w:r>
      <w:r>
        <w:rPr>
          <w:rFonts w:ascii="仿宋_GB2312" w:hAnsi="仿宋_GB2312" w:eastAsia="仿宋_GB2312" w:cs="仿宋_GB2312"/>
          <w:sz w:val="28"/>
          <w:szCs w:val="28"/>
        </w:rPr>
        <w:t>采购需求理解方案，方案内容要求包括但不限于项目的背景、服务用户、服务系统等方面的理解。</w:t>
      </w:r>
    </w:p>
    <w:p w14:paraId="4ABC2DEA">
      <w:pPr>
        <w:pStyle w:val="5"/>
        <w:keepNext w:val="0"/>
        <w:spacing w:before="0" w:after="0" w:line="360" w:lineRule="auto"/>
        <w:jc w:val="both"/>
        <w:rPr>
          <w:rFonts w:ascii="仿宋_GB2312" w:hAnsi="仿宋_GB2312" w:eastAsia="仿宋_GB2312" w:cs="仿宋_GB2312"/>
          <w:b/>
          <w:bCs/>
          <w:sz w:val="28"/>
          <w:szCs w:val="28"/>
        </w:rPr>
      </w:pPr>
      <w:r>
        <w:rPr>
          <w:rFonts w:ascii="仿宋_GB2312" w:hAnsi="仿宋_GB2312" w:eastAsia="仿宋_GB2312" w:cs="仿宋_GB2312"/>
        </w:rPr>
        <w:t>2.2.2.2项目实施方案</w:t>
      </w:r>
    </w:p>
    <w:p w14:paraId="4EC4917F">
      <w:pPr>
        <w:pStyle w:val="15"/>
        <w:spacing w:before="0" w:after="0" w:line="360" w:lineRule="auto"/>
        <w:ind w:left="0" w:right="0" w:firstLine="561"/>
        <w:jc w:val="both"/>
      </w:pPr>
      <w:r>
        <w:rPr>
          <w:rFonts w:ascii="仿宋_GB2312" w:hAnsi="仿宋_GB2312" w:eastAsia="仿宋_GB2312" w:cs="仿宋_GB2312"/>
          <w:sz w:val="28"/>
          <w:szCs w:val="28"/>
        </w:rPr>
        <w:t>供应商应当提供针对本项目的实施方案，方案内容包括但不限于实施总体方案、实施详细步骤、应急操作方案等内容。</w:t>
      </w:r>
    </w:p>
    <w:p w14:paraId="47BAA687">
      <w:pPr>
        <w:pStyle w:val="5"/>
        <w:keepNext w:val="0"/>
        <w:spacing w:before="0" w:after="0" w:line="360" w:lineRule="auto"/>
        <w:jc w:val="both"/>
        <w:rPr>
          <w:rFonts w:ascii="仿宋_GB2312" w:hAnsi="仿宋_GB2312" w:eastAsia="仿宋_GB2312" w:cs="仿宋_GB2312"/>
          <w:b/>
          <w:bCs/>
          <w:sz w:val="28"/>
          <w:szCs w:val="28"/>
        </w:rPr>
      </w:pPr>
      <w:r>
        <w:rPr>
          <w:rFonts w:ascii="仿宋_GB2312" w:hAnsi="仿宋_GB2312" w:eastAsia="仿宋_GB2312" w:cs="仿宋_GB2312"/>
        </w:rPr>
        <w:t>2.2.2.3安全保障方案</w:t>
      </w:r>
    </w:p>
    <w:p w14:paraId="258E5EF3">
      <w:pPr>
        <w:pStyle w:val="15"/>
        <w:spacing w:before="0" w:after="0" w:line="360" w:lineRule="auto"/>
        <w:ind w:left="0" w:right="0" w:firstLine="561"/>
        <w:jc w:val="both"/>
      </w:pPr>
      <w:r>
        <w:rPr>
          <w:rFonts w:ascii="仿宋_GB2312" w:hAnsi="仿宋_GB2312" w:eastAsia="仿宋_GB2312" w:cs="仿宋_GB2312"/>
          <w:sz w:val="28"/>
          <w:szCs w:val="28"/>
        </w:rPr>
        <w:t>供应商应当提供针对本项目的安全保障方案。方案内容包括但不限于信息安全保障措施、安全管理制度等。</w:t>
      </w:r>
    </w:p>
    <w:p w14:paraId="186B87B8">
      <w:pPr>
        <w:pStyle w:val="5"/>
        <w:keepNext w:val="0"/>
        <w:spacing w:before="0" w:after="0" w:line="360" w:lineRule="auto"/>
        <w:jc w:val="both"/>
        <w:rPr>
          <w:rFonts w:ascii="仿宋_GB2312" w:hAnsi="仿宋_GB2312" w:eastAsia="仿宋_GB2312" w:cs="仿宋_GB2312"/>
          <w:b/>
          <w:bCs/>
          <w:sz w:val="28"/>
          <w:szCs w:val="28"/>
        </w:rPr>
      </w:pPr>
      <w:r>
        <w:rPr>
          <w:rFonts w:ascii="仿宋_GB2312" w:hAnsi="仿宋_GB2312" w:eastAsia="仿宋_GB2312" w:cs="仿宋_GB2312"/>
        </w:rPr>
        <w:t>2.2.2.4培训方案</w:t>
      </w:r>
    </w:p>
    <w:p w14:paraId="50AF2018">
      <w:pPr>
        <w:pStyle w:val="15"/>
        <w:spacing w:before="0" w:after="0" w:line="360" w:lineRule="auto"/>
        <w:ind w:left="0" w:right="0" w:firstLine="561"/>
        <w:jc w:val="both"/>
      </w:pPr>
      <w:r>
        <w:rPr>
          <w:rFonts w:ascii="仿宋_GB2312" w:hAnsi="仿宋_GB2312" w:eastAsia="仿宋_GB2312" w:cs="仿宋_GB2312"/>
          <w:sz w:val="28"/>
          <w:szCs w:val="28"/>
        </w:rPr>
        <w:t>供应商应当提供针对本项目的培训方案。方案内容包括但不限于培训组织、培训计划、课程安排、师资力量及相关保障措施等。</w:t>
      </w:r>
    </w:p>
    <w:p w14:paraId="45198C2E">
      <w:pPr>
        <w:pStyle w:val="5"/>
        <w:keepNext w:val="0"/>
        <w:spacing w:before="0" w:after="0" w:line="360" w:lineRule="auto"/>
        <w:jc w:val="both"/>
        <w:rPr>
          <w:rFonts w:ascii="仿宋_GB2312" w:hAnsi="仿宋_GB2312" w:eastAsia="仿宋_GB2312" w:cs="仿宋_GB2312"/>
          <w:b/>
          <w:bCs/>
          <w:sz w:val="28"/>
          <w:szCs w:val="28"/>
        </w:rPr>
      </w:pPr>
      <w:r>
        <w:rPr>
          <w:rFonts w:ascii="仿宋_GB2312" w:hAnsi="仿宋_GB2312" w:eastAsia="仿宋_GB2312" w:cs="仿宋_GB2312"/>
        </w:rPr>
        <w:t>2.2.2.5售后服务方案</w:t>
      </w:r>
    </w:p>
    <w:p w14:paraId="730A5F01">
      <w:pPr>
        <w:pStyle w:val="15"/>
        <w:spacing w:before="0" w:after="0" w:line="360" w:lineRule="auto"/>
        <w:ind w:left="0" w:right="0" w:firstLine="561"/>
        <w:jc w:val="both"/>
      </w:pPr>
      <w:r>
        <w:rPr>
          <w:rFonts w:ascii="仿宋_GB2312" w:hAnsi="仿宋_GB2312" w:eastAsia="仿宋_GB2312" w:cs="仿宋_GB2312"/>
          <w:sz w:val="28"/>
          <w:szCs w:val="28"/>
        </w:rPr>
        <w:t>供应商应当提供针对本项目的售后服务方案。方案内容包括售后服务工作安排、售后服务响应、应急保障方案和措施等。</w:t>
      </w:r>
    </w:p>
    <w:p w14:paraId="13242D49">
      <w:pPr>
        <w:pStyle w:val="5"/>
        <w:keepNext w:val="0"/>
        <w:spacing w:before="0" w:after="0" w:line="360" w:lineRule="auto"/>
        <w:jc w:val="both"/>
        <w:rPr>
          <w:rFonts w:ascii="仿宋_GB2312" w:hAnsi="仿宋_GB2312" w:eastAsia="仿宋_GB2312" w:cs="仿宋_GB2312"/>
          <w:b/>
          <w:bCs/>
          <w:sz w:val="28"/>
          <w:szCs w:val="28"/>
        </w:rPr>
      </w:pPr>
      <w:r>
        <w:rPr>
          <w:rFonts w:ascii="仿宋_GB2312" w:hAnsi="仿宋_GB2312" w:eastAsia="仿宋_GB2312" w:cs="仿宋_GB2312"/>
        </w:rPr>
        <w:t>2.2.2.6验收方案</w:t>
      </w:r>
    </w:p>
    <w:p w14:paraId="3A3108E7">
      <w:pPr>
        <w:pStyle w:val="15"/>
        <w:spacing w:before="0" w:after="0" w:line="360" w:lineRule="auto"/>
        <w:ind w:left="0" w:right="0" w:firstLine="561"/>
        <w:jc w:val="both"/>
      </w:pPr>
      <w:r>
        <w:rPr>
          <w:rFonts w:ascii="仿宋_GB2312" w:hAnsi="仿宋_GB2312" w:eastAsia="仿宋_GB2312" w:cs="仿宋_GB2312"/>
          <w:sz w:val="28"/>
          <w:szCs w:val="28"/>
        </w:rPr>
        <w:t>供应商应当提供针对本项目的验收方案。根据需要验收的内容，提出切实可行的验收流程。</w:t>
      </w:r>
    </w:p>
    <w:p w14:paraId="1C84CD07">
      <w:pPr>
        <w:pStyle w:val="2"/>
        <w:keepNext w:val="0"/>
        <w:spacing w:before="0" w:after="0" w:line="360" w:lineRule="auto"/>
        <w:jc w:val="center"/>
        <w:rPr>
          <w:rFonts w:ascii="仿宋_GB2312" w:hAnsi="仿宋_GB2312" w:eastAsia="仿宋_GB2312" w:cs="仿宋_GB2312"/>
          <w:b/>
          <w:bCs/>
          <w:sz w:val="32"/>
          <w:szCs w:val="32"/>
        </w:rPr>
      </w:pPr>
      <w:bookmarkStart w:id="21" w:name="_Toc256000019"/>
      <w:r>
        <w:rPr>
          <w:rFonts w:ascii="仿宋_GB2312" w:hAnsi="仿宋_GB2312" w:eastAsia="仿宋_GB2312" w:cs="仿宋_GB2312"/>
          <w:kern w:val="36"/>
        </w:rPr>
        <w:t>3项目需求</w:t>
      </w:r>
      <w:bookmarkEnd w:id="21"/>
    </w:p>
    <w:p w14:paraId="3EC705CA">
      <w:pPr>
        <w:pStyle w:val="3"/>
        <w:keepNext w:val="0"/>
        <w:spacing w:before="0" w:after="0" w:line="360" w:lineRule="auto"/>
        <w:jc w:val="both"/>
        <w:rPr>
          <w:rFonts w:ascii="仿宋_GB2312" w:hAnsi="仿宋_GB2312" w:eastAsia="仿宋_GB2312" w:cs="仿宋_GB2312"/>
          <w:b/>
          <w:bCs/>
          <w:sz w:val="28"/>
          <w:szCs w:val="28"/>
        </w:rPr>
      </w:pPr>
      <w:bookmarkStart w:id="22" w:name="_Toc256000020"/>
      <w:r>
        <w:rPr>
          <w:rFonts w:ascii="仿宋_GB2312" w:hAnsi="仿宋_GB2312" w:eastAsia="仿宋_GB2312" w:cs="仿宋_GB2312"/>
          <w:i w:val="0"/>
          <w:iCs w:val="0"/>
        </w:rPr>
        <w:t>3.1总体要求</w:t>
      </w:r>
      <w:bookmarkEnd w:id="22"/>
    </w:p>
    <w:p w14:paraId="053BD883">
      <w:pPr>
        <w:pStyle w:val="15"/>
        <w:spacing w:before="0" w:after="0" w:line="360" w:lineRule="auto"/>
        <w:ind w:left="0" w:right="0" w:firstLine="561"/>
        <w:jc w:val="both"/>
      </w:pPr>
      <w:r>
        <w:rPr>
          <w:rFonts w:ascii="仿宋_GB2312" w:hAnsi="仿宋_GB2312" w:eastAsia="仿宋_GB2312" w:cs="仿宋_GB2312"/>
          <w:sz w:val="28"/>
          <w:szCs w:val="28"/>
        </w:rPr>
        <w:t>所投产品必须是原厂新品，须于合同签定后的30个自然日内全部到货，到货地点为国家税务总局新疆维吾尔自治区税务局；供应商应按照约定日期完成网络架构设计、综合布线、设备安装部署调试等服务。</w:t>
      </w:r>
    </w:p>
    <w:p w14:paraId="2ABC8499">
      <w:pPr>
        <w:pStyle w:val="3"/>
        <w:keepNext w:val="0"/>
        <w:spacing w:before="0" w:after="0" w:line="360" w:lineRule="auto"/>
        <w:rPr>
          <w:rFonts w:ascii="仿宋_GB2312" w:hAnsi="仿宋_GB2312" w:eastAsia="仿宋_GB2312" w:cs="仿宋_GB2312"/>
          <w:b/>
          <w:bCs/>
          <w:sz w:val="28"/>
          <w:szCs w:val="28"/>
        </w:rPr>
      </w:pPr>
      <w:bookmarkStart w:id="23" w:name="_Toc256000021"/>
      <w:r>
        <w:rPr>
          <w:rFonts w:ascii="仿宋_GB2312" w:hAnsi="仿宋_GB2312" w:eastAsia="仿宋_GB2312" w:cs="仿宋_GB2312"/>
          <w:i w:val="0"/>
          <w:iCs w:val="0"/>
        </w:rPr>
        <w:t>3.2采购产品一览表</w:t>
      </w:r>
      <w:bookmarkEnd w:id="23"/>
    </w:p>
    <w:tbl>
      <w:tblPr>
        <w:tblStyle w:val="11"/>
        <w:tblW w:w="5000" w:type="pct"/>
        <w:tblInd w:w="30" w:type="dxa"/>
        <w:tblLayout w:type="autofit"/>
        <w:tblCellMar>
          <w:top w:w="15" w:type="dxa"/>
          <w:left w:w="15" w:type="dxa"/>
          <w:bottom w:w="15" w:type="dxa"/>
          <w:right w:w="15" w:type="dxa"/>
        </w:tblCellMar>
      </w:tblPr>
      <w:tblGrid>
        <w:gridCol w:w="906"/>
        <w:gridCol w:w="1632"/>
        <w:gridCol w:w="1633"/>
        <w:gridCol w:w="1633"/>
        <w:gridCol w:w="1633"/>
        <w:gridCol w:w="1633"/>
      </w:tblGrid>
      <w:tr w14:paraId="6723C961">
        <w:tblPrEx>
          <w:tblCellMar>
            <w:top w:w="15" w:type="dxa"/>
            <w:left w:w="15" w:type="dxa"/>
            <w:bottom w:w="15" w:type="dxa"/>
            <w:right w:w="15" w:type="dxa"/>
          </w:tblCellMar>
        </w:tblPrEx>
        <w:tc>
          <w:tcPr>
            <w:tcW w:w="50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14:paraId="1E47C7D5">
            <w:pPr>
              <w:jc w:val="center"/>
              <w:rPr>
                <w:rFonts w:ascii="仿宋_GB2312" w:hAnsi="仿宋_GB2312" w:eastAsia="仿宋_GB2312" w:cs="仿宋_GB2312"/>
                <w:b/>
                <w:bCs/>
                <w:i w:val="0"/>
                <w:iCs w:val="0"/>
                <w:smallCaps w:val="0"/>
                <w:color w:val="000000"/>
                <w:sz w:val="21"/>
                <w:szCs w:val="21"/>
              </w:rPr>
            </w:pPr>
            <w:r>
              <w:rPr>
                <w:rFonts w:ascii="仿宋_GB2312" w:hAnsi="仿宋_GB2312" w:eastAsia="仿宋_GB2312" w:cs="仿宋_GB2312"/>
                <w:b/>
                <w:bCs/>
                <w:i w:val="0"/>
                <w:iCs w:val="0"/>
                <w:smallCaps w:val="0"/>
                <w:color w:val="000000"/>
                <w:sz w:val="21"/>
                <w:szCs w:val="21"/>
              </w:rPr>
              <w:t>序号</w:t>
            </w:r>
          </w:p>
        </w:tc>
        <w:tc>
          <w:tcPr>
            <w:tcW w:w="90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14:paraId="6EE68B33">
            <w:pPr>
              <w:jc w:val="center"/>
              <w:rPr>
                <w:rFonts w:ascii="仿宋_GB2312" w:hAnsi="仿宋_GB2312" w:eastAsia="仿宋_GB2312" w:cs="仿宋_GB2312"/>
                <w:b/>
                <w:bCs/>
                <w:i w:val="0"/>
                <w:iCs w:val="0"/>
                <w:smallCaps w:val="0"/>
                <w:color w:val="000000"/>
                <w:sz w:val="21"/>
                <w:szCs w:val="21"/>
              </w:rPr>
            </w:pPr>
            <w:r>
              <w:rPr>
                <w:rFonts w:ascii="仿宋_GB2312" w:hAnsi="仿宋_GB2312" w:eastAsia="仿宋_GB2312" w:cs="仿宋_GB2312"/>
                <w:b/>
                <w:bCs/>
                <w:i w:val="0"/>
                <w:iCs w:val="0"/>
                <w:smallCaps w:val="0"/>
                <w:color w:val="000000"/>
                <w:sz w:val="21"/>
                <w:szCs w:val="21"/>
              </w:rPr>
              <w:t>产品类别</w:t>
            </w:r>
          </w:p>
        </w:tc>
        <w:tc>
          <w:tcPr>
            <w:tcW w:w="90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14:paraId="70A4E049">
            <w:pPr>
              <w:jc w:val="center"/>
              <w:rPr>
                <w:rFonts w:ascii="仿宋_GB2312" w:hAnsi="仿宋_GB2312" w:eastAsia="仿宋_GB2312" w:cs="仿宋_GB2312"/>
                <w:b/>
                <w:bCs/>
                <w:i w:val="0"/>
                <w:iCs w:val="0"/>
                <w:smallCaps w:val="0"/>
                <w:color w:val="000000"/>
                <w:sz w:val="21"/>
                <w:szCs w:val="21"/>
              </w:rPr>
            </w:pPr>
            <w:r>
              <w:rPr>
                <w:rFonts w:ascii="仿宋_GB2312" w:hAnsi="仿宋_GB2312" w:eastAsia="仿宋_GB2312" w:cs="仿宋_GB2312"/>
                <w:b/>
                <w:bCs/>
                <w:i w:val="0"/>
                <w:iCs w:val="0"/>
                <w:smallCaps w:val="0"/>
                <w:color w:val="000000"/>
                <w:sz w:val="21"/>
                <w:szCs w:val="21"/>
              </w:rPr>
              <w:t>产品名称</w:t>
            </w:r>
          </w:p>
        </w:tc>
        <w:tc>
          <w:tcPr>
            <w:tcW w:w="90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14:paraId="4F24BAEF">
            <w:pPr>
              <w:jc w:val="center"/>
              <w:rPr>
                <w:rFonts w:ascii="仿宋_GB2312" w:hAnsi="仿宋_GB2312" w:eastAsia="仿宋_GB2312" w:cs="仿宋_GB2312"/>
                <w:b/>
                <w:bCs/>
                <w:i w:val="0"/>
                <w:iCs w:val="0"/>
                <w:smallCaps w:val="0"/>
                <w:color w:val="000000"/>
                <w:sz w:val="21"/>
                <w:szCs w:val="21"/>
              </w:rPr>
            </w:pPr>
            <w:r>
              <w:rPr>
                <w:rFonts w:ascii="仿宋_GB2312" w:hAnsi="仿宋_GB2312" w:eastAsia="仿宋_GB2312" w:cs="仿宋_GB2312"/>
                <w:b/>
                <w:bCs/>
                <w:i w:val="0"/>
                <w:iCs w:val="0"/>
                <w:smallCaps w:val="0"/>
                <w:color w:val="000000"/>
                <w:sz w:val="21"/>
                <w:szCs w:val="21"/>
              </w:rPr>
              <w:t>数量</w:t>
            </w:r>
          </w:p>
        </w:tc>
        <w:tc>
          <w:tcPr>
            <w:tcW w:w="90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14:paraId="568597C1">
            <w:pPr>
              <w:jc w:val="center"/>
              <w:rPr>
                <w:rFonts w:ascii="仿宋_GB2312" w:hAnsi="仿宋_GB2312" w:eastAsia="仿宋_GB2312" w:cs="仿宋_GB2312"/>
                <w:b/>
                <w:bCs/>
                <w:i w:val="0"/>
                <w:iCs w:val="0"/>
                <w:smallCaps w:val="0"/>
                <w:color w:val="000000"/>
                <w:sz w:val="21"/>
                <w:szCs w:val="21"/>
              </w:rPr>
            </w:pPr>
            <w:r>
              <w:rPr>
                <w:rFonts w:ascii="仿宋_GB2312" w:hAnsi="仿宋_GB2312" w:eastAsia="仿宋_GB2312" w:cs="仿宋_GB2312"/>
                <w:b/>
                <w:bCs/>
                <w:i w:val="0"/>
                <w:iCs w:val="0"/>
                <w:smallCaps w:val="0"/>
                <w:color w:val="000000"/>
                <w:sz w:val="21"/>
                <w:szCs w:val="21"/>
              </w:rPr>
              <w:t>单位</w:t>
            </w:r>
          </w:p>
        </w:tc>
        <w:tc>
          <w:tcPr>
            <w:tcW w:w="90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14:paraId="1E79D868">
            <w:pPr>
              <w:jc w:val="center"/>
              <w:rPr>
                <w:rFonts w:ascii="仿宋_GB2312" w:hAnsi="仿宋_GB2312" w:eastAsia="仿宋_GB2312" w:cs="仿宋_GB2312"/>
                <w:b/>
                <w:bCs/>
                <w:i w:val="0"/>
                <w:iCs w:val="0"/>
                <w:smallCaps w:val="0"/>
                <w:color w:val="000000"/>
                <w:sz w:val="21"/>
                <w:szCs w:val="21"/>
              </w:rPr>
            </w:pPr>
            <w:r>
              <w:rPr>
                <w:rFonts w:ascii="仿宋_GB2312" w:hAnsi="仿宋_GB2312" w:eastAsia="仿宋_GB2312" w:cs="仿宋_GB2312"/>
                <w:b/>
                <w:bCs/>
                <w:i w:val="0"/>
                <w:iCs w:val="0"/>
                <w:smallCaps w:val="0"/>
                <w:color w:val="000000"/>
                <w:sz w:val="21"/>
                <w:szCs w:val="21"/>
              </w:rPr>
              <w:t>备注</w:t>
            </w:r>
          </w:p>
        </w:tc>
      </w:tr>
      <w:tr w14:paraId="68130E10">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B1D9C6B">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1</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59713AE">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安全设备</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8108A94">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动态安全防护</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CF11DF5">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2</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C44008D">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台</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7C5F776">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5年质保</w:t>
            </w:r>
          </w:p>
        </w:tc>
      </w:tr>
      <w:tr w14:paraId="4E9A8014">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262E66E">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2</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C3BB6BF">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安全设备</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EC2EFBC">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API接口安全审计</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778369F">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1</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856E1C8">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台</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0AF263B">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5年质保</w:t>
            </w:r>
          </w:p>
        </w:tc>
      </w:tr>
      <w:tr w14:paraId="21015219">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17B2648">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3</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8EE8F5B">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系统软件</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11D04AD">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主机安全防护</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8C740B2">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1</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B442536">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套</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7ED9364">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5年质保</w:t>
            </w:r>
          </w:p>
        </w:tc>
      </w:tr>
      <w:tr w14:paraId="4FA51B62">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4BA81E6">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4</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C64D1C8">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安全设备</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0B7CB55">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防火墙</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F6835BF">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1</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7C46DAB">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台</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D7810C2">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5年质保</w:t>
            </w:r>
          </w:p>
        </w:tc>
      </w:tr>
    </w:tbl>
    <w:p w14:paraId="788B8938">
      <w:pPr>
        <w:pStyle w:val="3"/>
        <w:keepNext w:val="0"/>
        <w:spacing w:before="0" w:after="0" w:line="360" w:lineRule="auto"/>
        <w:rPr>
          <w:rFonts w:ascii="仿宋_GB2312" w:hAnsi="仿宋_GB2312" w:eastAsia="仿宋_GB2312" w:cs="仿宋_GB2312"/>
          <w:b/>
          <w:bCs/>
          <w:sz w:val="28"/>
          <w:szCs w:val="28"/>
        </w:rPr>
      </w:pPr>
      <w:bookmarkStart w:id="24" w:name="_Toc256000022"/>
      <w:r>
        <w:rPr>
          <w:rFonts w:ascii="仿宋_GB2312" w:hAnsi="仿宋_GB2312" w:eastAsia="仿宋_GB2312" w:cs="仿宋_GB2312"/>
          <w:i w:val="0"/>
          <w:iCs w:val="0"/>
        </w:rPr>
        <w:t>3.3采购产品详细清单及技术指标</w:t>
      </w:r>
      <w:bookmarkEnd w:id="24"/>
    </w:p>
    <w:p w14:paraId="4212B5CB">
      <w:pPr>
        <w:spacing w:before="0" w:after="0" w:line="360" w:lineRule="auto"/>
        <w:ind w:firstLine="561"/>
        <w:rPr>
          <w:rFonts w:ascii="仿宋_GB2312" w:hAnsi="仿宋_GB2312" w:eastAsia="仿宋_GB2312" w:cs="仿宋_GB2312"/>
          <w:sz w:val="28"/>
          <w:szCs w:val="28"/>
        </w:rPr>
      </w:pPr>
      <w:r>
        <w:rPr>
          <w:rFonts w:ascii="仿宋_GB2312" w:hAnsi="仿宋_GB2312" w:eastAsia="仿宋_GB2312" w:cs="仿宋_GB2312"/>
          <w:sz w:val="28"/>
          <w:szCs w:val="28"/>
        </w:rPr>
        <w:t>采购文件（技术部分）中有标注★号的，为必备要求，必须满足，如未作出响应，将导致响应无效；#为重要内容、△为一般内容。</w:t>
      </w:r>
    </w:p>
    <w:tbl>
      <w:tblPr>
        <w:tblStyle w:val="11"/>
        <w:tblW w:w="5000" w:type="pct"/>
        <w:tblInd w:w="30" w:type="dxa"/>
        <w:tblLayout w:type="autofit"/>
        <w:tblCellMar>
          <w:top w:w="15" w:type="dxa"/>
          <w:left w:w="15" w:type="dxa"/>
          <w:bottom w:w="15" w:type="dxa"/>
          <w:right w:w="15" w:type="dxa"/>
        </w:tblCellMar>
      </w:tblPr>
      <w:tblGrid>
        <w:gridCol w:w="804"/>
        <w:gridCol w:w="1530"/>
        <w:gridCol w:w="1530"/>
        <w:gridCol w:w="2144"/>
        <w:gridCol w:w="1531"/>
        <w:gridCol w:w="1531"/>
      </w:tblGrid>
      <w:tr w14:paraId="614A5EF1">
        <w:tblPrEx>
          <w:tblCellMar>
            <w:top w:w="15" w:type="dxa"/>
            <w:left w:w="15" w:type="dxa"/>
            <w:bottom w:w="15" w:type="dxa"/>
            <w:right w:w="15" w:type="dxa"/>
          </w:tblCellMar>
        </w:tblPrEx>
        <w:tc>
          <w:tcPr>
            <w:tcW w:w="50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14:paraId="08F157C6">
            <w:pPr>
              <w:jc w:val="center"/>
              <w:rPr>
                <w:rFonts w:ascii="仿宋_GB2312" w:hAnsi="仿宋_GB2312" w:eastAsia="仿宋_GB2312" w:cs="仿宋_GB2312"/>
                <w:b/>
                <w:bCs/>
                <w:i w:val="0"/>
                <w:iCs w:val="0"/>
                <w:smallCaps w:val="0"/>
                <w:color w:val="000000"/>
                <w:sz w:val="21"/>
                <w:szCs w:val="21"/>
              </w:rPr>
            </w:pPr>
            <w:r>
              <w:rPr>
                <w:rFonts w:ascii="仿宋_GB2312" w:hAnsi="仿宋_GB2312" w:eastAsia="仿宋_GB2312" w:cs="仿宋_GB2312"/>
                <w:b/>
                <w:bCs/>
                <w:i w:val="0"/>
                <w:iCs w:val="0"/>
                <w:smallCaps w:val="0"/>
                <w:color w:val="000000"/>
                <w:sz w:val="21"/>
                <w:szCs w:val="21"/>
              </w:rPr>
              <w:t>序号</w:t>
            </w:r>
          </w:p>
        </w:tc>
        <w:tc>
          <w:tcPr>
            <w:tcW w:w="90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14:paraId="2F265151">
            <w:pPr>
              <w:jc w:val="center"/>
              <w:rPr>
                <w:rFonts w:ascii="仿宋_GB2312" w:hAnsi="仿宋_GB2312" w:eastAsia="仿宋_GB2312" w:cs="仿宋_GB2312"/>
                <w:b/>
                <w:bCs/>
                <w:i w:val="0"/>
                <w:iCs w:val="0"/>
                <w:smallCaps w:val="0"/>
                <w:color w:val="000000"/>
                <w:sz w:val="21"/>
                <w:szCs w:val="21"/>
              </w:rPr>
            </w:pPr>
            <w:r>
              <w:rPr>
                <w:rFonts w:ascii="仿宋_GB2312" w:hAnsi="仿宋_GB2312" w:eastAsia="仿宋_GB2312" w:cs="仿宋_GB2312"/>
                <w:b/>
                <w:bCs/>
                <w:i w:val="0"/>
                <w:iCs w:val="0"/>
                <w:smallCaps w:val="0"/>
                <w:color w:val="000000"/>
                <w:sz w:val="21"/>
                <w:szCs w:val="21"/>
              </w:rPr>
              <w:t>指标种类</w:t>
            </w:r>
          </w:p>
        </w:tc>
        <w:tc>
          <w:tcPr>
            <w:tcW w:w="90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14:paraId="1A796063">
            <w:pPr>
              <w:jc w:val="center"/>
              <w:rPr>
                <w:rFonts w:ascii="仿宋_GB2312" w:hAnsi="仿宋_GB2312" w:eastAsia="仿宋_GB2312" w:cs="仿宋_GB2312"/>
                <w:b/>
                <w:bCs/>
                <w:i w:val="0"/>
                <w:iCs w:val="0"/>
                <w:smallCaps w:val="0"/>
                <w:color w:val="000000"/>
                <w:sz w:val="21"/>
                <w:szCs w:val="21"/>
              </w:rPr>
            </w:pPr>
            <w:r>
              <w:rPr>
                <w:rFonts w:ascii="仿宋_GB2312" w:hAnsi="仿宋_GB2312" w:eastAsia="仿宋_GB2312" w:cs="仿宋_GB2312"/>
                <w:b/>
                <w:bCs/>
                <w:i w:val="0"/>
                <w:iCs w:val="0"/>
                <w:smallCaps w:val="0"/>
                <w:color w:val="000000"/>
                <w:sz w:val="21"/>
                <w:szCs w:val="21"/>
              </w:rPr>
              <w:t>指标名称</w:t>
            </w:r>
          </w:p>
        </w:tc>
        <w:tc>
          <w:tcPr>
            <w:tcW w:w="90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14:paraId="6C24BDB5">
            <w:pPr>
              <w:jc w:val="center"/>
              <w:rPr>
                <w:rFonts w:ascii="仿宋_GB2312" w:hAnsi="仿宋_GB2312" w:eastAsia="仿宋_GB2312" w:cs="仿宋_GB2312"/>
                <w:b/>
                <w:bCs/>
                <w:i w:val="0"/>
                <w:iCs w:val="0"/>
                <w:smallCaps w:val="0"/>
                <w:color w:val="000000"/>
                <w:sz w:val="21"/>
                <w:szCs w:val="21"/>
              </w:rPr>
            </w:pPr>
            <w:r>
              <w:rPr>
                <w:rFonts w:ascii="仿宋_GB2312" w:hAnsi="仿宋_GB2312" w:eastAsia="仿宋_GB2312" w:cs="仿宋_GB2312"/>
                <w:b/>
                <w:bCs/>
                <w:i w:val="0"/>
                <w:iCs w:val="0"/>
                <w:smallCaps w:val="0"/>
                <w:color w:val="000000"/>
                <w:sz w:val="21"/>
                <w:szCs w:val="21"/>
              </w:rPr>
              <w:t>指标内容</w:t>
            </w:r>
          </w:p>
        </w:tc>
        <w:tc>
          <w:tcPr>
            <w:tcW w:w="90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14:paraId="359601E9">
            <w:pPr>
              <w:jc w:val="center"/>
              <w:rPr>
                <w:rFonts w:ascii="仿宋_GB2312" w:hAnsi="仿宋_GB2312" w:eastAsia="仿宋_GB2312" w:cs="仿宋_GB2312"/>
                <w:b/>
                <w:bCs/>
                <w:i w:val="0"/>
                <w:iCs w:val="0"/>
                <w:smallCaps w:val="0"/>
                <w:color w:val="000000"/>
                <w:sz w:val="21"/>
                <w:szCs w:val="21"/>
              </w:rPr>
            </w:pPr>
            <w:r>
              <w:rPr>
                <w:rFonts w:ascii="仿宋_GB2312" w:hAnsi="仿宋_GB2312" w:eastAsia="仿宋_GB2312" w:cs="仿宋_GB2312"/>
                <w:b/>
                <w:bCs/>
                <w:i w:val="0"/>
                <w:iCs w:val="0"/>
                <w:smallCaps w:val="0"/>
                <w:color w:val="000000"/>
                <w:sz w:val="21"/>
                <w:szCs w:val="21"/>
              </w:rPr>
              <w:t>重要性</w:t>
            </w:r>
          </w:p>
        </w:tc>
        <w:tc>
          <w:tcPr>
            <w:tcW w:w="90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14:paraId="54BC1646">
            <w:pPr>
              <w:jc w:val="center"/>
              <w:rPr>
                <w:rFonts w:ascii="仿宋_GB2312" w:hAnsi="仿宋_GB2312" w:eastAsia="仿宋_GB2312" w:cs="仿宋_GB2312"/>
                <w:b/>
                <w:bCs/>
                <w:i w:val="0"/>
                <w:iCs w:val="0"/>
                <w:smallCaps w:val="0"/>
                <w:color w:val="000000"/>
                <w:sz w:val="21"/>
                <w:szCs w:val="21"/>
              </w:rPr>
            </w:pPr>
            <w:r>
              <w:rPr>
                <w:rFonts w:ascii="仿宋_GB2312" w:hAnsi="仿宋_GB2312" w:eastAsia="仿宋_GB2312" w:cs="仿宋_GB2312"/>
                <w:b/>
                <w:bCs/>
                <w:i w:val="0"/>
                <w:iCs w:val="0"/>
                <w:smallCaps w:val="0"/>
                <w:color w:val="000000"/>
                <w:sz w:val="21"/>
                <w:szCs w:val="21"/>
              </w:rPr>
              <w:t>是否需要证明材料</w:t>
            </w:r>
          </w:p>
        </w:tc>
      </w:tr>
      <w:tr w14:paraId="6F2C6F31">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E0A27CD">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1</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3DF0FE4">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动态安全防护-基础要求</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57DC7D4">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硬件规格、性能</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285693E">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2U国产化硬件2台，国产CPU和操作系统，标配32vCPU、128G内存、2个2TB 硬盘，1+1冗余电源；千兆电口≧4，万兆光口≧2（含2个10G多模光纤模块）。</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D418F03">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F0CC0C8">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否</w:t>
            </w:r>
          </w:p>
        </w:tc>
      </w:tr>
      <w:tr w14:paraId="3BB6FC8C">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32070D7">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2</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E872118">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动态安全防护-基础要求</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FBF7E04">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硬件规格、性能</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C7B9CD1">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万兆环境下：并发TCP会话数&gt;1000万；每秒新建http请求数&gt;35000；TPS处理性能&gt;10000；网络吞吐量（双向）&gt;8G。</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1AB9820">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097622F">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否</w:t>
            </w:r>
          </w:p>
        </w:tc>
      </w:tr>
      <w:tr w14:paraId="2E0AEF7B">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043520B">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3</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94CD7BE">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动态安全防护-基础要求</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C12BD8E">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产品服务</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8276680">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五年产品系统升级、产品保修服务、远程支持服务、硬件故障上门等服务；不限防护站点数量。（提供售后服务承诺函）</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FE25196">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4C03925">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是</w:t>
            </w:r>
          </w:p>
        </w:tc>
      </w:tr>
      <w:tr w14:paraId="795C9FFB">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D6EDE5A">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4</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5707254">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动态安全防护-系统要求</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1C1EF63">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保护模式</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61D5B6A">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产品提供多种不同的保护模式，根据不同的防护阶段开启不同的防护模式，防护模式至少应包括：透明模式、监听模式和拦截模式。</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6777A0A">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2252681">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否</w:t>
            </w:r>
          </w:p>
        </w:tc>
      </w:tr>
      <w:tr w14:paraId="2B7E5D36">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D963458">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5</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2311884">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动态安全防护-系统要求</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0414553">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部署要求</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4069E70">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支持单机、双机热备、集群化部署</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CB140B9">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1B89F6D">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否</w:t>
            </w:r>
          </w:p>
        </w:tc>
      </w:tr>
      <w:tr w14:paraId="32685966">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37699C5">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6</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6AE81C5">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动态安全防护-系统要求</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8720AC4">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部署方式</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5BD4B19">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系统应采用非植入式部署方式，不需要在应用服务器和用户的客户端安装客户端软件，不需要应用系统进行任何的代码二次开发，不需要应用服务器做配置变更，部署对应用无感知。支持以反向代理部署方式部署于受保护的应用系统前端。</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9D89B61">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7868166">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否</w:t>
            </w:r>
          </w:p>
        </w:tc>
      </w:tr>
      <w:tr w14:paraId="561C0512">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A6520F2">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7</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B1B350E">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动态安全防护-动态防护</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395A644">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动态封装</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A57C914">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随返回网页动态封装一段JS，该JS完成与动态应用保护系统的通讯及浏览器侧运行环境验证等功能的执行。（提供截图证明）</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6AE7148">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95DBA00">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是</w:t>
            </w:r>
          </w:p>
        </w:tc>
      </w:tr>
      <w:tr w14:paraId="4083C314">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DFAC9E2">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8</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0C672DE">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动态安全防护-动态防护</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315C547">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终端环境验证</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8044791">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采用动态检查代码检查客户端环境，且每次均随机选取检测项目与数量。提供系统报表截图，证明对客户端环境的检查范围包括：客户端的IP地址、操作系统、浏览器版本、浏览器指纹、键盘及鼠标行为等。（提供截图证明）</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77C3690">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83D6913">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是</w:t>
            </w:r>
          </w:p>
        </w:tc>
      </w:tr>
      <w:tr w14:paraId="0CE611A4">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C32FB61">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9</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FBCDD39">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动态安全防护-动态防护</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26E6BEB">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通信令牌</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9774951">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对当前访问的合法请求基于加密技术授予在一定时间内有效的一次性访问令牌。令牌由系统自动生成，不需要管理员单独进行设置，访问请求自动携带令牌，令牌是可以被查看到，但是一旦令牌更改则访问被拦截。（提供截图证明并说明原理）</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8049BFB">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8C94E21">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是</w:t>
            </w:r>
          </w:p>
        </w:tc>
      </w:tr>
      <w:tr w14:paraId="069C4182">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DAF6BCE">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10</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D3B6453">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动态安全防护-动态防护</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731D5E9">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鼠标轨迹收集</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3269C71">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支持收集浏览器端的鼠标轨迹数据，支持以访问业务的IP和url为收集条件，作为人机识别的辅助依据。（提供截图证明）</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62895F4">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8708447">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是</w:t>
            </w:r>
          </w:p>
        </w:tc>
      </w:tr>
      <w:tr w14:paraId="3F47ACC2">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10EF7B4">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11</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3F2F018">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动态安全防护-攻击防护</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F96F8EF">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攻击入口隐藏</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F6512F2">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在不依赖传统特征库和规则情况下可以对应用层的攻击入口进行隐藏，使自动化工具无法获得应用系统的目录架构和应用层漏洞情况，网站在受保护前存在高危漏洞，受到保护后高危漏洞为0。详细说明在不依靠签名和规则的情况下实现以上功能的方式。（提供开启防护前后扫描工具获取漏洞情况截图）</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B3E865B">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1C6AFC8">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是</w:t>
            </w:r>
          </w:p>
        </w:tc>
      </w:tr>
      <w:tr w14:paraId="6E7EFF38">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AD025B1">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12</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DD73DB9">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动态安全防护-攻击防护</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823D023">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数据爬取防护</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6E116A4">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可防止攻击者通过爬虫或自动化工具，搜刮服务器上的数据或敏感信息。（提供截图证明并说明原理）</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472C2CB">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9CECBB0">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是</w:t>
            </w:r>
          </w:p>
        </w:tc>
      </w:tr>
      <w:tr w14:paraId="3193414D">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743DDAD">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13</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C306D61">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动态安全防护-攻击防护</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0AB80B6">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自动化未知漏洞攻击防护</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BE4A1B7">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不需要攻击特征或规则，即可有效封堵自动化未知漏洞攻击(Struts2、Weblogic反序列等一系列）。（提供详细技术实现方式说明，并提供系统拦截攻击行为告警界面截图能够说明拦截依据，同时提供防护前后攻击效果对比截图。效果截图需要明确显示防护后攻击失败，同时告警截图明确标注攻击拦截依据，且攻击拦截依据不是规则（包括规则编号），不是签名、特征（包括签名号和特征码号））。</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80C4499">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2757227">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是</w:t>
            </w:r>
          </w:p>
        </w:tc>
      </w:tr>
      <w:tr w14:paraId="0E035981">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0E26261">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14</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4133639">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动态安全防护-攻击防护</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2550EC2">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新型webshell防护</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B98BB0C">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不需要任何网页木马后门特征，即可有效防止网页木马后门客户端对网站进行远程操控，包括采用加密Payload的冰蝎、哥斯拉等新型WebShell。（提供截图证明并说明原理）</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D212962">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DA5E75B">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是</w:t>
            </w:r>
          </w:p>
        </w:tc>
      </w:tr>
      <w:tr w14:paraId="7F971337">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E5EF96B">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15</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2237FA6">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动态安全防护-攻击防护</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42D2089">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Bot工具检测及防护</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13DA38E">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（1）支持检测识别扫描工具，如LoadRunner、AWVS、WebInspect、webreaver、Netsparker等。（提供截图证明）</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04C3D52">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2350F0C">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是</w:t>
            </w:r>
          </w:p>
        </w:tc>
      </w:tr>
      <w:tr w14:paraId="005F7D1B">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B98F170">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16</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FC80E40">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动态安全防护-攻击防护</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0CF2C29">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Bot工具检测及防护</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CB67D22">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（2）支持检测识别各类爬虫程序，如Badboy、HTMLUnit、八爪鱼、后羿采集器等。（提供截图证明）</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24CC33F">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12F374E">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是</w:t>
            </w:r>
          </w:p>
        </w:tc>
      </w:tr>
      <w:tr w14:paraId="5E50C224">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30CCFBE">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17</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465D82F">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动态安全防护-攻击防护</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763C759">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Bot工具检测及防护</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C4DAF8D">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（3）支持识别浏览器自动化插件工具，如NODEJS、nightmarejs、SeleniumIDE、WebDriver、phantomJS等。（提供截图证明）</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5DA2833">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53D4F36">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是</w:t>
            </w:r>
          </w:p>
        </w:tc>
      </w:tr>
      <w:tr w14:paraId="146575B1">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5A2D361">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18</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8B2A024">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动态安全防护-攻击防护</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F791154">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RPC绕过检测</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AEB0284">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防止通过RPC方式绕过动态防护系统动态令牌校验，支持通过user_agent、accept_encoding、accept_language等多种属性识别RPC方式请求。（提供截图证明）</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4F3D458">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92447E9">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是</w:t>
            </w:r>
          </w:p>
        </w:tc>
      </w:tr>
      <w:tr w14:paraId="48164137">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3F5E536">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19</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F6715E0">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动态安全防护-攻击防护</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311306E">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暴力密码猜测、字典攻击或撞库等恶意行为</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8BB9D77">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无需设置阈值或频率的情况下可防止攻击者对WEB应用进行暴力密码猜测、字典攻击或撞库等恶意行为。（提供详细防护方式说明并截图证明）</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A71E122">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DBE96EE">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是</w:t>
            </w:r>
          </w:p>
        </w:tc>
      </w:tr>
      <w:tr w14:paraId="421DA51D">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C582EDB">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20</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A66DDBD">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动态安全防护-攻击防护</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29FEC2B">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不通过限制访问速率</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E711241">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即可以防止Web CC攻击和重放攻击，应用系统被防护后可以避免单个页面被不停恶意刷新的攻击行为。（提供详细描述技术实现方式并截图证明）</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AFCD475">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64EC9CB">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是</w:t>
            </w:r>
          </w:p>
        </w:tc>
      </w:tr>
      <w:tr w14:paraId="3D543A40">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24AE4B7">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21</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EBBA84B">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动态安全防护-攻击防护</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A96B2EE">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防调试</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3B9E682">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可以防止攻击者通过浏览器开发者工具等方式对分析网页逻辑或对页面中的JS进行调试，在保护后的页面上打开浏览器开发者工具，鼠标每移动一次都会触发断点（Debugger Paused）而无法继续点击其他按钮或进行调试。（提供截图证明）</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1106028">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EF6B30F">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是</w:t>
            </w:r>
          </w:p>
        </w:tc>
      </w:tr>
      <w:tr w14:paraId="123EDC42">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78D12BF">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22</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8EE26B3">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动态安全防护-攻击防护</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B6466E1">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客户端行为检测</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68BAB0E">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识别用户是否存在键盘鼠标行为，包括但不限于键盘行为事件、鼠标行为事件、鼠标移动距离、页面停留时间等，从而识别是否是真人操作。（提供截图证明）</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88DE723">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948C12C">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是</w:t>
            </w:r>
          </w:p>
        </w:tc>
      </w:tr>
      <w:tr w14:paraId="4935946A">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F097083">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23</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E555012">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动态安全防护-攻击防护</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DEA6522">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代理工具检测</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5AD4496">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支持对浏览器代理工具检测能力，如burp等，识别具有固定SSL指纹的工具, 如Fiddler等。（提供截图证明）</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351EB09">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60BA56F">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是</w:t>
            </w:r>
          </w:p>
        </w:tc>
      </w:tr>
      <w:tr w14:paraId="06AE7FFD">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5A535F1">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24</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BA95CBA">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动态安全防护-攻击防护</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E5E0109">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多源低频检测</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97DE6E5">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针对攻击者使用多源低频的攻击手段进行有效防护，防止攻击者不断更换IP或降低单一IP访问频度来绕过防护策略。（提供详细描述技术实现方式并截图证明）</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0AEE2B8">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A110CDA">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是</w:t>
            </w:r>
          </w:p>
        </w:tc>
      </w:tr>
      <w:tr w14:paraId="1714770B">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47D7A0C">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25</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9E12014">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动态安全防护-日志功能</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10E0765">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日志功能</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6CF48FE">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提供有防护日志、操作审计日志和系统日志。</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3480060">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3063212">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否</w:t>
            </w:r>
          </w:p>
        </w:tc>
      </w:tr>
      <w:tr w14:paraId="149E784D">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D4CC525">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26</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F7A909B">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动态安全防护-日志功能</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4C78820">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日志功能</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0DA832C">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日志记录包含时间、访问网址、来源IP地址、过滤规则及规则细节等。</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2121099">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3CE4658">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否</w:t>
            </w:r>
          </w:p>
        </w:tc>
      </w:tr>
      <w:tr w14:paraId="43D6CBFC">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3A0C518">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27</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B78D416">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动态安全防护-日志功能</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7F3BBE8">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日志功能</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364BAAD">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日志提供查询功能，可以基于任意字段进行报表查询请求。</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4D92708">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97F962C">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否</w:t>
            </w:r>
          </w:p>
        </w:tc>
      </w:tr>
      <w:tr w14:paraId="730B0E50">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0254C18">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28</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EE319DA">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动态安全防护-日志功能</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557366E">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日志功能</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2516764">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日志可通过TCP或UDP协议，输出到指定的Syslog服务器。</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A0735BC">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06DB75C">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否</w:t>
            </w:r>
          </w:p>
        </w:tc>
      </w:tr>
      <w:tr w14:paraId="7D7C2F13">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E4FD557">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29</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DA1B7EA">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动态安全防护-日志功能</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3517608">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日志功能</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10A3DB3">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可自动对日志进行归档及磁盘空间管理。</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3B98238">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ECEDCBB">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否</w:t>
            </w:r>
          </w:p>
        </w:tc>
      </w:tr>
      <w:tr w14:paraId="10AE5F5F">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58A63A6">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30</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E96F37C">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动态安全防护-安全数据分析</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8DD2322">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安全数据分析</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3E6CE8E">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提供统计数据和统计图表，其中包括总请求数、已防护数、异常请求数、已阻止攻击数，异常请求时间图表。（提供截图证明）</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797701E">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F002FF0">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是</w:t>
            </w:r>
          </w:p>
        </w:tc>
      </w:tr>
      <w:tr w14:paraId="17C21CCB">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C40B4C3">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31</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DB50624">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动态安全防护-安全数据分析</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2FF934F">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安全数据分析</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E4142EC">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具备自定义分析数据能力和定制化报表展示能力。（提供截图证明）</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ABE1D60">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BB3C067">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是</w:t>
            </w:r>
          </w:p>
        </w:tc>
      </w:tr>
      <w:tr w14:paraId="53DDD263">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301F42B">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32</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50DAB22">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动态安全防护-扩展能力要求</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EE7F795">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扩展能力要求</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30C791C">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支持移动APP、微信小程序、多维度场景对抗防护、API安全管控扩展能力，可以通过额外增加移动APP、微信小程序、多维度场景对抗防护、API安全管控模块license实现。（提供产品支持防护功能的证明，提供相关功能的技术承诺函并加盖公章）</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6B10857">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6EBF56D">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是</w:t>
            </w:r>
          </w:p>
        </w:tc>
      </w:tr>
      <w:tr w14:paraId="26615D5A">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007C990">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33</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BB96B0C">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动态安全防护-产品资质</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2BEE5D2">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产品资质</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92012D5">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动态应用保护系统应具有国家网络与信息系统安全产品质量监督检验中心、公安部计算机信息系统安全产品质量监督检验中心、公安部信息安全产品检测中心出具的检验检测报告，该检测报告的检测项目要有“自动化工具的防护”相关内容。（提供检测报告复印件/扫描件并加盖公章）</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7D3E425">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CDB14BF">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是</w:t>
            </w:r>
          </w:p>
        </w:tc>
      </w:tr>
      <w:tr w14:paraId="2CB2D130">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B9BDB93">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34</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89028F1">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动态安全防护-产品资质</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31ACCA1">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产品资质</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0C9AB48">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需具备《软件著作权证书》。（提供证书复印件/扫描件并加盖公章）</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B964D58">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8B97A2D">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是</w:t>
            </w:r>
          </w:p>
        </w:tc>
      </w:tr>
      <w:tr w14:paraId="7DD6032C">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8F25F6A">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35</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CA3D491">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动态安全防护-产品资质</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B515C70">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产品资质</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D10E48F">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需具备《网络安全专用产品安全检测证书》或《计算机信息系统安全专用产品销售许可证》或《网络关键设备和网络安全专用产品安全认证证书》，销售许可证或证书产品名称中应含有“动态web”或者“web动态”字样。（提供有效证书复印件/扫描件并加盖公章）</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FE34F7C">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C70D90E">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是</w:t>
            </w:r>
          </w:p>
        </w:tc>
      </w:tr>
      <w:tr w14:paraId="12E2F0A1">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8E1CCC4">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36</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45C0420">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API接口安全审计-设备参数</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BB79E2B">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设备参数</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D1E9158">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2U设备，国产CPU和操作系统，内存≥128G，硬盘≥4T，接口≥4个电口,≥4个千兆光口,≥4个万兆光口，满配光模块，冗余电源；</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提供5年硬件质保、5年软件版本升级。</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（提供制造商出具的项目授权书及售后服务承诺函）</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DE51607">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927AAE6">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是</w:t>
            </w:r>
          </w:p>
        </w:tc>
      </w:tr>
      <w:tr w14:paraId="4510FDF6">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DE952AE">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37</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ACF846E">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API接口安全审计-部署解析</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AF23759">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部署解析</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9FEDF34">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支持旁路部署，对镜像流量或者分光流量进行解析识别；</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支持 HTTP、HTTP2 协议解析；</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支持在业务系统中安装 Agent 探针获取传输流量。（提供系统页面截图并加盖公章）</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FA5ED44">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1DB6E09">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是</w:t>
            </w:r>
          </w:p>
        </w:tc>
      </w:tr>
      <w:tr w14:paraId="1D168DDC">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1FB6985">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38</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10FCFA0">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API接口安全审计-日志管理</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87A6307">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日志外发</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D1D5CEA">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支持告警日志、审计日志、系统日志外发；支持 syslog、kafka 外发方式。（提供系统页面截图并加盖公章）</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51839D2">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6729EB5">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是</w:t>
            </w:r>
          </w:p>
        </w:tc>
      </w:tr>
      <w:tr w14:paraId="2FEAFC28">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1855BFB">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39</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9A7828A">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API接口安全审计-兼容性</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E043069">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协议兼容</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3D817ED">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支持IPv4、IPv6双协议栈；支持链路聚合。（提供系统页面截图并加盖公章）</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68398A2">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C23B675">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是</w:t>
            </w:r>
          </w:p>
        </w:tc>
      </w:tr>
      <w:tr w14:paraId="69CABCFA">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9D186D0">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40</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483D8D2">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API接口安全审计-账户管理</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90E000A">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账户管理</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3B4048E">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内置Admin、Grantor、Auditor账户权限；支持多因子认证；支持本地认证、外部认证（radius、ldap、tacacs+）。（提供系统页面截图并加盖公章）</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72A1176">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9444BFE">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是</w:t>
            </w:r>
          </w:p>
        </w:tc>
      </w:tr>
      <w:tr w14:paraId="7F642BEF">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E1B3B19">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41</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85AF215">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API接口安全审计-资产梳理</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798734F">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资产发现</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CFAEB3E">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支持对镜像流量进行解析，发现资产信息，包括 IP、MAC、资产类型、承载服务信息。（提供系统页面截图并加盖公章）</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A463BC7">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64E7540">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是</w:t>
            </w:r>
          </w:p>
        </w:tc>
      </w:tr>
      <w:tr w14:paraId="4CA8DB65">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F4462B2">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42</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DBF4FD1">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API接口安全审计-资产梳理</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550FFE7">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API自动发现</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5E03FFC">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支持通过对接入流量进行分析，自动发现API并可区分静态资源；</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支持自动发现流量中的业务服务(域名:端口)；</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支持对API请求响应结构体进行自动发现，穷举展示API请求和响应中query、header、body中所有业务键值对。（提供系统页面截图并加盖公章）</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0F00AD8">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9D347CF">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是</w:t>
            </w:r>
          </w:p>
        </w:tc>
      </w:tr>
      <w:tr w14:paraId="5CA74387">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B512411">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43</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6D75A08">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API接口安全审计-资产梳理</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D68F266">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API自动发现</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62C04D6">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支持 API 接口发现，支持自动梳理镜像流量中的接口数据，形成 API 资产列表。（提供系统页面截图并加盖公章）</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9CEEA1B">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7A7E1F4">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是</w:t>
            </w:r>
          </w:p>
        </w:tc>
      </w:tr>
      <w:tr w14:paraId="60E71BA9">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B860CDD">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44</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D8449CD">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API接口安全审计-资产梳理</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50BD308">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API聚合</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519BEB0">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系统内置自动聚合模型，支持对满足条件的Restful类型接口自动聚合，发现更为精准的业务API，减少API噪声；</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支持自动URL路径聚合，对URL路径进行智能聚合操作，能够识别并汇总相同模式下的不同参数值。例如，对于路径格式 /project//commit/，系统能够自动聚合同一项目(pid)下的所有提交(ref_name)，实现高效的数据组织与分析；</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支持根据不同业务情况配置restful规范中的urlpath位置变量，手动编写应用或API聚合/不聚合规则，API发现引擎将按照聚合规则执行API发现任务。支持多聚合/不聚合任务并行。（提供系统页面截图并加盖公章）</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BB80DA3">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3FD53AB">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是</w:t>
            </w:r>
          </w:p>
        </w:tc>
      </w:tr>
      <w:tr w14:paraId="7A448128">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02D1AC7">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45</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2A62ECC">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API接口安全审计-资产梳理</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EBF7111">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API拆分</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9CC2542">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系统内置自动拆分模型，支持对满足条件的RPC类型接口自动谓词拆分，发现展示业务真实API。（提供系统页面截图并加盖公章）</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E58A350">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9F1846E">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是</w:t>
            </w:r>
          </w:p>
        </w:tc>
      </w:tr>
      <w:tr w14:paraId="67736018">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2549A87">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46</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A16F371">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API接口安全审计-资产梳理</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F223FE6">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API拆分</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40B93B7">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支持内置资产发现逻辑，用户能够根据业务需求配置query与body字段，采用预设的高效拆分逻辑。API发现引擎即刻响应这些规则，启动发现任务并在五分钟内完成，确保拆分操作的即时执行，适配快速迭代的业务环境。（提供系统页面截图并加盖公章）</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4EF8521">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ADE0DE3">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是</w:t>
            </w:r>
          </w:p>
        </w:tc>
      </w:tr>
      <w:tr w14:paraId="6D0A65E7">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3FA6402">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47</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0F7835C">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API接口安全审计-资产梳理</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FC52070">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应用资产台账</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F158094">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支持对发现的资产进行确认形成应用资产台账；</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应用列表显示应用名称、域名、端口、服务器名称、服务器版本、API 接口总数、新上线接口数、僵尸接口数、弱点数量、责任人、联系方式、公网暴露、标签等。（提供系统页面截图并加盖公章）</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1659BF2">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EE091EF">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是</w:t>
            </w:r>
          </w:p>
        </w:tc>
      </w:tr>
      <w:tr w14:paraId="14221A16">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46AA392">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48</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717D8C6">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API接口安全审计-资产梳理</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5282C7F">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API资产梳理</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D6A197B">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支持 API 接口备案，支持手动添加 API 资产，手动定义 URL、请求方法、行为标签、分类标识、分级标识、接口类型形成 API 资产备案。（提供系统页面截图并加盖公章）</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B005C60">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D02B2CC">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是</w:t>
            </w:r>
          </w:p>
        </w:tc>
      </w:tr>
      <w:tr w14:paraId="2F47E903">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B0911D9">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49</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525C568">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API接口安全审计-资产梳理</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8E41923">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API资产梳理</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E9DE4A9">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支持接口过滤，支持通过配置时间、HTTP 域名、请求类型、响应类型、响应码、cookie 等 30 种条件过滤白名单接口。（提供系统页面截图并加盖公章）</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DF3B5E5">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D76715A">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是</w:t>
            </w:r>
          </w:p>
        </w:tc>
      </w:tr>
      <w:tr w14:paraId="7B92FAC7">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E4D1B54">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50</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ED03EEC">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API接口安全审计-资产梳理</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F34D811">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API资产梳理</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EDBAAA9">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支持 API 列表信息导入、导出。（提供系统页面截图并加盖公章）</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C7D2ACB">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D412DE7">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是</w:t>
            </w:r>
          </w:p>
        </w:tc>
      </w:tr>
      <w:tr w14:paraId="0D098ED5">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E0ECF09">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51</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1848878">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API接口安全审计-资产梳理</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61FF9DA">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API资产梳理</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0ABC4DD">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支持接口分类分级，内置 50 种接口分类标签和 7 种接口分级标签。（提供系统页面截图并加盖公章）</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123BCA2">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8144CEA">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是</w:t>
            </w:r>
          </w:p>
        </w:tc>
      </w:tr>
      <w:tr w14:paraId="745BA878">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3EFB852">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52</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5657AD2">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API接口安全审计-资产梳理</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220DE0A">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API资产梳理</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23F82C4">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支持资源类型识别，包括静态资源、动态资源。（提供系统页面截图并加盖公章）</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F8E3D32">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E373D59">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是</w:t>
            </w:r>
          </w:p>
        </w:tc>
      </w:tr>
      <w:tr w14:paraId="668F0D0A">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1E4EA68">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53</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7E5C22B">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API接口安全审计-资产梳理</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E65515B">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API资产梳理</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B39BBE6">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支持接口类型识别，内置 restful、soap、XML_RPC、json_RPC、graphql、grpc、websocket 接口类型标签。（提供系统页面截图并加盖公章）</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DA50D59">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F30E1CB">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是</w:t>
            </w:r>
          </w:p>
        </w:tc>
      </w:tr>
      <w:tr w14:paraId="7589EBE1">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F4C9106">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54</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8822922">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API接口安全审计-资产梳理</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70F3F40">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API资产梳理</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2048913">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支持接口行为识别，内置登录操作、登出操作、上传文件、下载文件、用户注册、数据库操作等接口行为标签。（提供系统页面截图并加盖公章）</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C244B85">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E3A155D">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是</w:t>
            </w:r>
          </w:p>
        </w:tc>
      </w:tr>
      <w:tr w14:paraId="24DD8CA4">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9B37FB2">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55</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2206B3F">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API接口安全审计-API敏感数据发现</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C98DE7B">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数据识别</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0710000">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系统内置常见的数据类型识别规则，包括但不限于：身份证、手机号、银行卡号、座机号码、电子邮箱、车牌号和地址等数据识别规则。（提供系统页面截图并加盖公章）</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1F8B993">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4A9300A">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是</w:t>
            </w:r>
          </w:p>
        </w:tc>
      </w:tr>
      <w:tr w14:paraId="0A4694E6">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D199CD7">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56</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2F3C498">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API接口安全审计-API敏感数据发现</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5A518E9">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递归解码</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BB78291">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支持对API请求、响应报文进行10层递归解码，可识别多种编码格式如：HTML解码、Unicode解码、十六进制转换、斜杠反转义、二进制解码、UTF-8、Base64等，还原原始API流量中经过多层转义后的敏感数据。（提供系统页面截图并加盖公章）</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E365F25">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9035631">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是</w:t>
            </w:r>
          </w:p>
        </w:tc>
      </w:tr>
      <w:tr w14:paraId="2B62BD92">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ABE624F">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57</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4D9787F">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API接口安全审计-API业务属性识别</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6D720B7">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API业务类型识别</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9326260">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支持基于应用系统流量识别API接口业务类型，支持用户自定义识别规则，匹配条件不少于20种，包括但不限于 URI、解码后路径、Query 参数、GET/POST 参数、Method、Host、User Agent、Referrer、Content-Type、用户 IP、Origin、Accept-Language、Authorization、完整 HTTP header、HTTP 请求头、完整 Body、HTTP 状态码、HTTP 响应头及响应内容。（提供系统页面截图并加盖公章）</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8403C1C">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9C594E4">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是</w:t>
            </w:r>
          </w:p>
        </w:tc>
      </w:tr>
      <w:tr w14:paraId="21B370F0">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A20A76E">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58</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A3E6898">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API接口安全审计-API业务属性识别</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BB3557F">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API业务类型识别</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A38F47C">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系统内置常见的API接口类型识别规则，包括但不限于：注册、登录、查询、上传、配置、下载接口等业务类型识别规则。（提供系统页面截图并加盖公章）</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79AA68B">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4CCBAE9">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是</w:t>
            </w:r>
          </w:p>
        </w:tc>
      </w:tr>
      <w:tr w14:paraId="557EBFBD">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7666816">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59</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B6857EA">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API接口安全审计-API用户身份识别</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6C80406">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API身份标识识别</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75460C0">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系统支持自动提取和检测请求API的用户身份，并支持用户进行API身份再次确认。（提供系统页面截图并加盖公章）</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653B91B">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73625CA">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是</w:t>
            </w:r>
          </w:p>
        </w:tc>
      </w:tr>
      <w:tr w14:paraId="56D92E1D">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9C5F4C9">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60</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87C5356">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API接口安全审计-API用户身份识别</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4B03377">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API身份标识配置</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DDF1D34">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支持用户通过Query、Cookie、Header、Body自定义配置用户身份标识，生效范围可选全局、应用、站点、API。（提供系统页面截图并加盖公章）</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A1BF0E2">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8881884">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是</w:t>
            </w:r>
          </w:p>
        </w:tc>
      </w:tr>
      <w:tr w14:paraId="5D25810E">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AB20BD1">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61</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54787D4">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API接口安全审计-API用户身份识别</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F1EA5A9">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系统内置身份标识</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CD8C0A7">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系统内置常见的API身份信息识别特征不少于50条。（提供系统页面截图并加盖公章）</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5A746DD">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B8C2870">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是</w:t>
            </w:r>
          </w:p>
        </w:tc>
      </w:tr>
      <w:tr w14:paraId="111C3717">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EF97276">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62</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308B6D6">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API接口安全审计-API 接口监测</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E73CE79">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API 接口监测</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6CB444C">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支持检测接口源 IP、目的 IP、源地理位置、目的地理位置信息。（提供系统页面截图并加盖公章）</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0DB5F0C">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2501434">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是</w:t>
            </w:r>
          </w:p>
        </w:tc>
      </w:tr>
      <w:tr w14:paraId="323481F4">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7EB13C4">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63</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80ADC69">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API接口安全审计-API 接口监测</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98B9FD6">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API 接口监测</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C6242BB">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支持监测 API 接口状态，包括活跃接口、休眠接口、僵尸接口、新发现接口、下线接口、复活接口等状态。（提供系统页面截图并加盖公章）</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806688D">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ECF024F">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是</w:t>
            </w:r>
          </w:p>
        </w:tc>
      </w:tr>
      <w:tr w14:paraId="303F3D84">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40518F8">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64</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35A7F3F">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API接口安全审计-API 接口监测</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19B718E">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API 接口监测</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D9E90A3">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支持检测接口敏感信息，支持通过关键字、正则表达式、数据标识符等检测算法定义敏感信息。（提供系统页面截图并加盖公章）</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7F3FA1F">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CA2FBA1">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是</w:t>
            </w:r>
          </w:p>
        </w:tc>
      </w:tr>
      <w:tr w14:paraId="39A1D361">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3E37987">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65</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6EF316E">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API接口安全审计-API 接口监测</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52E17F8">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API 接口监测</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846AB5A">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支持检测敏感信息异常传输行为，包括文件加密、密送邮件、文件名修改、分卷压缩、点滴泄漏等行为。（提供系统页面截图并加盖公章）</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6721B67">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73048CE">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是</w:t>
            </w:r>
          </w:p>
        </w:tc>
      </w:tr>
      <w:tr w14:paraId="7F9D5A86">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3F2AE51">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66</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F5C09BB">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API接口安全审计-API 接口监测</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AB22D9E">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API 接口监测</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D84C6B0">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支持对 API 接口的 SQL 注入、命令注入、XSS、Webshell、CSRF、账户暴力破解等攻击行为进行监控并告警。（提供系统页面截图并加盖公章）</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9DB865B">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0DE67F4">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是</w:t>
            </w:r>
          </w:p>
        </w:tc>
      </w:tr>
      <w:tr w14:paraId="0C2E7348">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982C5D6">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67</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87F98E3">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API接口安全审计-API 接口监测</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B739303">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API 接口监测</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2A3735C">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支持弱口令风险识别，内置 100 万条弱口令词典，并支持用户自定义添加特定弱口令规则。（提供系统页面截图并加盖公章）</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179226C">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095330B">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是</w:t>
            </w:r>
          </w:p>
        </w:tc>
      </w:tr>
      <w:tr w14:paraId="5E2381EB">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8DF8C90">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68</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4BD71E4">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API接口安全审计-API 接口监测</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6CBC083">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API 接口监测</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A02CC4B">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支持检测接口异常访问行为。（提供系统页面截图并加盖公章）</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022945B">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8EA4D69">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是</w:t>
            </w:r>
          </w:p>
        </w:tc>
      </w:tr>
      <w:tr w14:paraId="1A5353AA">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5D55C3A">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69</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4E00A42">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API接口安全审计-API 接口监测</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CAEE610">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API 接口监测</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5805E82">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支持对自定义时间窗口内的 API 访问行为进行学习生成 API 基线。（提供系统页面截图并加盖公章）</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E947B87">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575F456">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是</w:t>
            </w:r>
          </w:p>
        </w:tc>
      </w:tr>
      <w:tr w14:paraId="78B4BE46">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49BFBDF">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70</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0F85B55">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API接口安全审计-API 接口监测</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E740C1C">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API 接口监测</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7B67121">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支持将 1 小时内 API 访问行为与已学习基线库数据进行对比分析，判定并输出 API 访问基线违规情况。（提供系统页面截图并加盖公章）</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B6BA9AA">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DFAEB25">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是</w:t>
            </w:r>
          </w:p>
        </w:tc>
      </w:tr>
      <w:tr w14:paraId="6320436C">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0D481AD">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71</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1A4D977">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API接口安全审计-API 接口监测</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A3C4F29">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API 接口监测</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B69A00E">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内置API弱点库，包括数据暴露类、访问权限类、安全规范类、访问权限类、接口权限类、口令认证类。（提供系统页面截图并加盖公章）</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33856C2">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8F1036F">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是</w:t>
            </w:r>
          </w:p>
        </w:tc>
      </w:tr>
      <w:tr w14:paraId="69EC0475">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5FF41DF">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72</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CAF3A0B">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API接口安全审计-API 接口监测</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0683481">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API 接口监测</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1A15CA0">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支持自定义弱点检测，规则自定义参数包括请求头、响应头、请求方法、响应码、请求体、响应体、URL、请求COOKIE、请求REFERER、请求参数等。（提供系统页面截图并加盖公章）</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1938EB9">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5975A22">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是</w:t>
            </w:r>
          </w:p>
        </w:tc>
      </w:tr>
      <w:tr w14:paraId="280E7450">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08390C0">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73</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28FE4A1">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API接口安全审计-API 接口监测</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3DEA825">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API 接口监测</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AC61126">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支持提供API弱点修复建议，显示弱点详细信息以及弱点修复建议；支持提供API弱点证据样例，还原接口的请求和返回内容。（提供系统页面截图并加盖公章）</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A34C653">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9B04E34">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是</w:t>
            </w:r>
          </w:p>
        </w:tc>
      </w:tr>
      <w:tr w14:paraId="640E64A1">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EB0F61E">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74</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12B6993">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API接口安全审计-API 接口监测</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4C2E57F">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API 接口监测</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C6E1A88">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支持对API接口的SQL注入、命令注入、XSS、Webshell、CSRF、账户暴力破解等攻击行为进行监控并告警。（提供系统页面截图并加盖公章）</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9A3880B">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BED254C">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是</w:t>
            </w:r>
          </w:p>
        </w:tc>
      </w:tr>
      <w:tr w14:paraId="56E35552">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CBBAA42">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75</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C815324">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API接口安全审计-API风险识别</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56E85D9">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API脆弱性识别</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7384233">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支持识别API中的设计缺陷、错误配置和漏洞，包括但不限于弱口令、未鉴权访问、不必要的HTTP方法等。（提供系统页面截图并加盖公章）</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8A1B936">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9880A8D">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是</w:t>
            </w:r>
          </w:p>
        </w:tc>
      </w:tr>
      <w:tr w14:paraId="14BF4AD3">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DCC9203">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76</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2D4152E">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API接口安全审计-API风险识别</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362EBEE">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API漏洞发现</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80CA927">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基于指纹库的组件识别与相应漏洞发现，对接厂商漏洞知识库，能够覆盖上千个产品，3000多高价值漏洞，（比如 hw 常见的 OA、ERP 漏洞等）。（提供系统页面截图并加盖公章）</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2D166BA">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470E617">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是</w:t>
            </w:r>
          </w:p>
        </w:tc>
      </w:tr>
      <w:tr w14:paraId="6F216203">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A04CD4A">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77</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D25CCD0">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API接口安全审计-API风险识别</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0ABCA59">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API异常行为识别</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9515EE9">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支持基于API访问情况建立行为基线，并可通过基线模型计算出对应基线的异常偏离度，对偏离基线的异常行为进行实时告警。（提供系统页面截图并加盖公章）</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BB112D2">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8F39251">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是</w:t>
            </w:r>
          </w:p>
        </w:tc>
      </w:tr>
      <w:tr w14:paraId="184F0D09">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7C6CFB1">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78</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5238436">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API接口安全审计-API风险识别</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3D6C25E">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API风险聚类</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1F0076A">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支持对基线风险告警聚类，同一应用同类风险能归类汇总展示，有效减少风险告警数量，减少告警噪声。（提供系统页面截图并加盖公章）</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C6E587D">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1EDE712">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是</w:t>
            </w:r>
          </w:p>
        </w:tc>
      </w:tr>
      <w:tr w14:paraId="16F3B91D">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A85C13E">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79</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F96AFAD">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API接口安全审计-API 风险分析</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437BCE7">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API 风险分析</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EE312D7">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支持展示业务看板、设备状态看板、网络运营看板、流量分析看板。（提供系统页面截图并加盖公章）</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EB39658">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6A1F34F">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是</w:t>
            </w:r>
          </w:p>
        </w:tc>
      </w:tr>
      <w:tr w14:paraId="5301DAA2">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97E83BF">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80</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398F4D4">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API接口安全审计-API 风险分析</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42FF507">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API 风险分析</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1D6F1D0">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支持展示敏感日志、审计日志、告警日志信息。（提供系统页面截图并加盖公章）</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B6EFBC4">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A9FBB33">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是</w:t>
            </w:r>
          </w:p>
        </w:tc>
      </w:tr>
      <w:tr w14:paraId="3E723A03">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1C1E76B">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81</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A0E9683">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API接口安全审计-API 风险分析</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780D8AF">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API 风险分析</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13E9A78">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支持对 API 基线统计分析，发现异常行为可视化方式呈现。（提供系统页面截图并加盖公章）</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EA2EE66">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1BCBEAB">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是</w:t>
            </w:r>
          </w:p>
        </w:tc>
      </w:tr>
      <w:tr w14:paraId="33BA2345">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7C6A207">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82</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CC30064">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API接口安全审计-API 风险分析</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1BF6C13">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API 风险分析</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EEC6EB0">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支持对 API 接口 web 攻击情况进行分析，包括攻击信息告警 Top5、应用 WAF 事件 Top5 等。（提供系统页面截图并加盖公章）</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31A460F">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C464601">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是</w:t>
            </w:r>
          </w:p>
        </w:tc>
      </w:tr>
      <w:tr w14:paraId="061B3CE5">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7CAE491">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83</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DFC90D9">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API接口安全审计-API 风险分析</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15FFF2E">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API 风险分析</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074EFFF">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支持对敏感数据泄漏进行统计分析，可视化展示数据泄漏源、违规策略等。（提供系统页面截图并加盖公章）</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9FEC48F">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ECFE7F9">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是</w:t>
            </w:r>
          </w:p>
        </w:tc>
      </w:tr>
      <w:tr w14:paraId="4F8FC0E8">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B4D800C">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84</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493205D">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API接口安全审计-API 风险分析</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5990AA9">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API 风险分析</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B8B97C5">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支持敏感检测、API检测。敏感检测呈现数据类型、泄漏通道、泄漏源、数据等级趋势、出境数据数量、泄漏目的等关键要素；API检测能详细展示访问源IP、访问目的IP、API统计、访问次数折线图、异常行为折线图及异常行为高危动作等核心信息。（提供系统页面截图并加盖公章）</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65DE262">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6088744">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是</w:t>
            </w:r>
          </w:p>
        </w:tc>
      </w:tr>
      <w:tr w14:paraId="6732AA6A">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7E61A10">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85</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F49FB9F">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API接口安全审计-API 风险分析</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E1ED2A8">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API 风险分析</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40165D6">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支持对弱口令情况进行分析。（提供系统页面截图并加盖公章）</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949D9D5">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97C1D81">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是</w:t>
            </w:r>
          </w:p>
        </w:tc>
      </w:tr>
      <w:tr w14:paraId="5FA31219">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396FEBF">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86</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898EF0B">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API接口安全审计-API 风险分析</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27ADE0D">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API 风险分析</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F627EBB">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支持综合展示事件趋势及告警趋势。（提供系统页面截图并加盖公章）</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F9CDA87">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25FDF78">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是</w:t>
            </w:r>
          </w:p>
        </w:tc>
      </w:tr>
      <w:tr w14:paraId="1CEDB1C8">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5BF20FB">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87</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FB2CC30">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API接口安全审计-API 风险分析</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4058091">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API 风险分析</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6DFB0CC">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支持针对 API 资产围绕应用进行可视化呈现。（提供系统页面截图并加盖公章）</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3FF8C7C">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389E994">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是</w:t>
            </w:r>
          </w:p>
        </w:tc>
      </w:tr>
      <w:tr w14:paraId="576C0AC5">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81B16D5">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88</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E19D5D4">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API接口安全审计-API 风险分析</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762A865">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API 风险分析</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DEDF3D8">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支持接口画像、应用画像、用户画像。（提供系统页面截图并加盖公章）</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F6AE7DB">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7F2A628">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是</w:t>
            </w:r>
          </w:p>
        </w:tc>
      </w:tr>
      <w:tr w14:paraId="5DF14B7F">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FBBE373">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89</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EE8E045">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API接口安全审计-API 风险分析</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8504250">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API 风险分析</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0CD06B7">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支持日报、周报、月报等周期性报表，可根据模板生成报表。（提供系统页面截图并加盖公章）</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83E8F35">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88CBCAD">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是</w:t>
            </w:r>
          </w:p>
        </w:tc>
      </w:tr>
      <w:tr w14:paraId="750FCE1A">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BF2F91C">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90</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F205C9F">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API接口安全审计-产品资质</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9BC7EF3">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产品资质</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F825C11">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需具备《网络安全专用产品安全检测证书》或《计算机信息系统安全专用产品销售许可证》或《网络关键设备和网络安全专用产品安全认证证书》。（提供有效证书复印件/扫描件并加盖公章）</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848269C">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30DD814">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是</w:t>
            </w:r>
          </w:p>
        </w:tc>
      </w:tr>
      <w:tr w14:paraId="2C503848">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9957292">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91</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89D1919">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主机安全防护-基本要求</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F2D611D">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授权数量</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E4EE1D8">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服务器主机容器安全统一控制台软件 1 套；</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600个主机服务器安装授权，包含主机资产清点、主机风险发现、主机入侵检测、主机合规基线、内存后门检测、微蜜罐功能。</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4879B00">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1426B5F">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否</w:t>
            </w:r>
          </w:p>
        </w:tc>
      </w:tr>
      <w:tr w14:paraId="64FE0DCE">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57CE58C">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92</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A122943">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主机安全防护-基本要求</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6301C97">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产品网安证书</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00C1350">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需具备《网络安全专用产品安全检测证书》或《计算机信息系统安全专用产品销售许可证》或《网络关键设备和网络安全专用产品安全认证证书》。（提供有效证书复印件/扫描件并加盖公章）</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B1CAB0E">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40B645D">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是</w:t>
            </w:r>
          </w:p>
        </w:tc>
      </w:tr>
      <w:tr w14:paraId="312F24C5">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C640DFB">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93</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58628E0">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主机安全防护-基本要求</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7B19BB0">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兼容性</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BA3F374">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支持操作系统：包括但不限于windows、linux、中标麒麟、银河麒麟、统信、华为欧拉、红旗、麒麟信安等。</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B8BD1DD">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1798EEB">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否</w:t>
            </w:r>
          </w:p>
        </w:tc>
      </w:tr>
      <w:tr w14:paraId="6C4473CF">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D21B109">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94</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6E4D9F7">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主机安全防护-主机资产清点</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0C07626">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软件应用数据库</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8114F3D">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支持清点和统计主机上运行的第三方软件应用信息，至少包括：应用名、应用类型、主机 IP、应用版本、运行端口、运行用户、绑定 IP、应用二进制路径、应用配置文件路径、关联进程数及对应进程详情；</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支持清点数据库应用，包括 Mysql、MongoDB、Redis、 Oracle、PostgreSQL、Hbase、达梦、人大金仓、神舟通用等数据库，详细信息包括版本、监听端口、运行用户、配置文件路径、日志文件路径、进程二进制路径、数据路径、运行权限、启动参数；</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支持清点和统计主机上运行的 WEB 站点，至少包括：配置域名、站点标题、站点端口、服务类型、运行权限、主目录位置、主目录权限、主目录所有者信息。（提供产品的功能界面截图并加盖公章）</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35771D2">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DF0BEE6">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是</w:t>
            </w:r>
          </w:p>
        </w:tc>
      </w:tr>
      <w:tr w14:paraId="5B32D76D">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E795842">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95</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F54B461">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主机安全防护-主机资产清点</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897150D">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未知主机资产发现</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FE6B30E">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支持ARP、Ping、Nmap 多种方式检测未覆盖客户端的主机列表，支持灵活设定扫描效率，包括并发扫描最大数量、每秒最大发包数量、下发任务间隔设置。</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7A4054C">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1982157">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否</w:t>
            </w:r>
          </w:p>
        </w:tc>
      </w:tr>
      <w:tr w14:paraId="12BFF2D3">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4E4491A">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96</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BFB7E15">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主机安全防护-主机资产清点</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78AA69B">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资产标签自动更新</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D27B46D">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支持资产标签自动更新，可配置进程或应用匹配到指定信息后自动标记标签属性，方便资产运维管理。</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F464201">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B4B310B">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否</w:t>
            </w:r>
          </w:p>
        </w:tc>
      </w:tr>
      <w:tr w14:paraId="2217DD42">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D625D4D">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97</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65FF1FE">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主机安全防护-主机资产清点</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9D99697">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操作系统清点</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63B5438">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支持清点国产操作系统，并提供属性标识，可一键筛选国产化操作系统主机，支持清点主机各类基础资产，包括硬件、CPU、内存、磁盘、网卡IP、操作系统等信息，并展示国产化主机和非国产化主机占比情况。</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63D8AB7">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4F6EFB9">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否</w:t>
            </w:r>
          </w:p>
        </w:tc>
      </w:tr>
      <w:tr w14:paraId="79AAE3F7">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D4EC7F4">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98</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CE35E57">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主机安全防护-主机漏洞及弱口令检测</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03C588C">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风险分析</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6858963">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支持对漏洞补丁、弱口令和配置风险进行整体脆弱性分析，以评级评分体系的方式简要直观评价当前安全态势，并统计近 7 天、近 1 月风险评分的变化，并展示单个主机的风险评分最低 TOP5。</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4CEA553">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4FF76EF">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否</w:t>
            </w:r>
          </w:p>
        </w:tc>
      </w:tr>
      <w:tr w14:paraId="6F4A69C5">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4AB242B">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99</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15D342D">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主机安全防护-主机漏洞及弱口令检测</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3A8302B">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应用漏洞</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6540A34">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1）支持通过版本匹配及 POC 验证脚本方式精准识别漏洞；</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2）漏洞详细信息至少包括：漏洞等级，漏洞名称、漏洞说明、漏洞类型、影响应用与版本、漏洞exp 链接、修复建议、CVE 编号、CVSS 评分与详情、参考链接、引用链接；</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3）提供各维度的补丁风险特征：内核风险、是否存在 exp、远程利用、本地提权。</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支持查看修复历史。</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（提供产品的功能界面截图并加盖公章）</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241162D">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BAA4D62">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是</w:t>
            </w:r>
          </w:p>
        </w:tc>
      </w:tr>
      <w:tr w14:paraId="5520B016">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3A951F7">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100</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ECBD8B1">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主机安全防护-主机漏洞及弱口令检测</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34559DB">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弱密码</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5D1D2F4">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1）支持检查Linux/Windows系统账号弱密码；应用进行弱密码检测，至少包括：InfluxDB、MySQL、Redis。</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中间件弱密码检测，至少包括：Weblogic、Jenkins、Tomcat；</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支持应用弱密码检测，至少包括：OpenLDAP、ProFTPD、SVN、PPTP、VNC、SSH、OpenVPN、rsync、vsftpd。；</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2）支持弱密码隐藏密码值，根据权限控制是否明文显示，保证安全性；</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3）支持以时间顺序展示弱密码的修复历史，统计修复所用时长。</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（提供产品的功能界面截图并加盖公章）</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E806614">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9FC15AF">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是</w:t>
            </w:r>
          </w:p>
        </w:tc>
      </w:tr>
      <w:tr w14:paraId="3C176272">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3538BF0">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101</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11D9969">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主机安全防护-主机漏洞及弱口令检测</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AE0696D">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异常登录</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7D9D143">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1）支持配置正常登录规则，实时检测在非法登录来源IP、非法账号、非合法登录时间、非合法登录来源区域的登录行为；</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2）支持对发现的告警事件进行手动处置，支持手动封禁和解封IP；</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3）应支持检查主机环境中的登录日志配置和采集是否正常，Agent可以根据检测的情况自适应地监控服务当前配置的登录日志，展示日志监控状态和登录日志的具体路径。</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（提供产品的功能界面截图并加盖公章）</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F018349">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567C2D1">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是</w:t>
            </w:r>
          </w:p>
        </w:tc>
      </w:tr>
      <w:tr w14:paraId="18D3AAC9">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5652372">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102</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230C779">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主机安全防护-主机漏洞及弱口令检测</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9BEFAF0">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反弹 shell</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CEA555B">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1）支持实时检测Linux和Windows下的反弹shell行为并产生告警，告警信息能看到事件基本信息如受害主机IP、目标主机IP、目标端口、发现时间、socket通信关系等，可看到事件说明，以及以攻击链方式展示的反弹详细过程。</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2）支持手动阻断攻击进程，也可根据特定业务组或特定</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时间段配置自动响应。</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9AA2D7A">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F6E5609">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否</w:t>
            </w:r>
          </w:p>
        </w:tc>
      </w:tr>
      <w:tr w14:paraId="214EBC60">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2DAEE66">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103</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05ED015">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主机安全防护-主机漏洞及弱口令检测</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E887619">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系统后门</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C6AB253">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支持系统后门实时检测，对后门进行隔离、加白、确认已修复等操作。后门告警信息包括：告警类型、告警说明、IP、发现时间等。</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878DBFC">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24CCC27">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否</w:t>
            </w:r>
          </w:p>
        </w:tc>
      </w:tr>
      <w:tr w14:paraId="40049E15">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2D5FEE3">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104</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6363738">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主机安全防护-主机漏洞及弱口令检测</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FFF3373">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内存后门</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FE8D3E6">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1）支持实时检测在内存中加载网站恶意文件，无任何本地文件、恶意代码注入的检测。需要展示内存对应的类名、父类名、所属类加载器、内存对应大小、MD5信息等。</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2）支持主动发起单台主机/业务组/全部主机的扫描。支持主动发起事件验证，可验证主机中是否还存在该内存后；</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3）对于内存Webshell类型事件，支持下载内存中dump出的class文件，并直接对class文件进行反编译处理。</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4232A0E">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5F34572">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是</w:t>
            </w:r>
          </w:p>
        </w:tc>
      </w:tr>
      <w:tr w14:paraId="7985E9B3">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DFA1BF5">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105</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3DF428F">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主机安全防护-主机基线检查</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033D923">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主机合规检测</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D762634">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1）支持按照国际CIS检测标准（Level1、Level2）和国内等级保护检测标准（等保二级、三级）对操作系统和应用进行基线检测，内容至少应包含检查项，检查结果，通过率、修复方法等；</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2）支持数据库的等保基线检测，支持录入数据库的用户名、密码和端口检查凭证，管理凭证需要管理员权限密码。</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3）支持设置公用基线，主账号配置的公用基线子账号不可修改。</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4）系统基线应支持中标麒麟，BC-Linux，银河麒麟、统信UOS，Tecent Linux，openEuler、CTyunOS、BigCloud Enterprise Linux For Euler、Anolis OS等国产操作系统。</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（提供产品的功能界面截图并加盖公章）</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60AD6F3">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61301A7">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是</w:t>
            </w:r>
          </w:p>
        </w:tc>
      </w:tr>
      <w:tr w14:paraId="3033B932">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E0EB263">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106</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28710D6">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主机安全防护-主机基础能力</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A9330D1">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客户端安装</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700ACC1">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客户端安装支持：</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1）支持一条命令便捷安装客户端，支持管理客户端安装记录，包含客户端安装时间，主机名，主机 IP，操作系</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统，连接方式，当前是否在线等信息；相关信息应支持导出csv格式完整安装记录。</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2）客户端支持使用非 root 权限运行。支持自定义agent运行的账号名称。</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3）客户端部署至少支持支持直连、代理和NAT方式。</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（提供产品的功能界面截图并加盖公章）</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57BD98D">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C30C7F2">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是</w:t>
            </w:r>
          </w:p>
        </w:tc>
      </w:tr>
      <w:tr w14:paraId="761E0BBD">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19450BC">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107</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0677A28">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主机安全防护-主机基础能力</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FC91F62">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客户端管理</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A8D7ADB">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1）支持配置agent自动定时运行，可设置每天或每周多个时间段内运行agent，非运行时间段可设置agent为停用或者降级等不同策略。</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2）推送Agent的升级支持限制升级的速度，防止网络拥堵，支持agent版本回滚至任意指定版本。（提供产品的功能界面截图并加盖公章）</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0CF40CD">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FF46A8A">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是</w:t>
            </w:r>
          </w:p>
        </w:tc>
      </w:tr>
      <w:tr w14:paraId="7CF80EC6">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9531D73">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108</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16343A7">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主机安全防护-微蜜罐</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3D36D22">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端口蜜罐监控</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F832FDE">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支持伪造任意系统端口，实时检测对设置蜜罐端口的尝试连接行为，并提供告警，应提供一键处理冲突的操作，支持根据端口、适用主机范围，批量在主机中添加监控规则， 监控已设置规则的端口，一旦尝试访问端口，即上报告警，其中端口应支持输入多个。（提供产品的功能界面截图并加盖公章）</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21C91A2">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5C54A12">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是</w:t>
            </w:r>
          </w:p>
        </w:tc>
      </w:tr>
      <w:tr w14:paraId="5522B6B7">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759CE80">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109</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CDAB11F">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主机安全防护-微蜜罐</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3C87346">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端口蜜罐流量转发</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A00FEBD">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支持批量配置蜜罐流量转发策略，能够将访问蜜罐端口的流量转发到指定的IP和端口上，并可以查看流量转发详情，确认接收端网络连通情况。（提供产品的功能界面截图并加盖公章）</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1891464">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74BBCC8">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是</w:t>
            </w:r>
          </w:p>
        </w:tc>
      </w:tr>
      <w:tr w14:paraId="57648CC0">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E8B87F7">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110</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05B9910">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主机安全防护-微蜜罐</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E55BF90">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文件蜜罐部署</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40BA6CB">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支持在主机伪造诱饵文件，实时监测对诱饵文件的访问和操作行为。支持内置诱饵文件模板，实现一键部署，并可手动定义诱饵文件大小。（提供产品的功能界面截图并加盖公章）</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77A3CE1">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6BF98C5">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是</w:t>
            </w:r>
          </w:p>
        </w:tc>
      </w:tr>
      <w:tr w14:paraId="74EF4BBF">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28D17E1">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111</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AF327BD">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主机安全防护-主机防病毒</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1F4919F">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病毒检测</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0DD945C">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1）支持病毒检测，支持静态扫描和动态进程实时检测两种模式，可自定义配置每个杀毒引擎的开启与关闭，并可选择特定主机进行防病毒功能开启和关闭。</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2）发现病毒时，支持批量手动或自动隔离病毒文件，并支持配置白名单，可以下载病毒文件。病毒删除后支持查看修复历史，记录修复的相关信息。</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611759A">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4374228">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否</w:t>
            </w:r>
          </w:p>
        </w:tc>
      </w:tr>
      <w:tr w14:paraId="76670CAD">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DF210FE">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112</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DC15B81">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主机安全防护-系统支持</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9C37DB1">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系统支持</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7622664">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客户端支持通用 Linux、Windows 操作系统，支持国产操作系统。</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431646C">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659A3E3">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否</w:t>
            </w:r>
          </w:p>
        </w:tc>
      </w:tr>
      <w:tr w14:paraId="18F12BAB">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DB2A572">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113</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1927FC4">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防火墙-设备参数</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4B88D6C">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设备参数</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06E1023">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产品必须为自主研发（非OEM），提供相应资质证明；≥1U，功率≤65W;防火墙吞吐不低于800Mbps；最大并发连接数不低于50万；支持至少6个千兆电口；设备采用自主知识产权的专用安全操作系统，采用多核多平台并行处理特性（提供相应资质证明）；支持多操作系统引导，出于安全性考虑，多系统需在设备启动过程中进行选择（提供截图），不得在WEB维护界面中设置系统切换选项；提供5年硬件质保、5年软件版本升级。（提供制造商出具的项目授权书及售后服务承诺函）</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553B426">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2B3143F">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是</w:t>
            </w:r>
          </w:p>
        </w:tc>
      </w:tr>
      <w:tr w14:paraId="3A758593">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0B0D86B">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114</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B382638">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防火墙-网络层控制</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C2F3B09">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网络特性</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8530DA8">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支持路由、透明以及混合接入模式，满足复杂应用环境的接入需求。</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44BE541">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E43CD4E">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否</w:t>
            </w:r>
          </w:p>
        </w:tc>
      </w:tr>
      <w:tr w14:paraId="4B671554">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1C42F2E">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115</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AA8C055">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防火墙-网络层控制</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A8E7879">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网络特性</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C95ED31">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支持链路聚合，支持至少10种以上的聚合负载算法。（提供系统页面截图并加盖公章）</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A19B8C7">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4FFB6A5">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是</w:t>
            </w:r>
          </w:p>
        </w:tc>
      </w:tr>
      <w:tr w14:paraId="5E5B66C6">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4EBF434">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116</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FF76033">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防火墙-网络层控制</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BD67596">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网络特性</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E8EDD50">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具有接口联动特性，使同一联动组内所有物理接口状态变化同步。（提供系统页面截图并加盖公章）</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95D7CC9">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3AB505C">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是</w:t>
            </w:r>
          </w:p>
        </w:tc>
      </w:tr>
      <w:tr w14:paraId="68B5518A">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BFED15B">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117</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2881CCA">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防火墙-网络层控制</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46808D8">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状态检测</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6BCEFF8">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支持多元组的访问控制规则，至少支持基于地址、区域、源端口、服务、时间、域名等多个元素进行访问控制。（提供系统页面截图并加盖公章）</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3A5AD8F">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91E3CFE">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是</w:t>
            </w:r>
          </w:p>
        </w:tc>
      </w:tr>
      <w:tr w14:paraId="0B1E03A8">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1F166FF">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118</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415C7DD">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防火墙-网络层控制</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81C8C7C">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状态检测</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5E277F0">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支持对单条访问控制策略进行最大并发连接数和长连接的限制。（提供系统页面截图并加盖公章）</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F1018CC">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29BF6F8">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是</w:t>
            </w:r>
          </w:p>
        </w:tc>
      </w:tr>
      <w:tr w14:paraId="7C87C2AF">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B900413">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119</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A4C4253">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防火墙-网络层控制</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7E45C96">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状态检测</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0854581">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支持WEB界面显示每条策略的命中数，能够在WEB界面显示每条策略所引用资源（地址、区域、时间、服务、域名等）的对象信息。（提供系统页面截图并加盖公章）</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33EDF08">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54BB852">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是</w:t>
            </w:r>
          </w:p>
        </w:tc>
      </w:tr>
      <w:tr w14:paraId="7B7126F1">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8062855">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120</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CA88F65">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防火墙-网络层控制</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DBD4C01">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IP/MAC绑定</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279463F">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具有IP/MAC绑定功能，保证IP地址唯一性；支持手动绑定和自动探测两种方式进行IP/MAC绑定。（提供系统页面截图并加盖公章）</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E76C347">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6122F9F">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是</w:t>
            </w:r>
          </w:p>
        </w:tc>
      </w:tr>
      <w:tr w14:paraId="6066223A">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1C2363C">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121</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4A17A85">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防火墙-网络层控制</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947D4FF">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策略路由</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3BAF64A">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策略路由要求支持基于入接口策略路由配置与全局策略路由配置，同时策略路由支持ECMP与WCMP的链路负载均衡，并且能够根据预设探测条件实现动态的链路切换。（提供系统页面截图并加盖公章）</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0635DB7">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24F694A">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是</w:t>
            </w:r>
          </w:p>
        </w:tc>
      </w:tr>
      <w:tr w14:paraId="57F4CDEA">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5B9D5CE">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122</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F3127EB">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防火墙-网络层控制</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743138B">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带宽管理</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D95373A">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支持基于访问控制策略的一体化带宽管理模式，并且支持基于IP/用户自由竞争策略、独享策略、访问控制独享策略等多种带宽策略类型，支持特权、高、中、低等多种带宽优先级设置。（提供系统页面截图并加盖公章）</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6C34351">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7CABC15">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是</w:t>
            </w:r>
          </w:p>
        </w:tc>
      </w:tr>
      <w:tr w14:paraId="35543401">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572D6DD">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123</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29AA732">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防火墙-网络层控制</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9174DF0">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应用内容访问控制</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C0B7251">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支持对通过设备的DNS查询请求进行域名过滤（提供截图）；支持FTP行为过滤，包括FTP上传、文件下载、文件删除、目录删除、创建目录、重命名、列表等（提供截图）。（提供系统页面截图并加盖公章）</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5840A31">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E9DF82B">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是</w:t>
            </w:r>
          </w:p>
        </w:tc>
      </w:tr>
      <w:tr w14:paraId="7A3EACBF">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59BF60F">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124</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9FE0162">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防火墙-网络层控制</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C92F2B4">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应用内容访问控制</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C7A6506">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邮件安全支持SMTP、POP3等邮件协议的标题、正文、邮件附件类型进行过滤，并且对不符合规则的邮件转发到指定邮箱进行审查（提供截图）；支持基于本地IP黑白名单、邮件地址黑白名单方式的反垃圾邮件功能，并提供反垃圾邮件统计功能。（提供系统页面截图并加盖公章）</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E11280C">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96B61B4">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是</w:t>
            </w:r>
          </w:p>
        </w:tc>
      </w:tr>
      <w:tr w14:paraId="3A624051">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EF6E4B8">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125</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0B31AFC">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防火墙-网络层控制</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271CD3B">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信息泄露防护</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20F6ED7">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支持对文件名与至少50种文件类型过滤，包括可执行文件.ms-executable，office文件.ms-office-2003-wps、.ms-office-2007，文本文件.pdf、.rtf，压缩文件.7z、.rar、.zip，音频文件.mp3、.wma，视频文件.3gp、.avi、.mp4，镜像文件.gho等等类型的文件。（提供系统页面截图并加盖公章）</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3E9A6FC">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6FB34A2">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是</w:t>
            </w:r>
          </w:p>
        </w:tc>
      </w:tr>
      <w:tr w14:paraId="34AF35E6">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D632B80">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126</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47493DD">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防火墙-网络层控制</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A8D2F53">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信息泄露防护</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C02ED7C">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支持通过关键字实现对流出防火墙的http、ftp、smtp、pop3、dns等协议数据进行过滤，如网页内容、外发邮件主题及正文等。</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6E92507">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F2FEC33">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否</w:t>
            </w:r>
          </w:p>
        </w:tc>
      </w:tr>
      <w:tr w14:paraId="6A1653C1">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1EF62D4">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127</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BB6398B">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防火墙-安全运维管理</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B107CE0">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系统安全</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DA876C7">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支持本地多配置文件存储及配置回滚功能，并且可以有选择性的下载“运行配置”、“存盘配置”、“备份配置”、配置文件加密下载以及按对象、策略等分类的部分配置文件下载/上传功能（提供截图）；要求具有配置文件自动定时上传到指定外部服务器功能。（提供系统页面截图并加盖公章）</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6B09153">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CC1152C">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是</w:t>
            </w:r>
          </w:p>
        </w:tc>
      </w:tr>
      <w:tr w14:paraId="756D0DEC">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61DA1F4">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128</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5324C0E">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防火墙-安全运维管理</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3A89E9C">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系统安全</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4B0FB6D">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可将多条日志合并成一条日志传送到日志服务器中，可选择对日志传输是否加密，且可设定大于或等于8位的加密密钥，保障日志传输的安全性。（提供系统页面截图并加盖公章）</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E83B5A9">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1A74309">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是</w:t>
            </w:r>
          </w:p>
        </w:tc>
      </w:tr>
      <w:tr w14:paraId="045F269B">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5DA3EA8">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129</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789D832">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防火墙-安全运维管理</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A4F2BEB">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三权分立</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E7EC6A9">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系统具有相互独立的系统管理员、安全管理员和安全审计员，符合规范的管理员“三权分立”功能。（提供系统页面截图并加盖公章）</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11B4DD3">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A9E52C7">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是</w:t>
            </w:r>
          </w:p>
        </w:tc>
      </w:tr>
      <w:tr w14:paraId="0248C237">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5796F26">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130</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C5BDE93">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防火墙-安全运维管理</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9D5B099">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三权分立</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6A41B32">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支持中文日志功能。</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C3DC0B1">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DE8E07F">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否</w:t>
            </w:r>
          </w:p>
        </w:tc>
      </w:tr>
      <w:tr w14:paraId="4FD4B9A4">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9E39C78">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131</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C72E5C5">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防火墙-安全运维管理</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576B918">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三权分立</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D89A95E">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支持访问控制策略默认全禁止。</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9F6FCC8">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499C1CB">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否</w:t>
            </w:r>
          </w:p>
        </w:tc>
      </w:tr>
      <w:tr w14:paraId="28407902">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54CF605">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132</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30FC943">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防火墙-资质要求</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EF854A6">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资质要求</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E66D83E">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具有有效期内的经国家保密科技测评中心检测合格的检测报告；</w:t>
            </w:r>
            <w:r>
              <w:rPr>
                <w:rFonts w:ascii="仿宋_GB2312" w:hAnsi="仿宋_GB2312" w:eastAsia="仿宋_GB2312" w:cs="仿宋_GB2312"/>
                <w:b w:val="0"/>
                <w:bCs w:val="0"/>
                <w:i w:val="0"/>
                <w:iCs w:val="0"/>
                <w:smallCaps w:val="0"/>
                <w:color w:val="000000"/>
                <w:sz w:val="21"/>
                <w:szCs w:val="21"/>
              </w:rPr>
              <w:br w:type="textWrapping"/>
            </w:r>
            <w:r>
              <w:rPr>
                <w:rFonts w:ascii="仿宋_GB2312" w:hAnsi="仿宋_GB2312" w:eastAsia="仿宋_GB2312" w:cs="仿宋_GB2312"/>
                <w:b w:val="0"/>
                <w:bCs w:val="0"/>
                <w:i w:val="0"/>
                <w:iCs w:val="0"/>
                <w:smallCaps w:val="0"/>
                <w:color w:val="000000"/>
                <w:sz w:val="21"/>
                <w:szCs w:val="21"/>
              </w:rPr>
              <w:t>需具备《网络安全专用产品安全检测证书》或《计算机信息系统安全专用产品销售许可证》或《网络关键设备和网络安全专用产品安全认证证书》。（提供有效证书复印件/扫描件并加盖投标人公章）</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943DF08">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8F83868">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是</w:t>
            </w:r>
          </w:p>
        </w:tc>
      </w:tr>
    </w:tbl>
    <w:p w14:paraId="633BB475">
      <w:pPr>
        <w:pStyle w:val="3"/>
        <w:keepNext w:val="0"/>
        <w:spacing w:before="0" w:after="0" w:line="360" w:lineRule="auto"/>
        <w:rPr>
          <w:rFonts w:ascii="仿宋_GB2312" w:hAnsi="仿宋_GB2312" w:eastAsia="仿宋_GB2312" w:cs="仿宋_GB2312"/>
          <w:b/>
          <w:bCs/>
          <w:sz w:val="28"/>
          <w:szCs w:val="28"/>
        </w:rPr>
      </w:pPr>
      <w:bookmarkStart w:id="25" w:name="_Toc256000023"/>
      <w:r>
        <w:rPr>
          <w:rFonts w:ascii="仿宋_GB2312" w:hAnsi="仿宋_GB2312" w:eastAsia="仿宋_GB2312" w:cs="仿宋_GB2312"/>
          <w:i w:val="0"/>
          <w:iCs w:val="0"/>
        </w:rPr>
        <w:t>3.4服务要求</w:t>
      </w:r>
      <w:bookmarkEnd w:id="25"/>
    </w:p>
    <w:p w14:paraId="4A911A3C">
      <w:pPr>
        <w:pStyle w:val="4"/>
        <w:keepNext w:val="0"/>
        <w:spacing w:before="0" w:after="0" w:line="360" w:lineRule="auto"/>
        <w:rPr>
          <w:rFonts w:ascii="仿宋_GB2312" w:hAnsi="仿宋_GB2312" w:eastAsia="仿宋_GB2312" w:cs="仿宋_GB2312"/>
          <w:b/>
          <w:bCs/>
          <w:sz w:val="28"/>
          <w:szCs w:val="28"/>
        </w:rPr>
      </w:pPr>
      <w:bookmarkStart w:id="26" w:name="_Toc256000024"/>
      <w:r>
        <w:rPr>
          <w:rFonts w:ascii="仿宋_GB2312" w:hAnsi="仿宋_GB2312" w:eastAsia="仿宋_GB2312" w:cs="仿宋_GB2312"/>
          <w:sz w:val="28"/>
          <w:szCs w:val="28"/>
        </w:rPr>
        <w:t>3.4.1系统实施服务</w:t>
      </w:r>
      <w:bookmarkEnd w:id="26"/>
    </w:p>
    <w:p w14:paraId="765DD805">
      <w:pPr>
        <w:pStyle w:val="15"/>
        <w:spacing w:before="0" w:after="0" w:line="360" w:lineRule="auto"/>
        <w:ind w:left="0" w:right="0" w:firstLine="560"/>
        <w:jc w:val="both"/>
      </w:pPr>
      <w:r>
        <w:rPr>
          <w:rFonts w:ascii="仿宋_GB2312" w:hAnsi="仿宋_GB2312" w:eastAsia="仿宋_GB2312" w:cs="仿宋_GB2312"/>
          <w:sz w:val="28"/>
          <w:szCs w:val="28"/>
        </w:rPr>
        <w:t>供应商须提供实施服务，提供所有硬件设备的到货、安装、配置、调试、综合布线等全部系统实施服务，如涉及设备替换，需对原设备配置信息安全平稳迁移至新设备,并确保所有系统的业务连续性；新增设备需按采购方需求做好配置，确保满足业务运行。</w:t>
      </w:r>
    </w:p>
    <w:p w14:paraId="215586A7">
      <w:pPr>
        <w:pStyle w:val="4"/>
        <w:keepNext w:val="0"/>
        <w:spacing w:before="0" w:after="0" w:line="360" w:lineRule="auto"/>
        <w:rPr>
          <w:rFonts w:ascii="仿宋_GB2312" w:hAnsi="仿宋_GB2312" w:eastAsia="仿宋_GB2312" w:cs="仿宋_GB2312"/>
          <w:b/>
          <w:bCs/>
          <w:sz w:val="28"/>
          <w:szCs w:val="28"/>
        </w:rPr>
      </w:pPr>
      <w:bookmarkStart w:id="27" w:name="_Toc256000025"/>
      <w:r>
        <w:rPr>
          <w:rFonts w:ascii="仿宋_GB2312" w:hAnsi="仿宋_GB2312" w:eastAsia="仿宋_GB2312" w:cs="仿宋_GB2312"/>
          <w:sz w:val="28"/>
          <w:szCs w:val="28"/>
        </w:rPr>
        <w:t>3.4.2售后服务要求</w:t>
      </w:r>
      <w:bookmarkEnd w:id="27"/>
    </w:p>
    <w:p w14:paraId="0FD908D1">
      <w:pPr>
        <w:pStyle w:val="15"/>
        <w:spacing w:before="0" w:after="0" w:line="360" w:lineRule="auto"/>
        <w:ind w:left="0" w:right="0" w:firstLine="560"/>
        <w:jc w:val="both"/>
      </w:pPr>
      <w:r>
        <w:rPr>
          <w:rFonts w:ascii="仿宋_GB2312" w:hAnsi="仿宋_GB2312" w:eastAsia="仿宋_GB2312" w:cs="仿宋_GB2312"/>
          <w:sz w:val="28"/>
          <w:szCs w:val="28"/>
        </w:rPr>
        <w:t>供应商必须向采购人承诺技术后援支持。为用户设备提供5年免费技术支持，并提供5年售后服务承诺。供应商在应答时应详细阐述免费技术支持的内容与范围。</w:t>
      </w:r>
    </w:p>
    <w:p w14:paraId="574A5986">
      <w:pPr>
        <w:pStyle w:val="15"/>
        <w:spacing w:before="0" w:after="0" w:line="360" w:lineRule="auto"/>
        <w:ind w:left="0" w:right="0" w:firstLine="560"/>
        <w:jc w:val="both"/>
      </w:pPr>
      <w:r>
        <w:rPr>
          <w:rFonts w:ascii="仿宋_GB2312" w:hAnsi="仿宋_GB2312" w:eastAsia="仿宋_GB2312" w:cs="仿宋_GB2312"/>
          <w:sz w:val="28"/>
          <w:szCs w:val="28"/>
        </w:rPr>
        <w:t>1.设备质保</w:t>
      </w:r>
    </w:p>
    <w:p w14:paraId="615ABCED">
      <w:pPr>
        <w:pStyle w:val="15"/>
        <w:spacing w:before="0" w:after="0" w:line="360" w:lineRule="auto"/>
        <w:ind w:left="0" w:right="0" w:firstLine="560"/>
        <w:jc w:val="both"/>
      </w:pPr>
      <w:r>
        <w:rPr>
          <w:rFonts w:ascii="仿宋_GB2312" w:hAnsi="仿宋_GB2312" w:eastAsia="仿宋_GB2312" w:cs="仿宋_GB2312"/>
          <w:sz w:val="28"/>
          <w:szCs w:val="28"/>
        </w:rPr>
        <w:t>（1）设备质保期为5年，质保期自项目终验合格之日起之日起计算。</w:t>
      </w:r>
    </w:p>
    <w:p w14:paraId="556F3946">
      <w:pPr>
        <w:pStyle w:val="15"/>
        <w:spacing w:before="0" w:after="0" w:line="360" w:lineRule="auto"/>
        <w:ind w:left="0" w:right="0" w:firstLine="560"/>
        <w:jc w:val="both"/>
      </w:pPr>
      <w:r>
        <w:rPr>
          <w:rFonts w:ascii="仿宋_GB2312" w:hAnsi="仿宋_GB2312" w:eastAsia="仿宋_GB2312" w:cs="仿宋_GB2312"/>
          <w:sz w:val="28"/>
          <w:szCs w:val="28"/>
        </w:rPr>
        <w:t>（2）质保期内，设备厂商负责对其提供的设备与软件进行维修维护，不收取额外费用。</w:t>
      </w:r>
    </w:p>
    <w:p w14:paraId="3243778B">
      <w:pPr>
        <w:pStyle w:val="15"/>
        <w:spacing w:before="0" w:after="0" w:line="360" w:lineRule="auto"/>
        <w:ind w:left="0" w:right="0" w:firstLine="560"/>
        <w:jc w:val="both"/>
      </w:pPr>
      <w:r>
        <w:rPr>
          <w:rFonts w:ascii="仿宋_GB2312" w:hAnsi="仿宋_GB2312" w:eastAsia="仿宋_GB2312" w:cs="仿宋_GB2312"/>
          <w:sz w:val="28"/>
          <w:szCs w:val="28"/>
        </w:rPr>
        <w:t>（3）质保期内，设备厂商提供设备固件与软件的免费升级。</w:t>
      </w:r>
    </w:p>
    <w:p w14:paraId="67F52134">
      <w:pPr>
        <w:pStyle w:val="15"/>
        <w:spacing w:before="0" w:after="0" w:line="360" w:lineRule="auto"/>
        <w:ind w:left="0" w:right="0" w:firstLine="560"/>
        <w:jc w:val="both"/>
      </w:pPr>
      <w:r>
        <w:rPr>
          <w:rFonts w:ascii="仿宋_GB2312" w:hAnsi="仿宋_GB2312" w:eastAsia="仿宋_GB2312" w:cs="仿宋_GB2312"/>
          <w:sz w:val="28"/>
          <w:szCs w:val="28"/>
        </w:rPr>
        <w:t>（4）质保期内，设备厂商技术人员，在采购人进行网络架构调整更换部分设备时，须全程提供现场技术支持。</w:t>
      </w:r>
    </w:p>
    <w:p w14:paraId="7D633B6D">
      <w:pPr>
        <w:pStyle w:val="15"/>
        <w:spacing w:before="0" w:after="0" w:line="360" w:lineRule="auto"/>
        <w:ind w:left="0" w:right="0" w:firstLine="560"/>
        <w:jc w:val="both"/>
      </w:pPr>
      <w:r>
        <w:rPr>
          <w:rFonts w:ascii="仿宋_GB2312" w:hAnsi="仿宋_GB2312" w:eastAsia="仿宋_GB2312" w:cs="仿宋_GB2312"/>
          <w:sz w:val="28"/>
          <w:szCs w:val="28"/>
        </w:rPr>
        <w:t>（5）须在24小时内对采购人所提出的维修要求做出实质性反应。</w:t>
      </w:r>
    </w:p>
    <w:p w14:paraId="0CBA9C63">
      <w:pPr>
        <w:pStyle w:val="15"/>
        <w:spacing w:before="0" w:after="0" w:line="360" w:lineRule="auto"/>
        <w:ind w:left="0" w:right="0" w:firstLine="560"/>
        <w:jc w:val="both"/>
      </w:pPr>
      <w:r>
        <w:rPr>
          <w:rFonts w:ascii="仿宋_GB2312" w:hAnsi="仿宋_GB2312" w:eastAsia="仿宋_GB2312" w:cs="仿宋_GB2312"/>
          <w:sz w:val="28"/>
          <w:szCs w:val="28"/>
        </w:rPr>
        <w:t>（6）设备运行过程中如果出现技术故障，供应商应保证48小时内解决问题。</w:t>
      </w:r>
    </w:p>
    <w:p w14:paraId="70531960">
      <w:pPr>
        <w:pStyle w:val="15"/>
        <w:spacing w:before="0" w:after="0" w:line="360" w:lineRule="auto"/>
        <w:ind w:left="0" w:right="0" w:firstLine="560"/>
        <w:jc w:val="both"/>
      </w:pPr>
      <w:r>
        <w:rPr>
          <w:rFonts w:ascii="仿宋_GB2312" w:hAnsi="仿宋_GB2312" w:eastAsia="仿宋_GB2312" w:cs="仿宋_GB2312"/>
          <w:sz w:val="28"/>
          <w:szCs w:val="28"/>
        </w:rPr>
        <w:t>（7）设备运行过程中如果发生硬件故障，供应商必须保证用户在三个工作日内得到无故障设备。</w:t>
      </w:r>
    </w:p>
    <w:p w14:paraId="44C297A9">
      <w:pPr>
        <w:pStyle w:val="15"/>
        <w:spacing w:before="0" w:after="0" w:line="360" w:lineRule="auto"/>
        <w:ind w:left="0" w:right="0" w:firstLine="560"/>
        <w:jc w:val="both"/>
      </w:pPr>
      <w:r>
        <w:rPr>
          <w:rFonts w:ascii="仿宋_GB2312" w:hAnsi="仿宋_GB2312" w:eastAsia="仿宋_GB2312" w:cs="仿宋_GB2312"/>
          <w:sz w:val="28"/>
          <w:szCs w:val="28"/>
        </w:rPr>
        <w:t>（8）供应商须认真理解上述质保要求，详细列出质保方案。</w:t>
      </w:r>
    </w:p>
    <w:p w14:paraId="7E6FA60B">
      <w:pPr>
        <w:pStyle w:val="15"/>
        <w:spacing w:before="0" w:after="0" w:line="360" w:lineRule="auto"/>
        <w:ind w:left="0" w:right="0" w:firstLine="560"/>
        <w:jc w:val="both"/>
      </w:pPr>
      <w:r>
        <w:rPr>
          <w:rFonts w:ascii="仿宋_GB2312" w:hAnsi="仿宋_GB2312" w:eastAsia="仿宋_GB2312" w:cs="仿宋_GB2312"/>
          <w:sz w:val="28"/>
          <w:szCs w:val="28"/>
        </w:rPr>
        <w:t>2.系统维护服务保证</w:t>
      </w:r>
    </w:p>
    <w:p w14:paraId="2828EAA9">
      <w:pPr>
        <w:pStyle w:val="15"/>
        <w:spacing w:before="0" w:after="0" w:line="360" w:lineRule="auto"/>
        <w:ind w:left="0" w:right="0" w:firstLine="560"/>
        <w:jc w:val="both"/>
      </w:pPr>
      <w:r>
        <w:rPr>
          <w:rFonts w:ascii="仿宋_GB2312" w:hAnsi="仿宋_GB2312" w:eastAsia="仿宋_GB2312" w:cs="仿宋_GB2312"/>
          <w:sz w:val="28"/>
          <w:szCs w:val="28"/>
        </w:rPr>
        <w:t>供应商必须向采购人说明并承诺下列系统维护服务内容：</w:t>
      </w:r>
    </w:p>
    <w:p w14:paraId="1CB56129">
      <w:pPr>
        <w:pStyle w:val="15"/>
        <w:spacing w:before="0" w:after="0" w:line="360" w:lineRule="auto"/>
        <w:ind w:left="0" w:right="0" w:firstLine="560"/>
        <w:jc w:val="both"/>
      </w:pPr>
      <w:r>
        <w:rPr>
          <w:rFonts w:ascii="仿宋_GB2312" w:hAnsi="仿宋_GB2312" w:eastAsia="仿宋_GB2312" w:cs="仿宋_GB2312"/>
          <w:sz w:val="28"/>
          <w:szCs w:val="28"/>
        </w:rPr>
        <w:t>（1）5年内免费维修、维护及维修、维护的范围（产品、技术、模块、部件）。</w:t>
      </w:r>
    </w:p>
    <w:p w14:paraId="6907342C">
      <w:pPr>
        <w:pStyle w:val="15"/>
        <w:spacing w:before="0" w:after="0" w:line="360" w:lineRule="auto"/>
        <w:ind w:left="0" w:right="0" w:firstLine="560"/>
        <w:jc w:val="both"/>
      </w:pPr>
      <w:r>
        <w:rPr>
          <w:rFonts w:ascii="仿宋_GB2312" w:hAnsi="仿宋_GB2312" w:eastAsia="仿宋_GB2312" w:cs="仿宋_GB2312"/>
          <w:sz w:val="28"/>
          <w:szCs w:val="28"/>
        </w:rPr>
        <w:t>（2）5年内免费系统故障处理。诊断、解决系统故障，对其错误及缺陷进行排错。接到采购人请求后，30分钟内给出实质性响应，需要现场维护的，2小时内到达现场，8小时内解决故障问题，如不能按时解决问题，应提出解决问题方案，并征得采购人同意。提供7×24小时的电话技术支持。</w:t>
      </w:r>
    </w:p>
    <w:p w14:paraId="76718844">
      <w:pPr>
        <w:pStyle w:val="15"/>
        <w:spacing w:before="0" w:after="0" w:line="360" w:lineRule="auto"/>
        <w:ind w:left="0" w:right="0" w:firstLine="560"/>
        <w:jc w:val="both"/>
      </w:pPr>
      <w:r>
        <w:rPr>
          <w:rFonts w:ascii="仿宋_GB2312" w:hAnsi="仿宋_GB2312" w:eastAsia="仿宋_GB2312" w:cs="仿宋_GB2312"/>
          <w:sz w:val="28"/>
          <w:szCs w:val="28"/>
        </w:rPr>
        <w:t>（3）技术咨询。解答采购人使用中的常见问题。</w:t>
      </w:r>
    </w:p>
    <w:p w14:paraId="7BA8125A">
      <w:pPr>
        <w:pStyle w:val="15"/>
        <w:spacing w:before="0" w:after="0" w:line="360" w:lineRule="auto"/>
        <w:ind w:left="0" w:right="0" w:firstLine="560"/>
        <w:jc w:val="both"/>
      </w:pPr>
      <w:r>
        <w:rPr>
          <w:rFonts w:ascii="仿宋_GB2312" w:hAnsi="仿宋_GB2312" w:eastAsia="仿宋_GB2312" w:cs="仿宋_GB2312"/>
          <w:sz w:val="28"/>
          <w:szCs w:val="28"/>
        </w:rPr>
        <w:t>（4）5年后收费维修、维护及维修、维护的范围（产品、技术、模块、部件）。</w:t>
      </w:r>
    </w:p>
    <w:p w14:paraId="5C605908">
      <w:pPr>
        <w:pStyle w:val="16"/>
        <w:spacing w:before="0" w:after="0" w:line="360" w:lineRule="auto"/>
        <w:ind w:left="0" w:firstLine="560"/>
        <w:jc w:val="both"/>
        <w:rPr>
          <w:rFonts w:ascii="Times New Roman" w:hAnsi="Times New Roman" w:eastAsia="Times New Roman" w:cs="Times New Roman"/>
        </w:rPr>
      </w:pPr>
      <w:r>
        <w:rPr>
          <w:rFonts w:ascii="仿宋_GB2312" w:hAnsi="仿宋_GB2312" w:eastAsia="仿宋_GB2312" w:cs="仿宋_GB2312"/>
          <w:sz w:val="28"/>
          <w:szCs w:val="28"/>
        </w:rPr>
        <w:t>（5）书面承诺在接到采购人保修电话后2个小时内维修人员到达现场提供售后服务。</w:t>
      </w:r>
    </w:p>
    <w:p w14:paraId="47090D9D">
      <w:pPr>
        <w:pStyle w:val="15"/>
        <w:spacing w:before="0" w:after="0" w:line="360" w:lineRule="auto"/>
        <w:ind w:left="0" w:right="0" w:firstLine="560"/>
        <w:jc w:val="both"/>
      </w:pPr>
      <w:r>
        <w:rPr>
          <w:rFonts w:ascii="仿宋_GB2312" w:hAnsi="仿宋_GB2312" w:eastAsia="仿宋_GB2312" w:cs="仿宋_GB2312"/>
          <w:sz w:val="28"/>
          <w:szCs w:val="28"/>
        </w:rPr>
        <w:t>3.备品与备件</w:t>
      </w:r>
    </w:p>
    <w:p w14:paraId="1584BE39">
      <w:pPr>
        <w:pStyle w:val="15"/>
        <w:spacing w:before="0" w:after="0" w:line="360" w:lineRule="auto"/>
        <w:ind w:left="0" w:right="0" w:firstLine="560"/>
        <w:jc w:val="both"/>
      </w:pPr>
      <w:r>
        <w:rPr>
          <w:rFonts w:ascii="仿宋_GB2312" w:hAnsi="仿宋_GB2312" w:eastAsia="仿宋_GB2312" w:cs="仿宋_GB2312"/>
          <w:sz w:val="28"/>
          <w:szCs w:val="28"/>
        </w:rPr>
        <w:t>供应商应保证采购人5年的备件和消耗品的需求。这些备件及消耗品内容包括:满足投标需求的备件和消耗品；供应商依据IT业界的标准、惯例以及以往的经验,增加采购人未曾指定的备件或消耗品。</w:t>
      </w:r>
    </w:p>
    <w:p w14:paraId="2BB51875">
      <w:pPr>
        <w:pStyle w:val="3"/>
        <w:keepNext w:val="0"/>
        <w:spacing w:before="0" w:after="0" w:line="360" w:lineRule="auto"/>
        <w:jc w:val="both"/>
        <w:rPr>
          <w:rFonts w:ascii="仿宋_GB2312" w:hAnsi="仿宋_GB2312" w:eastAsia="仿宋_GB2312" w:cs="仿宋_GB2312"/>
          <w:b/>
          <w:bCs/>
          <w:sz w:val="28"/>
          <w:szCs w:val="28"/>
        </w:rPr>
      </w:pPr>
      <w:bookmarkStart w:id="28" w:name="_Toc256000026"/>
      <w:r>
        <w:rPr>
          <w:rFonts w:ascii="仿宋_GB2312" w:hAnsi="仿宋_GB2312" w:eastAsia="仿宋_GB2312" w:cs="仿宋_GB2312"/>
          <w:i w:val="0"/>
          <w:iCs w:val="0"/>
        </w:rPr>
        <w:t>3.5其他要求</w:t>
      </w:r>
      <w:bookmarkEnd w:id="28"/>
    </w:p>
    <w:p w14:paraId="6A6D8B44">
      <w:pPr>
        <w:pStyle w:val="15"/>
        <w:spacing w:before="0" w:after="0" w:line="360" w:lineRule="auto"/>
        <w:ind w:left="0" w:right="0" w:firstLine="480"/>
      </w:pPr>
      <w:r>
        <w:rPr>
          <w:rFonts w:ascii="仿宋_GB2312" w:hAnsi="仿宋_GB2312" w:eastAsia="仿宋_GB2312" w:cs="仿宋_GB2312"/>
          <w:sz w:val="28"/>
          <w:szCs w:val="28"/>
        </w:rPr>
        <w:t>无。</w:t>
      </w:r>
    </w:p>
    <w:p w14:paraId="178FA572">
      <w:pPr>
        <w:pStyle w:val="2"/>
        <w:keepNext w:val="0"/>
        <w:spacing w:before="0" w:after="0" w:line="360" w:lineRule="auto"/>
        <w:jc w:val="center"/>
        <w:rPr>
          <w:rFonts w:ascii="仿宋_GB2312" w:hAnsi="仿宋_GB2312" w:eastAsia="仿宋_GB2312" w:cs="仿宋_GB2312"/>
          <w:b/>
          <w:bCs/>
          <w:sz w:val="32"/>
          <w:szCs w:val="32"/>
        </w:rPr>
      </w:pPr>
      <w:bookmarkStart w:id="29" w:name="_Toc256000027"/>
      <w:r>
        <w:rPr>
          <w:rFonts w:ascii="仿宋_GB2312" w:hAnsi="仿宋_GB2312" w:eastAsia="仿宋_GB2312" w:cs="仿宋_GB2312"/>
          <w:kern w:val="36"/>
        </w:rPr>
        <w:t>4人员要求</w:t>
      </w:r>
      <w:bookmarkEnd w:id="29"/>
    </w:p>
    <w:p w14:paraId="7BBEBCEC">
      <w:pPr>
        <w:pStyle w:val="3"/>
        <w:keepNext w:val="0"/>
        <w:spacing w:before="0" w:after="0" w:line="360" w:lineRule="auto"/>
        <w:rPr>
          <w:rFonts w:ascii="仿宋_GB2312" w:hAnsi="仿宋_GB2312" w:eastAsia="仿宋_GB2312" w:cs="仿宋_GB2312"/>
          <w:b/>
          <w:bCs/>
          <w:sz w:val="28"/>
          <w:szCs w:val="28"/>
        </w:rPr>
      </w:pPr>
      <w:bookmarkStart w:id="30" w:name="_Toc256000028"/>
      <w:r>
        <w:rPr>
          <w:rFonts w:ascii="仿宋_GB2312" w:hAnsi="仿宋_GB2312" w:eastAsia="仿宋_GB2312" w:cs="仿宋_GB2312"/>
          <w:i w:val="0"/>
          <w:iCs w:val="0"/>
        </w:rPr>
        <w:t>4.1团队要求</w:t>
      </w:r>
      <w:bookmarkEnd w:id="30"/>
    </w:p>
    <w:p w14:paraId="69BE09F5">
      <w:pPr>
        <w:pStyle w:val="4"/>
        <w:keepNext w:val="0"/>
        <w:spacing w:before="0" w:after="0" w:line="360" w:lineRule="auto"/>
        <w:rPr>
          <w:rFonts w:ascii="仿宋_GB2312" w:hAnsi="仿宋_GB2312" w:eastAsia="仿宋_GB2312" w:cs="仿宋_GB2312"/>
          <w:b/>
          <w:bCs/>
          <w:sz w:val="28"/>
          <w:szCs w:val="28"/>
        </w:rPr>
      </w:pPr>
      <w:bookmarkStart w:id="31" w:name="_Toc256000029"/>
      <w:r>
        <w:rPr>
          <w:rFonts w:ascii="仿宋_GB2312" w:hAnsi="仿宋_GB2312" w:eastAsia="仿宋_GB2312" w:cs="仿宋_GB2312"/>
          <w:sz w:val="28"/>
          <w:szCs w:val="28"/>
        </w:rPr>
        <w:t>4.1.1基本要求</w:t>
      </w:r>
      <w:bookmarkEnd w:id="31"/>
    </w:p>
    <w:p w14:paraId="79D95553">
      <w:pPr>
        <w:pStyle w:val="15"/>
        <w:spacing w:before="0" w:after="0" w:line="360" w:lineRule="auto"/>
        <w:ind w:left="0" w:right="0" w:firstLine="560"/>
      </w:pPr>
      <w:r>
        <w:rPr>
          <w:rFonts w:ascii="仿宋_GB2312" w:hAnsi="仿宋_GB2312" w:eastAsia="仿宋_GB2312" w:cs="仿宋_GB2312"/>
          <w:sz w:val="28"/>
          <w:szCs w:val="28"/>
        </w:rPr>
        <w:t>无。</w:t>
      </w:r>
    </w:p>
    <w:p w14:paraId="5022406D">
      <w:pPr>
        <w:pStyle w:val="4"/>
        <w:keepNext w:val="0"/>
        <w:spacing w:before="0" w:after="0" w:line="360" w:lineRule="auto"/>
        <w:rPr>
          <w:rFonts w:ascii="仿宋_GB2312" w:hAnsi="仿宋_GB2312" w:eastAsia="仿宋_GB2312" w:cs="仿宋_GB2312"/>
          <w:sz w:val="28"/>
          <w:szCs w:val="28"/>
        </w:rPr>
      </w:pPr>
      <w:bookmarkStart w:id="32" w:name="_Toc256000030"/>
      <w:r>
        <w:rPr>
          <w:rFonts w:ascii="仿宋_GB2312" w:hAnsi="仿宋_GB2312" w:eastAsia="仿宋_GB2312" w:cs="仿宋_GB2312"/>
          <w:sz w:val="28"/>
          <w:szCs w:val="28"/>
        </w:rPr>
        <w:t>4.1.2优选资质/优选指标</w:t>
      </w:r>
      <w:bookmarkEnd w:id="32"/>
    </w:p>
    <w:p w14:paraId="547FD539">
      <w:pPr>
        <w:pStyle w:val="15"/>
        <w:spacing w:before="0" w:after="0" w:line="360" w:lineRule="auto"/>
        <w:ind w:left="0" w:right="0" w:firstLine="560"/>
      </w:pPr>
      <w:r>
        <w:rPr>
          <w:rFonts w:ascii="仿宋_GB2312" w:hAnsi="仿宋_GB2312" w:eastAsia="仿宋_GB2312" w:cs="仿宋_GB2312"/>
          <w:sz w:val="28"/>
          <w:szCs w:val="28"/>
        </w:rPr>
        <w:t>无。</w:t>
      </w:r>
    </w:p>
    <w:p w14:paraId="0959557D"/>
    <w:p w14:paraId="66A9A43F">
      <w:pPr>
        <w:pStyle w:val="2"/>
        <w:keepNext w:val="0"/>
        <w:spacing w:before="0" w:after="0" w:line="360" w:lineRule="auto"/>
        <w:jc w:val="center"/>
        <w:rPr>
          <w:rFonts w:ascii="仿宋_GB2312" w:hAnsi="仿宋_GB2312" w:eastAsia="仿宋_GB2312" w:cs="仿宋_GB2312"/>
          <w:b/>
          <w:bCs/>
          <w:sz w:val="32"/>
          <w:szCs w:val="32"/>
        </w:rPr>
      </w:pPr>
      <w:bookmarkStart w:id="33" w:name="_Toc256000031"/>
      <w:r>
        <w:rPr>
          <w:rFonts w:ascii="仿宋_GB2312" w:hAnsi="仿宋_GB2312" w:eastAsia="仿宋_GB2312" w:cs="仿宋_GB2312"/>
          <w:kern w:val="36"/>
        </w:rPr>
        <w:t>5管理实施要求</w:t>
      </w:r>
      <w:bookmarkEnd w:id="33"/>
    </w:p>
    <w:p w14:paraId="51207A3C">
      <w:pPr>
        <w:pStyle w:val="15"/>
        <w:spacing w:before="0" w:after="0" w:line="360" w:lineRule="auto"/>
        <w:ind w:left="0" w:right="0" w:firstLine="560"/>
        <w:jc w:val="both"/>
      </w:pPr>
      <w:r>
        <w:rPr>
          <w:rFonts w:ascii="仿宋_GB2312" w:hAnsi="仿宋_GB2312" w:eastAsia="仿宋_GB2312" w:cs="仿宋_GB2312"/>
          <w:sz w:val="28"/>
          <w:szCs w:val="28"/>
        </w:rPr>
        <w:t>1.供应商负责项目所有设备的上架，系统的安装、许可激活；所有设备的网络连接，调试；补充所需的综合布线，包括但不限于列头柜至网络汇聚区线缆、配线架、桥架等。在项目实施中需要的各类配件、线缆由供应商提供。</w:t>
      </w:r>
    </w:p>
    <w:p w14:paraId="2B5E13EE">
      <w:pPr>
        <w:pStyle w:val="15"/>
        <w:spacing w:before="0" w:after="0" w:line="360" w:lineRule="auto"/>
        <w:ind w:left="0" w:right="0" w:firstLine="560"/>
        <w:jc w:val="both"/>
      </w:pPr>
      <w:r>
        <w:rPr>
          <w:rFonts w:ascii="仿宋_GB2312" w:hAnsi="仿宋_GB2312" w:eastAsia="仿宋_GB2312" w:cs="仿宋_GB2312"/>
          <w:sz w:val="28"/>
          <w:szCs w:val="28"/>
        </w:rPr>
        <w:t>2.供应商负责项目文档资料管理，对于项目施工过程中的施工方案、验收报告等所有资料进行归类整理并装订成册，提交用户留存。</w:t>
      </w:r>
    </w:p>
    <w:p w14:paraId="7D72AA0C">
      <w:pPr>
        <w:pStyle w:val="15"/>
        <w:spacing w:before="0" w:after="0" w:line="360" w:lineRule="auto"/>
        <w:ind w:left="0" w:right="0" w:firstLine="560"/>
        <w:jc w:val="both"/>
      </w:pPr>
      <w:r>
        <w:rPr>
          <w:rFonts w:ascii="仿宋_GB2312" w:hAnsi="仿宋_GB2312" w:eastAsia="仿宋_GB2312" w:cs="仿宋_GB2312"/>
          <w:sz w:val="28"/>
          <w:szCs w:val="28"/>
        </w:rPr>
        <w:t>3.货物清单中未列出但项目中必须的设备材料，以及系统运行和验收需要的所有费用都须包含在投标报价中。供应商在投标报价中的错算或漏算，由供应商承担全部损失。供应商应能保证系统使用运行所需的备件和具备相关技术保障机制，如出现设备故障，需更换设备或配件，供应商应在4小时内提供并更换设备或备件，备件要保证为原厂新品，不能因为设备停产而拒绝提供设备、备品备件。供应商派专业技术人员对采购人方的技术人员免费进行使用操作、维护等技术的现场培训，直至采购人方的技术人员能独立工作；供应商免费指导所投产品所有部分的使用和维护。供应商能够根据客户的需求，对设备进行安装、迁移、配置、优化，对系统打补丁、升级，保证采购人的扩展需求。</w:t>
      </w:r>
    </w:p>
    <w:p w14:paraId="3B82460B">
      <w:pPr>
        <w:pStyle w:val="2"/>
        <w:keepNext w:val="0"/>
        <w:spacing w:before="0" w:after="0" w:line="360" w:lineRule="auto"/>
        <w:jc w:val="center"/>
        <w:rPr>
          <w:rFonts w:ascii="仿宋_GB2312" w:hAnsi="仿宋_GB2312" w:eastAsia="仿宋_GB2312" w:cs="仿宋_GB2312"/>
          <w:b/>
          <w:bCs/>
          <w:sz w:val="32"/>
          <w:szCs w:val="32"/>
        </w:rPr>
      </w:pPr>
      <w:bookmarkStart w:id="34" w:name="_Toc256000032"/>
      <w:r>
        <w:rPr>
          <w:rFonts w:ascii="仿宋_GB2312" w:hAnsi="仿宋_GB2312" w:eastAsia="仿宋_GB2312" w:cs="仿宋_GB2312"/>
          <w:kern w:val="36"/>
        </w:rPr>
        <w:t>6风险管控要求</w:t>
      </w:r>
      <w:bookmarkEnd w:id="34"/>
    </w:p>
    <w:p w14:paraId="51BEE9F1">
      <w:pPr>
        <w:pStyle w:val="3"/>
        <w:keepNext w:val="0"/>
        <w:spacing w:before="0" w:after="0" w:line="360" w:lineRule="auto"/>
        <w:rPr>
          <w:rFonts w:ascii="仿宋_GB2312" w:hAnsi="仿宋_GB2312" w:eastAsia="仿宋_GB2312" w:cs="仿宋_GB2312"/>
          <w:b/>
          <w:bCs/>
          <w:sz w:val="28"/>
          <w:szCs w:val="28"/>
        </w:rPr>
      </w:pPr>
      <w:bookmarkStart w:id="35" w:name="_Toc256000033"/>
      <w:r>
        <w:rPr>
          <w:rFonts w:ascii="仿宋_GB2312" w:hAnsi="仿宋_GB2312" w:eastAsia="仿宋_GB2312" w:cs="仿宋_GB2312"/>
          <w:i w:val="0"/>
          <w:iCs w:val="0"/>
        </w:rPr>
        <w:t>6.1技术类风险管控</w:t>
      </w:r>
      <w:bookmarkEnd w:id="35"/>
    </w:p>
    <w:p w14:paraId="3B9DCB82">
      <w:pPr>
        <w:pStyle w:val="15"/>
        <w:spacing w:before="0" w:after="0" w:line="360" w:lineRule="auto"/>
        <w:ind w:left="0" w:right="0" w:firstLine="560"/>
        <w:jc w:val="both"/>
      </w:pPr>
      <w:r>
        <w:rPr>
          <w:rFonts w:ascii="仿宋_GB2312" w:hAnsi="仿宋_GB2312" w:eastAsia="仿宋_GB2312" w:cs="仿宋_GB2312"/>
          <w:sz w:val="28"/>
          <w:szCs w:val="28"/>
        </w:rPr>
        <w:t>项目实施期间，供应商须做好核心交换机、负载均衡设备相关配置和数据的各项安全保障工作，对系统软硬件资源及网络资源等制定风险管控预案和防范措施。</w:t>
      </w:r>
    </w:p>
    <w:p w14:paraId="12D81721">
      <w:pPr>
        <w:pStyle w:val="15"/>
        <w:spacing w:before="0" w:after="0" w:line="360" w:lineRule="auto"/>
        <w:ind w:left="0" w:right="0" w:firstLine="560"/>
        <w:jc w:val="both"/>
      </w:pPr>
      <w:r>
        <w:rPr>
          <w:rFonts w:ascii="仿宋_GB2312" w:hAnsi="仿宋_GB2312" w:eastAsia="仿宋_GB2312" w:cs="仿宋_GB2312"/>
          <w:sz w:val="28"/>
          <w:szCs w:val="28"/>
        </w:rPr>
        <w:t>供应商应充分预估项目实施中存在的技术风险，包括并不限于：系统硬件稳定性、系统资源、网络环境、数据安全等方面可能存在的风险，制定可靠的技术管理保障措施。</w:t>
      </w:r>
    </w:p>
    <w:p w14:paraId="39C1F2BB">
      <w:pPr>
        <w:pStyle w:val="15"/>
        <w:spacing w:before="0" w:after="0" w:line="360" w:lineRule="auto"/>
        <w:ind w:left="0" w:right="0" w:firstLine="560"/>
        <w:jc w:val="both"/>
      </w:pPr>
      <w:r>
        <w:rPr>
          <w:rFonts w:ascii="仿宋_GB2312" w:hAnsi="仿宋_GB2312" w:eastAsia="仿宋_GB2312" w:cs="仿宋_GB2312"/>
          <w:sz w:val="28"/>
          <w:szCs w:val="28"/>
        </w:rPr>
        <w:t>供应商应充分预估项目实施中人员技术服务存在的操作风险，包括并不限于：人为错误、账户权限管理不当、服务流程不规范等，制定可靠的技术服务保障措施。</w:t>
      </w:r>
    </w:p>
    <w:p w14:paraId="626001BF">
      <w:pPr>
        <w:pStyle w:val="15"/>
        <w:spacing w:before="0" w:after="0" w:line="360" w:lineRule="auto"/>
        <w:ind w:left="0" w:right="0" w:firstLine="560"/>
        <w:jc w:val="both"/>
      </w:pPr>
      <w:r>
        <w:rPr>
          <w:rFonts w:ascii="仿宋_GB2312" w:hAnsi="仿宋_GB2312" w:eastAsia="仿宋_GB2312" w:cs="仿宋_GB2312"/>
          <w:sz w:val="28"/>
          <w:szCs w:val="28"/>
        </w:rPr>
        <w:t>发现网络安全漏洞、缺陷、数据泄露或其他重大网络安全风险，及时向采购人进行报告，不得擅自公开或向第三方提供。</w:t>
      </w:r>
    </w:p>
    <w:p w14:paraId="4EFA1D91">
      <w:pPr>
        <w:pStyle w:val="3"/>
        <w:keepNext w:val="0"/>
        <w:spacing w:before="0" w:after="0" w:line="360" w:lineRule="auto"/>
        <w:rPr>
          <w:rFonts w:ascii="仿宋_GB2312" w:hAnsi="仿宋_GB2312" w:eastAsia="仿宋_GB2312" w:cs="仿宋_GB2312"/>
          <w:b/>
          <w:bCs/>
          <w:sz w:val="28"/>
          <w:szCs w:val="28"/>
        </w:rPr>
      </w:pPr>
      <w:bookmarkStart w:id="36" w:name="_Toc256000034"/>
      <w:r>
        <w:rPr>
          <w:rFonts w:ascii="仿宋_GB2312" w:hAnsi="仿宋_GB2312" w:eastAsia="仿宋_GB2312" w:cs="仿宋_GB2312"/>
          <w:i w:val="0"/>
          <w:iCs w:val="0"/>
        </w:rPr>
        <w:t>6.2违约风险管控</w:t>
      </w:r>
      <w:bookmarkEnd w:id="36"/>
    </w:p>
    <w:p w14:paraId="379C322D">
      <w:pPr>
        <w:pStyle w:val="15"/>
        <w:spacing w:before="0" w:after="0" w:line="360" w:lineRule="auto"/>
        <w:ind w:left="0" w:right="0" w:firstLine="560"/>
        <w:jc w:val="both"/>
      </w:pPr>
      <w:r>
        <w:rPr>
          <w:rFonts w:ascii="仿宋_GB2312" w:hAnsi="仿宋_GB2312" w:eastAsia="仿宋_GB2312" w:cs="仿宋_GB2312"/>
          <w:sz w:val="28"/>
          <w:szCs w:val="28"/>
        </w:rPr>
        <w:t>（1）供应商逾期交付货物的，供应商应按合同全款每日6‰向招标人支付违约金，由采购人从待付货款中扣除。逾期超过约定日期五个工作日不能交货的，采购人可解除本合同。供应商因逾期交货或因其他违约行为导致招标方解除合同的，供应商应向采购人支付合同全款5%的违约金，如造成采购人损失超过违约金的，超出部分由供应商继续承担赔偿责任。</w:t>
      </w:r>
    </w:p>
    <w:p w14:paraId="740CCAD1">
      <w:pPr>
        <w:pStyle w:val="15"/>
        <w:spacing w:before="0" w:after="0" w:line="360" w:lineRule="auto"/>
        <w:ind w:left="0" w:right="0" w:firstLine="560"/>
        <w:jc w:val="both"/>
      </w:pPr>
      <w:r>
        <w:rPr>
          <w:rFonts w:ascii="仿宋_GB2312" w:hAnsi="仿宋_GB2312" w:eastAsia="仿宋_GB2312" w:cs="仿宋_GB2312"/>
          <w:sz w:val="28"/>
          <w:szCs w:val="28"/>
        </w:rPr>
        <w:t>（2）供应商所交的货物品种、型号、规格、技术参数、质量不符合合同规定及招标文件规定标准的，采购人有权拒收该货物，供应商愿意更换货物但逾期交货的，按供应商逾期交货处理。供应商拒绝更换货物的，采购人可单方面解除合同。</w:t>
      </w:r>
    </w:p>
    <w:p w14:paraId="4587CBE1">
      <w:pPr>
        <w:pStyle w:val="15"/>
        <w:spacing w:before="0" w:after="0" w:line="360" w:lineRule="auto"/>
        <w:ind w:left="0" w:right="0" w:firstLine="560"/>
        <w:jc w:val="both"/>
      </w:pPr>
      <w:r>
        <w:rPr>
          <w:rFonts w:ascii="仿宋_GB2312" w:hAnsi="仿宋_GB2312" w:eastAsia="仿宋_GB2312" w:cs="仿宋_GB2312"/>
          <w:sz w:val="28"/>
          <w:szCs w:val="28"/>
        </w:rPr>
        <w:t>（3）供应商未在规定时间内完成故障处理、更换配件等后续维保服务的，对采购人造成的损失应由供应商承担。</w:t>
      </w:r>
    </w:p>
    <w:p w14:paraId="56EF3DA8">
      <w:pPr>
        <w:pStyle w:val="15"/>
        <w:spacing w:before="0" w:after="0" w:line="360" w:lineRule="auto"/>
        <w:ind w:left="0" w:right="0" w:firstLine="560"/>
        <w:jc w:val="both"/>
      </w:pPr>
      <w:r>
        <w:rPr>
          <w:rFonts w:ascii="仿宋_GB2312" w:hAnsi="仿宋_GB2312" w:eastAsia="仿宋_GB2312" w:cs="仿宋_GB2312"/>
          <w:color w:val="000000"/>
          <w:sz w:val="28"/>
          <w:szCs w:val="28"/>
        </w:rPr>
        <w:t>（4）供应商中标后无正当理由拒不签约，或未按约定时限、文本签约的，按以下处理：</w:t>
      </w:r>
    </w:p>
    <w:p w14:paraId="704210B9">
      <w:pPr>
        <w:pStyle w:val="15"/>
        <w:spacing w:before="0" w:after="0" w:line="360" w:lineRule="auto"/>
        <w:ind w:left="0" w:right="0" w:firstLine="560"/>
        <w:jc w:val="both"/>
      </w:pPr>
      <w:r>
        <w:rPr>
          <w:rFonts w:ascii="仿宋_GB2312" w:hAnsi="仿宋_GB2312" w:eastAsia="仿宋_GB2312" w:cs="仿宋_GB2312"/>
          <w:color w:val="000000"/>
          <w:sz w:val="28"/>
          <w:szCs w:val="28"/>
        </w:rPr>
        <w:t>①中标无效，采购人有权不予退还投标保证金；未交纳保证金的，依法追究赔偿责任。</w:t>
      </w:r>
    </w:p>
    <w:p w14:paraId="14C3E236">
      <w:pPr>
        <w:pStyle w:val="15"/>
        <w:spacing w:before="0" w:after="0" w:line="360" w:lineRule="auto"/>
        <w:ind w:left="0" w:right="0" w:firstLine="480"/>
        <w:jc w:val="both"/>
      </w:pPr>
      <w:r>
        <w:rPr>
          <w:rFonts w:ascii="仿宋_GB2312" w:hAnsi="仿宋_GB2312" w:eastAsia="仿宋_GB2312" w:cs="仿宋_GB2312"/>
          <w:color w:val="000000"/>
          <w:sz w:val="28"/>
          <w:szCs w:val="28"/>
        </w:rPr>
        <w:t>②报请财政部门依法处罚：处以采购金额5‰—10‰罚款，列入不良行为记录，1—3年内禁止参与政府采购活动；有违法所得的没收违法所得；情节严重的吊销营业执照。</w:t>
      </w:r>
    </w:p>
    <w:p w14:paraId="553D01C8">
      <w:pPr>
        <w:pStyle w:val="2"/>
        <w:keepNext w:val="0"/>
        <w:spacing w:before="0" w:after="0" w:line="360" w:lineRule="auto"/>
        <w:jc w:val="center"/>
        <w:rPr>
          <w:rFonts w:ascii="仿宋_GB2312" w:hAnsi="仿宋_GB2312" w:eastAsia="仿宋_GB2312" w:cs="仿宋_GB2312"/>
          <w:b/>
          <w:bCs/>
          <w:sz w:val="32"/>
          <w:szCs w:val="32"/>
        </w:rPr>
      </w:pPr>
      <w:bookmarkStart w:id="37" w:name="_Toc256000035"/>
      <w:r>
        <w:rPr>
          <w:rFonts w:ascii="仿宋_GB2312" w:hAnsi="仿宋_GB2312" w:eastAsia="仿宋_GB2312" w:cs="仿宋_GB2312"/>
          <w:kern w:val="36"/>
        </w:rPr>
        <w:t>7履约验收要求</w:t>
      </w:r>
      <w:bookmarkEnd w:id="37"/>
    </w:p>
    <w:p w14:paraId="4FF8E2F4">
      <w:pPr>
        <w:pStyle w:val="3"/>
        <w:keepNext w:val="0"/>
        <w:spacing w:before="0" w:after="0" w:line="360" w:lineRule="auto"/>
        <w:rPr>
          <w:rFonts w:ascii="仿宋_GB2312" w:hAnsi="仿宋_GB2312" w:eastAsia="仿宋_GB2312" w:cs="仿宋_GB2312"/>
          <w:b/>
          <w:bCs/>
          <w:sz w:val="28"/>
          <w:szCs w:val="28"/>
        </w:rPr>
      </w:pPr>
      <w:bookmarkStart w:id="38" w:name="_Toc256000036"/>
      <w:r>
        <w:rPr>
          <w:rFonts w:ascii="仿宋_GB2312" w:hAnsi="仿宋_GB2312" w:eastAsia="仿宋_GB2312" w:cs="仿宋_GB2312"/>
          <w:i w:val="0"/>
          <w:iCs w:val="0"/>
        </w:rPr>
        <w:t>7.1总体要求</w:t>
      </w:r>
      <w:bookmarkEnd w:id="38"/>
    </w:p>
    <w:tbl>
      <w:tblPr>
        <w:tblStyle w:val="11"/>
        <w:tblW w:w="5000" w:type="pct"/>
        <w:tblInd w:w="30" w:type="dxa"/>
        <w:tblLayout w:type="autofit"/>
        <w:tblCellMar>
          <w:top w:w="15" w:type="dxa"/>
          <w:left w:w="15" w:type="dxa"/>
          <w:bottom w:w="15" w:type="dxa"/>
          <w:right w:w="15" w:type="dxa"/>
        </w:tblCellMar>
      </w:tblPr>
      <w:tblGrid>
        <w:gridCol w:w="4535"/>
        <w:gridCol w:w="4535"/>
      </w:tblGrid>
      <w:tr w14:paraId="4C55B81D">
        <w:tblPrEx>
          <w:tblCellMar>
            <w:top w:w="15" w:type="dxa"/>
            <w:left w:w="15" w:type="dxa"/>
            <w:bottom w:w="15" w:type="dxa"/>
            <w:right w:w="15" w:type="dxa"/>
          </w:tblCellMar>
        </w:tblPrEx>
        <w:tc>
          <w:tcPr>
            <w:tcW w:w="250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14:paraId="20E377A3">
            <w:pPr>
              <w:jc w:val="center"/>
              <w:rPr>
                <w:rFonts w:ascii="仿宋_GB2312" w:hAnsi="仿宋_GB2312" w:eastAsia="仿宋_GB2312" w:cs="仿宋_GB2312"/>
                <w:b/>
                <w:bCs/>
                <w:i w:val="0"/>
                <w:iCs w:val="0"/>
                <w:smallCaps w:val="0"/>
                <w:color w:val="000000"/>
                <w:sz w:val="21"/>
                <w:szCs w:val="21"/>
              </w:rPr>
            </w:pPr>
            <w:r>
              <w:rPr>
                <w:rFonts w:ascii="仿宋_GB2312" w:hAnsi="仿宋_GB2312" w:eastAsia="仿宋_GB2312" w:cs="仿宋_GB2312"/>
                <w:b/>
                <w:bCs/>
                <w:i w:val="0"/>
                <w:iCs w:val="0"/>
                <w:smallCaps w:val="0"/>
                <w:color w:val="000000"/>
                <w:sz w:val="21"/>
                <w:szCs w:val="21"/>
              </w:rPr>
              <w:t>验收名称</w:t>
            </w:r>
          </w:p>
        </w:tc>
        <w:tc>
          <w:tcPr>
            <w:tcW w:w="250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14:paraId="4E6E5DBE">
            <w:pPr>
              <w:jc w:val="center"/>
              <w:rPr>
                <w:rFonts w:ascii="仿宋_GB2312" w:hAnsi="仿宋_GB2312" w:eastAsia="仿宋_GB2312" w:cs="仿宋_GB2312"/>
                <w:b/>
                <w:bCs/>
                <w:i w:val="0"/>
                <w:iCs w:val="0"/>
                <w:smallCaps w:val="0"/>
                <w:color w:val="000000"/>
                <w:sz w:val="21"/>
                <w:szCs w:val="21"/>
              </w:rPr>
            </w:pPr>
            <w:r>
              <w:rPr>
                <w:rFonts w:ascii="仿宋_GB2312" w:hAnsi="仿宋_GB2312" w:eastAsia="仿宋_GB2312" w:cs="仿宋_GB2312"/>
                <w:b/>
                <w:bCs/>
                <w:i w:val="0"/>
                <w:iCs w:val="0"/>
                <w:smallCaps w:val="0"/>
                <w:color w:val="000000"/>
                <w:sz w:val="21"/>
                <w:szCs w:val="21"/>
              </w:rPr>
              <w:t>验收要求</w:t>
            </w:r>
          </w:p>
        </w:tc>
      </w:tr>
      <w:tr w14:paraId="219C6014">
        <w:tblPrEx>
          <w:tblCellMar>
            <w:top w:w="15" w:type="dxa"/>
            <w:left w:w="15" w:type="dxa"/>
            <w:bottom w:w="15" w:type="dxa"/>
            <w:right w:w="15" w:type="dxa"/>
          </w:tblCellMar>
        </w:tblPrEx>
        <w:tc>
          <w:tcPr>
            <w:tcW w:w="250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6CBB12A">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第1次验收</w:t>
            </w:r>
          </w:p>
        </w:tc>
        <w:tc>
          <w:tcPr>
            <w:tcW w:w="250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562DB57">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到货验收（在合同硬件产品到达采购人指定的地点后，供应商与采购人共同开箱验货，依标书要求对全部产品的型号、规格、数量、外形、包装及资料、文件进行验收。当出现损坏、数量不全或产品不符等问题时，由供应商负责解决；同时按标书技术部分要求对其产品的性能和配置进行测试检查，确保设备正常运行，并达到标书要求的性能和产品指标中规定的性能。供应商保证所提供设备必须是原厂全新产品。）</w:t>
            </w:r>
          </w:p>
        </w:tc>
      </w:tr>
      <w:tr w14:paraId="7E048433">
        <w:tblPrEx>
          <w:tblCellMar>
            <w:top w:w="15" w:type="dxa"/>
            <w:left w:w="15" w:type="dxa"/>
            <w:bottom w:w="15" w:type="dxa"/>
            <w:right w:w="15" w:type="dxa"/>
          </w:tblCellMar>
        </w:tblPrEx>
        <w:tc>
          <w:tcPr>
            <w:tcW w:w="250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C38FFD3">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第2次验收</w:t>
            </w:r>
          </w:p>
        </w:tc>
        <w:tc>
          <w:tcPr>
            <w:tcW w:w="250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4B567BA">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最终验收（完成全部软硬件安装、网络配置调试及系统稳定运行1个月后，供应商提供验收测试计划，按采购人要求对设备进行现场验收测试，对软硬件技术指标和网络联通总体性能进行验收。系统验收合格后，签署系统终验文件。）</w:t>
            </w:r>
          </w:p>
        </w:tc>
      </w:tr>
    </w:tbl>
    <w:p w14:paraId="22C48700">
      <w:pPr>
        <w:pStyle w:val="3"/>
        <w:keepNext w:val="0"/>
        <w:spacing w:before="0" w:after="0" w:line="360" w:lineRule="auto"/>
        <w:rPr>
          <w:rFonts w:ascii="仿宋_GB2312" w:hAnsi="仿宋_GB2312" w:eastAsia="仿宋_GB2312" w:cs="仿宋_GB2312"/>
          <w:b/>
          <w:bCs/>
          <w:sz w:val="28"/>
          <w:szCs w:val="28"/>
        </w:rPr>
      </w:pPr>
      <w:bookmarkStart w:id="39" w:name="_Toc256000037"/>
      <w:r>
        <w:rPr>
          <w:rFonts w:ascii="仿宋_GB2312" w:hAnsi="仿宋_GB2312" w:eastAsia="仿宋_GB2312" w:cs="仿宋_GB2312"/>
          <w:i w:val="0"/>
          <w:iCs w:val="0"/>
        </w:rPr>
        <w:t>7.2具体要求</w:t>
      </w:r>
      <w:bookmarkEnd w:id="39"/>
    </w:p>
    <w:p w14:paraId="27ACBA80">
      <w:pPr>
        <w:pStyle w:val="15"/>
        <w:spacing w:before="0" w:after="0" w:line="360" w:lineRule="auto"/>
        <w:ind w:left="0" w:right="0" w:firstLine="560"/>
      </w:pPr>
      <w:r>
        <w:rPr>
          <w:rFonts w:ascii="仿宋_GB2312" w:hAnsi="仿宋_GB2312" w:eastAsia="仿宋_GB2312" w:cs="仿宋_GB2312"/>
          <w:sz w:val="28"/>
          <w:szCs w:val="28"/>
        </w:rPr>
        <w:t>（一）到货验收</w:t>
      </w:r>
    </w:p>
    <w:p w14:paraId="663EA024">
      <w:pPr>
        <w:pStyle w:val="15"/>
        <w:spacing w:before="0" w:after="0" w:line="360" w:lineRule="auto"/>
        <w:ind w:left="0" w:right="0" w:firstLine="560"/>
        <w:jc w:val="both"/>
      </w:pPr>
      <w:r>
        <w:rPr>
          <w:rFonts w:ascii="仿宋_GB2312" w:hAnsi="仿宋_GB2312" w:eastAsia="仿宋_GB2312" w:cs="仿宋_GB2312"/>
          <w:sz w:val="28"/>
          <w:szCs w:val="28"/>
        </w:rPr>
        <w:t>在合同硬件产品到达采购人指定的地点后，供应商与采购人共同开箱验货，依标书要求对全部产品的型号、规格、数量、外形、包装及资料、文件进行验收。当出现损坏、数量不全或产品不符等问题时，由供应商负责解决；同时按标书技术部分要求对其产品的性能和配置进行测试检查，确保设备正常运行，并达到标书要求的性能和产品指标中规定的性能。</w:t>
      </w:r>
    </w:p>
    <w:p w14:paraId="24E92CF4">
      <w:pPr>
        <w:pStyle w:val="15"/>
        <w:spacing w:before="0" w:after="0" w:line="360" w:lineRule="auto"/>
        <w:ind w:left="0" w:right="0" w:firstLine="560"/>
        <w:jc w:val="both"/>
      </w:pPr>
      <w:r>
        <w:rPr>
          <w:rFonts w:ascii="仿宋_GB2312" w:hAnsi="仿宋_GB2312" w:eastAsia="仿宋_GB2312" w:cs="仿宋_GB2312"/>
          <w:sz w:val="28"/>
          <w:szCs w:val="28"/>
        </w:rPr>
        <w:t>供应商保证所提供设备必须是原厂全新产品。</w:t>
      </w:r>
    </w:p>
    <w:p w14:paraId="357182D2">
      <w:pPr>
        <w:pStyle w:val="15"/>
        <w:spacing w:before="0" w:after="0" w:line="360" w:lineRule="auto"/>
        <w:ind w:left="0" w:right="0" w:firstLine="560"/>
        <w:jc w:val="both"/>
      </w:pPr>
      <w:r>
        <w:rPr>
          <w:rFonts w:ascii="仿宋_GB2312" w:hAnsi="仿宋_GB2312" w:eastAsia="仿宋_GB2312" w:cs="仿宋_GB2312"/>
          <w:sz w:val="28"/>
          <w:szCs w:val="28"/>
        </w:rPr>
        <w:t>（二）最终验收</w:t>
      </w:r>
    </w:p>
    <w:p w14:paraId="10B7E974">
      <w:pPr>
        <w:pStyle w:val="15"/>
        <w:spacing w:before="0" w:after="0" w:line="360" w:lineRule="auto"/>
        <w:ind w:left="0" w:right="0" w:firstLine="560"/>
        <w:jc w:val="both"/>
      </w:pPr>
      <w:r>
        <w:rPr>
          <w:rFonts w:ascii="仿宋_GB2312" w:hAnsi="仿宋_GB2312" w:eastAsia="仿宋_GB2312" w:cs="仿宋_GB2312"/>
          <w:sz w:val="28"/>
          <w:szCs w:val="28"/>
        </w:rPr>
        <w:t>完成全部软硬件安装、网络配置调试及系统稳定运行1个月后，供应商提供验收测试计划，按采购人要求对设备进行现场验收测试，对软硬件技术指标和网络联通总体性能进行验收。</w:t>
      </w:r>
    </w:p>
    <w:p w14:paraId="681AE0B2">
      <w:pPr>
        <w:pStyle w:val="15"/>
        <w:spacing w:before="0" w:after="0" w:line="360" w:lineRule="auto"/>
        <w:ind w:left="0" w:right="0" w:firstLine="560"/>
        <w:jc w:val="both"/>
      </w:pPr>
      <w:r>
        <w:rPr>
          <w:rFonts w:ascii="仿宋_GB2312" w:hAnsi="仿宋_GB2312" w:eastAsia="仿宋_GB2312" w:cs="仿宋_GB2312"/>
          <w:sz w:val="28"/>
          <w:szCs w:val="28"/>
        </w:rPr>
        <w:t>系统验收合格后，签署系统终验文件。</w:t>
      </w:r>
    </w:p>
    <w:p w14:paraId="2542207C">
      <w:pPr>
        <w:pStyle w:val="2"/>
        <w:keepNext w:val="0"/>
        <w:spacing w:before="0" w:after="0" w:line="360" w:lineRule="auto"/>
        <w:jc w:val="center"/>
        <w:rPr>
          <w:rFonts w:ascii="仿宋_GB2312" w:hAnsi="仿宋_GB2312" w:eastAsia="仿宋_GB2312" w:cs="仿宋_GB2312"/>
          <w:b/>
          <w:bCs/>
          <w:sz w:val="32"/>
          <w:szCs w:val="32"/>
        </w:rPr>
      </w:pPr>
      <w:bookmarkStart w:id="40" w:name="_Toc256000038"/>
      <w:r>
        <w:rPr>
          <w:rFonts w:ascii="仿宋_GB2312" w:hAnsi="仿宋_GB2312" w:eastAsia="仿宋_GB2312" w:cs="仿宋_GB2312"/>
          <w:kern w:val="36"/>
        </w:rPr>
        <w:t>8其他要求</w:t>
      </w:r>
      <w:bookmarkEnd w:id="40"/>
    </w:p>
    <w:p w14:paraId="4E01CC43">
      <w:pPr>
        <w:pStyle w:val="3"/>
        <w:keepNext w:val="0"/>
        <w:spacing w:before="0" w:after="0" w:line="360" w:lineRule="auto"/>
        <w:rPr>
          <w:rFonts w:ascii="仿宋_GB2312" w:hAnsi="仿宋_GB2312" w:eastAsia="仿宋_GB2312" w:cs="仿宋_GB2312"/>
          <w:b/>
          <w:bCs/>
          <w:sz w:val="28"/>
          <w:szCs w:val="28"/>
        </w:rPr>
      </w:pPr>
      <w:bookmarkStart w:id="41" w:name="_Toc256000039"/>
      <w:r>
        <w:rPr>
          <w:rFonts w:ascii="仿宋_GB2312" w:hAnsi="仿宋_GB2312" w:eastAsia="仿宋_GB2312" w:cs="仿宋_GB2312"/>
          <w:i w:val="0"/>
          <w:iCs w:val="0"/>
        </w:rPr>
        <w:t>8.1必备要求</w:t>
      </w:r>
      <w:bookmarkEnd w:id="41"/>
    </w:p>
    <w:p w14:paraId="58F294A0">
      <w:pPr>
        <w:pStyle w:val="4"/>
        <w:keepNext w:val="0"/>
        <w:spacing w:before="0" w:after="0" w:line="360" w:lineRule="auto"/>
        <w:rPr>
          <w:rFonts w:ascii="仿宋_GB2312" w:hAnsi="仿宋_GB2312" w:eastAsia="仿宋_GB2312" w:cs="仿宋_GB2312"/>
          <w:b/>
          <w:bCs/>
          <w:sz w:val="28"/>
          <w:szCs w:val="28"/>
        </w:rPr>
      </w:pPr>
      <w:bookmarkStart w:id="42" w:name="_Toc256000040"/>
      <w:r>
        <w:rPr>
          <w:rFonts w:ascii="仿宋_GB2312" w:hAnsi="仿宋_GB2312" w:eastAsia="仿宋_GB2312" w:cs="仿宋_GB2312"/>
          <w:sz w:val="28"/>
          <w:szCs w:val="28"/>
        </w:rPr>
        <w:t>8.1.1通用必备要求</w:t>
      </w:r>
      <w:bookmarkEnd w:id="42"/>
    </w:p>
    <w:p w14:paraId="2AE4312E">
      <w:pPr>
        <w:spacing w:before="0" w:after="0" w:line="360" w:lineRule="auto"/>
        <w:ind w:firstLine="561"/>
        <w:jc w:val="both"/>
        <w:rPr>
          <w:rFonts w:ascii="仿宋_GB2312" w:hAnsi="仿宋_GB2312" w:eastAsia="仿宋_GB2312" w:cs="仿宋_GB2312"/>
          <w:sz w:val="28"/>
          <w:szCs w:val="28"/>
        </w:rPr>
      </w:pPr>
      <w:r>
        <w:rPr>
          <w:rFonts w:ascii="仿宋_GB2312" w:hAnsi="仿宋_GB2312" w:eastAsia="仿宋_GB2312" w:cs="仿宋_GB2312"/>
          <w:sz w:val="28"/>
          <w:szCs w:val="28"/>
        </w:rPr>
        <w:t xml:space="preserve">1.本项目中如涉及商品包装和快递包装的，其包装需求标准应不低于《关于印发&lt;商品包装政府采购需求标准（试行）&gt;、&lt;快递包装政府采购需求标准（试行）&gt;的通知》（财办库〔2020〕123 号）规定的包装要求，如有其他包装需求，详见采购文件技术部分相关章节。 </w:t>
      </w:r>
    </w:p>
    <w:p w14:paraId="622B3BCD">
      <w:pPr>
        <w:spacing w:before="0" w:after="0" w:line="360" w:lineRule="auto"/>
        <w:ind w:firstLine="561"/>
        <w:jc w:val="both"/>
        <w:rPr>
          <w:rFonts w:ascii="仿宋_GB2312" w:hAnsi="仿宋_GB2312" w:eastAsia="仿宋_GB2312" w:cs="仿宋_GB2312"/>
          <w:sz w:val="28"/>
          <w:szCs w:val="28"/>
        </w:rPr>
      </w:pPr>
      <w:r>
        <w:rPr>
          <w:rFonts w:ascii="仿宋_GB2312" w:hAnsi="仿宋_GB2312" w:eastAsia="仿宋_GB2312" w:cs="仿宋_GB2312"/>
          <w:sz w:val="28"/>
          <w:szCs w:val="28"/>
        </w:rPr>
        <w:t xml:space="preserve">2.本项目中如涉及网络关键设备或网络安全专用产品的，应严格执行国家互联网信息办公室、工业和信息化部、公安部、财政部和国家认证认可监督管理委员会 2023年第 1 号《关于调整网络安全专用产品安全管理有关事项的公告》及国家互联网信息办公室、工业和信息化部、公安部和国家认证认可监督管理委员会 2023 年第 2号《关于调整&lt;网络关键设备和网络安全专用产品目录&gt;的公告》等相关文件要求，所投标（响应）设备或产品至少符合以下条件之一：一是已由具备资格的机构安全认证合格或安全检测符合要求；二是已获得《计算机信息系统安全专用产品销售许可证》，且在有效期内。 </w:t>
      </w:r>
    </w:p>
    <w:p w14:paraId="6478DD58">
      <w:pPr>
        <w:spacing w:before="0" w:after="0" w:line="360" w:lineRule="auto"/>
        <w:ind w:firstLine="561"/>
        <w:jc w:val="both"/>
        <w:rPr>
          <w:rFonts w:ascii="仿宋_GB2312" w:hAnsi="仿宋_GB2312" w:eastAsia="仿宋_GB2312" w:cs="仿宋_GB2312"/>
          <w:sz w:val="28"/>
          <w:szCs w:val="28"/>
        </w:rPr>
      </w:pPr>
      <w:r>
        <w:rPr>
          <w:rFonts w:ascii="仿宋_GB2312" w:hAnsi="仿宋_GB2312" w:eastAsia="仿宋_GB2312" w:cs="仿宋_GB2312"/>
          <w:sz w:val="28"/>
          <w:szCs w:val="28"/>
        </w:rPr>
        <w:t xml:space="preserve">3.本项目中如涉及国家强制性产品认证证书（CCC 认证证书）、电信设备进网许可证、无线电发射设备核准证等市场准入类资质的，应严格执行国家相关法律法规的要求。 </w:t>
      </w:r>
    </w:p>
    <w:p w14:paraId="25E3AC91">
      <w:pPr>
        <w:spacing w:before="0" w:after="0" w:line="360" w:lineRule="auto"/>
        <w:ind w:firstLine="561"/>
        <w:jc w:val="both"/>
        <w:rPr>
          <w:rFonts w:ascii="仿宋_GB2312" w:hAnsi="仿宋_GB2312" w:eastAsia="仿宋_GB2312" w:cs="仿宋_GB2312"/>
          <w:sz w:val="28"/>
          <w:szCs w:val="28"/>
        </w:rPr>
      </w:pPr>
      <w:r>
        <w:rPr>
          <w:rFonts w:ascii="仿宋_GB2312" w:hAnsi="仿宋_GB2312" w:eastAsia="仿宋_GB2312" w:cs="仿宋_GB2312"/>
          <w:sz w:val="28"/>
          <w:szCs w:val="28"/>
        </w:rPr>
        <w:t>以上相关要求，由供应商在响应时应答，在履约验收中，采购人将按照采购文件、中标/成交供应商响应文件、采购合同等对中标/成交供应商提供的货物和服务进行验收，必要时依法依规开展相应检测、认证。</w:t>
      </w:r>
    </w:p>
    <w:p w14:paraId="02D8813F">
      <w:pPr>
        <w:pStyle w:val="3"/>
        <w:keepNext w:val="0"/>
        <w:spacing w:before="0" w:after="0" w:line="360" w:lineRule="auto"/>
        <w:rPr>
          <w:rFonts w:ascii="仿宋_GB2312" w:hAnsi="仿宋_GB2312" w:eastAsia="仿宋_GB2312" w:cs="仿宋_GB2312"/>
          <w:b/>
          <w:bCs/>
          <w:sz w:val="28"/>
          <w:szCs w:val="28"/>
        </w:rPr>
      </w:pPr>
      <w:bookmarkStart w:id="43" w:name="_Toc256000041"/>
      <w:r>
        <w:rPr>
          <w:rFonts w:ascii="仿宋_GB2312" w:hAnsi="仿宋_GB2312" w:eastAsia="仿宋_GB2312" w:cs="仿宋_GB2312"/>
          <w:i w:val="0"/>
          <w:iCs w:val="0"/>
        </w:rPr>
        <w:t>8.2付款安排建议</w:t>
      </w:r>
      <w:bookmarkEnd w:id="43"/>
    </w:p>
    <w:tbl>
      <w:tblPr>
        <w:tblStyle w:val="11"/>
        <w:tblW w:w="5000" w:type="pct"/>
        <w:tblInd w:w="30" w:type="dxa"/>
        <w:tblLayout w:type="autofit"/>
        <w:tblCellMar>
          <w:top w:w="15" w:type="dxa"/>
          <w:left w:w="15" w:type="dxa"/>
          <w:bottom w:w="15" w:type="dxa"/>
          <w:right w:w="15" w:type="dxa"/>
        </w:tblCellMar>
      </w:tblPr>
      <w:tblGrid>
        <w:gridCol w:w="1814"/>
        <w:gridCol w:w="5442"/>
        <w:gridCol w:w="1814"/>
      </w:tblGrid>
      <w:tr w14:paraId="41856E57">
        <w:tblPrEx>
          <w:tblCellMar>
            <w:top w:w="15" w:type="dxa"/>
            <w:left w:w="15" w:type="dxa"/>
            <w:bottom w:w="15" w:type="dxa"/>
            <w:right w:w="15" w:type="dxa"/>
          </w:tblCellMar>
        </w:tblPrEx>
        <w:tc>
          <w:tcPr>
            <w:tcW w:w="100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14:paraId="462604E6">
            <w:pPr>
              <w:jc w:val="center"/>
              <w:rPr>
                <w:rFonts w:ascii="仿宋_GB2312" w:hAnsi="仿宋_GB2312" w:eastAsia="仿宋_GB2312" w:cs="仿宋_GB2312"/>
                <w:b/>
                <w:bCs/>
                <w:i w:val="0"/>
                <w:iCs w:val="0"/>
                <w:smallCaps w:val="0"/>
                <w:color w:val="000000"/>
                <w:sz w:val="21"/>
                <w:szCs w:val="21"/>
              </w:rPr>
            </w:pPr>
            <w:r>
              <w:rPr>
                <w:rFonts w:ascii="仿宋_GB2312" w:hAnsi="仿宋_GB2312" w:eastAsia="仿宋_GB2312" w:cs="仿宋_GB2312"/>
                <w:b/>
                <w:bCs/>
                <w:i w:val="0"/>
                <w:iCs w:val="0"/>
                <w:smallCaps w:val="0"/>
                <w:color w:val="000000"/>
                <w:sz w:val="21"/>
                <w:szCs w:val="21"/>
              </w:rPr>
              <w:t>付款名称</w:t>
            </w:r>
          </w:p>
        </w:tc>
        <w:tc>
          <w:tcPr>
            <w:tcW w:w="300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14:paraId="39FC854C">
            <w:pPr>
              <w:jc w:val="center"/>
              <w:rPr>
                <w:rFonts w:ascii="仿宋_GB2312" w:hAnsi="仿宋_GB2312" w:eastAsia="仿宋_GB2312" w:cs="仿宋_GB2312"/>
                <w:b/>
                <w:bCs/>
                <w:i w:val="0"/>
                <w:iCs w:val="0"/>
                <w:smallCaps w:val="0"/>
                <w:color w:val="000000"/>
                <w:sz w:val="21"/>
                <w:szCs w:val="21"/>
              </w:rPr>
            </w:pPr>
            <w:r>
              <w:rPr>
                <w:rFonts w:ascii="仿宋_GB2312" w:hAnsi="仿宋_GB2312" w:eastAsia="仿宋_GB2312" w:cs="仿宋_GB2312"/>
                <w:b/>
                <w:bCs/>
                <w:i w:val="0"/>
                <w:iCs w:val="0"/>
                <w:smallCaps w:val="0"/>
                <w:color w:val="000000"/>
                <w:sz w:val="21"/>
                <w:szCs w:val="21"/>
              </w:rPr>
              <w:t>付款要求</w:t>
            </w:r>
          </w:p>
        </w:tc>
        <w:tc>
          <w:tcPr>
            <w:tcW w:w="100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14:paraId="5161D5D2">
            <w:pPr>
              <w:jc w:val="center"/>
              <w:rPr>
                <w:rFonts w:ascii="仿宋_GB2312" w:hAnsi="仿宋_GB2312" w:eastAsia="仿宋_GB2312" w:cs="仿宋_GB2312"/>
                <w:b/>
                <w:bCs/>
                <w:i w:val="0"/>
                <w:iCs w:val="0"/>
                <w:smallCaps w:val="0"/>
                <w:color w:val="000000"/>
                <w:sz w:val="21"/>
                <w:szCs w:val="21"/>
              </w:rPr>
            </w:pPr>
            <w:r>
              <w:rPr>
                <w:rFonts w:ascii="仿宋_GB2312" w:hAnsi="仿宋_GB2312" w:eastAsia="仿宋_GB2312" w:cs="仿宋_GB2312"/>
                <w:b/>
                <w:bCs/>
                <w:i w:val="0"/>
                <w:iCs w:val="0"/>
                <w:smallCaps w:val="0"/>
                <w:color w:val="000000"/>
                <w:sz w:val="21"/>
                <w:szCs w:val="21"/>
              </w:rPr>
              <w:t>付款比例(%)</w:t>
            </w:r>
          </w:p>
        </w:tc>
      </w:tr>
      <w:tr w14:paraId="587D44CC">
        <w:tblPrEx>
          <w:tblCellMar>
            <w:top w:w="15" w:type="dxa"/>
            <w:left w:w="15" w:type="dxa"/>
            <w:bottom w:w="15" w:type="dxa"/>
            <w:right w:w="15" w:type="dxa"/>
          </w:tblCellMar>
        </w:tblPrEx>
        <w:tc>
          <w:tcPr>
            <w:tcW w:w="7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BFC6C75">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第1次付款</w:t>
            </w:r>
          </w:p>
        </w:tc>
        <w:tc>
          <w:tcPr>
            <w:tcW w:w="22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F2CEE24">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到货验收合格。(如因上级部门政策变化、重大技术变化等导致服务内容需要调整的，根据实际发生额支付费用。根据付款进度安排，供应商及时向采购人提供发票及相关资料，交采购人审核后10个工作日内支付服务费（节假日顺延）。</w:t>
            </w:r>
          </w:p>
        </w:tc>
        <w:tc>
          <w:tcPr>
            <w:tcW w:w="7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6C96A63">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60.0</w:t>
            </w:r>
          </w:p>
        </w:tc>
      </w:tr>
      <w:tr w14:paraId="43EE235C">
        <w:tblPrEx>
          <w:tblCellMar>
            <w:top w:w="15" w:type="dxa"/>
            <w:left w:w="15" w:type="dxa"/>
            <w:bottom w:w="15" w:type="dxa"/>
            <w:right w:w="15" w:type="dxa"/>
          </w:tblCellMar>
        </w:tblPrEx>
        <w:tc>
          <w:tcPr>
            <w:tcW w:w="7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F5B4BCB">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第2次付款</w:t>
            </w:r>
          </w:p>
        </w:tc>
        <w:tc>
          <w:tcPr>
            <w:tcW w:w="22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C66CD23">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终验合格。(如因上级部门政策变化、重大技术变化等导致服务内容需要调整的，根据实际发生额支付费用。根据付款进度安排，供应商及时向采购人提供发票及相关资料，交采购人审核后10个工作日内支付服务费（节假日顺延）。</w:t>
            </w:r>
          </w:p>
        </w:tc>
        <w:tc>
          <w:tcPr>
            <w:tcW w:w="7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F4EF82F">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40.0</w:t>
            </w:r>
          </w:p>
        </w:tc>
      </w:tr>
    </w:tbl>
    <w:p w14:paraId="076A4B01">
      <w:pPr>
        <w:pStyle w:val="3"/>
        <w:keepNext w:val="0"/>
        <w:spacing w:before="0" w:after="0" w:line="360" w:lineRule="auto"/>
        <w:rPr>
          <w:rFonts w:ascii="仿宋_GB2312" w:hAnsi="仿宋_GB2312" w:eastAsia="仿宋_GB2312" w:cs="仿宋_GB2312"/>
          <w:b/>
          <w:bCs/>
          <w:sz w:val="28"/>
          <w:szCs w:val="28"/>
        </w:rPr>
      </w:pPr>
      <w:bookmarkStart w:id="44" w:name="_Toc256000042"/>
      <w:r>
        <w:rPr>
          <w:rFonts w:ascii="仿宋_GB2312" w:hAnsi="仿宋_GB2312" w:eastAsia="仿宋_GB2312" w:cs="仿宋_GB2312"/>
          <w:i w:val="0"/>
          <w:iCs w:val="0"/>
        </w:rPr>
        <w:t>8.3其他要求</w:t>
      </w:r>
      <w:bookmarkEnd w:id="44"/>
    </w:p>
    <w:p w14:paraId="195E7A95">
      <w:pPr>
        <w:pStyle w:val="4"/>
        <w:keepNext w:val="0"/>
        <w:spacing w:before="0" w:after="0" w:line="360" w:lineRule="auto"/>
        <w:rPr>
          <w:rFonts w:ascii="仿宋_GB2312" w:hAnsi="仿宋_GB2312" w:eastAsia="仿宋_GB2312" w:cs="仿宋_GB2312"/>
          <w:b/>
          <w:bCs/>
          <w:sz w:val="28"/>
          <w:szCs w:val="28"/>
        </w:rPr>
      </w:pPr>
      <w:bookmarkStart w:id="45" w:name="_Toc256000043"/>
      <w:r>
        <w:rPr>
          <w:rFonts w:ascii="仿宋_GB2312" w:hAnsi="仿宋_GB2312" w:eastAsia="仿宋_GB2312" w:cs="仿宋_GB2312"/>
          <w:sz w:val="28"/>
          <w:szCs w:val="28"/>
        </w:rPr>
        <w:t>8.3.1保密要求</w:t>
      </w:r>
      <w:bookmarkEnd w:id="45"/>
    </w:p>
    <w:p w14:paraId="2E78070A">
      <w:pPr>
        <w:pStyle w:val="15"/>
        <w:spacing w:before="0" w:after="0" w:line="360" w:lineRule="auto"/>
        <w:ind w:left="0" w:right="0" w:firstLine="560"/>
        <w:jc w:val="both"/>
      </w:pPr>
      <w:r>
        <w:rPr>
          <w:rFonts w:ascii="仿宋_GB2312" w:hAnsi="仿宋_GB2312" w:eastAsia="仿宋_GB2312" w:cs="仿宋_GB2312"/>
          <w:sz w:val="28"/>
          <w:szCs w:val="28"/>
        </w:rPr>
        <w:t>一、供应商派出的人员应严格遵守采购人的信息安全保密制度和日常办公规定。严禁擅自操作所负责系统以外的设备，内外网计算机严格隔离，严禁出现内网计算机违规外联情况，出现责任事故采购人有权追究供应商的责任。</w:t>
      </w:r>
    </w:p>
    <w:p w14:paraId="29843BBE">
      <w:pPr>
        <w:pStyle w:val="15"/>
        <w:spacing w:before="0" w:after="0" w:line="360" w:lineRule="auto"/>
        <w:ind w:left="0" w:right="0" w:firstLine="560"/>
        <w:jc w:val="both"/>
      </w:pPr>
      <w:r>
        <w:rPr>
          <w:rFonts w:ascii="仿宋_GB2312" w:hAnsi="仿宋_GB2312" w:eastAsia="仿宋_GB2312" w:cs="仿宋_GB2312"/>
          <w:sz w:val="28"/>
          <w:szCs w:val="28"/>
        </w:rPr>
        <w:t>二、采购人与供应商及现场服务人员签订保密协议，供应商及其现场服务人员未经允许不得擅自调整系统及相关系统的各类参数和后台数据，不得泄露系统及相关系统各类信息，不得擅自从数据库中提取各类税费数据提供给新疆税务系统内外的各类机构和人员。一旦发生上述情况，使系统及相关系统造成重大故障、税收数据发生泄漏，造成严重的社会影响和经济损失，采购人将追究供应商及相关人员的法律责任。供应商在投标时需提供《保密承诺书》并签字盖章，《保密承诺书》可参考以下内容：</w:t>
      </w:r>
    </w:p>
    <w:p w14:paraId="515F0551">
      <w:pPr>
        <w:pStyle w:val="15"/>
        <w:spacing w:before="0" w:after="0" w:line="360" w:lineRule="auto"/>
        <w:ind w:left="0" w:right="0"/>
        <w:jc w:val="center"/>
      </w:pPr>
      <w:r>
        <w:rPr>
          <w:rFonts w:ascii="仿宋_GB2312" w:hAnsi="仿宋_GB2312" w:eastAsia="仿宋_GB2312" w:cs="仿宋_GB2312"/>
          <w:b/>
          <w:bCs/>
          <w:sz w:val="28"/>
          <w:szCs w:val="28"/>
        </w:rPr>
        <w:t>保密承诺书</w:t>
      </w:r>
      <w:r>
        <w:rPr>
          <w:rFonts w:ascii="仿宋_GB2312" w:hAnsi="仿宋_GB2312" w:eastAsia="仿宋_GB2312" w:cs="仿宋_GB2312"/>
          <w:b/>
          <w:bCs/>
          <w:sz w:val="28"/>
          <w:szCs w:val="28"/>
        </w:rPr>
        <w:br w:type="textWrapping"/>
      </w:r>
      <w:r>
        <w:rPr>
          <w:rFonts w:ascii="仿宋_GB2312" w:hAnsi="仿宋_GB2312" w:eastAsia="仿宋_GB2312" w:cs="仿宋_GB2312"/>
          <w:sz w:val="28"/>
          <w:szCs w:val="28"/>
        </w:rPr>
        <w:t>    我司了解有关保密法规制度，知悉应当承担的保密义务和法律责任。</w:t>
      </w:r>
    </w:p>
    <w:p w14:paraId="50C165D8">
      <w:pPr>
        <w:pStyle w:val="15"/>
        <w:spacing w:before="0" w:after="0" w:line="360" w:lineRule="auto"/>
        <w:ind w:left="0" w:right="0"/>
        <w:jc w:val="both"/>
      </w:pPr>
      <w:r>
        <w:rPr>
          <w:rFonts w:ascii="仿宋_GB2312" w:hAnsi="仿宋_GB2312" w:eastAsia="仿宋_GB2312" w:cs="仿宋_GB2312"/>
          <w:sz w:val="28"/>
          <w:szCs w:val="28"/>
        </w:rPr>
        <w:t>我司郑重承诺：</w:t>
      </w:r>
    </w:p>
    <w:p w14:paraId="66724CC0">
      <w:pPr>
        <w:pStyle w:val="15"/>
        <w:spacing w:before="0" w:after="0" w:line="360" w:lineRule="auto"/>
        <w:ind w:left="0" w:right="0" w:firstLine="560"/>
      </w:pPr>
      <w:r>
        <w:rPr>
          <w:rFonts w:ascii="仿宋_GB2312" w:hAnsi="仿宋_GB2312" w:eastAsia="仿宋_GB2312" w:cs="仿宋_GB2312"/>
          <w:sz w:val="28"/>
          <w:szCs w:val="28"/>
        </w:rPr>
        <w:t>一、认真遵守国家保密法律、法规和规章制度，履行保密义务；</w:t>
      </w:r>
    </w:p>
    <w:p w14:paraId="236FE3E7">
      <w:pPr>
        <w:pStyle w:val="15"/>
        <w:spacing w:before="0" w:after="0" w:line="360" w:lineRule="auto"/>
        <w:ind w:left="0" w:right="0" w:firstLine="560"/>
      </w:pPr>
      <w:r>
        <w:rPr>
          <w:rFonts w:ascii="仿宋_GB2312" w:hAnsi="仿宋_GB2312" w:eastAsia="仿宋_GB2312" w:cs="仿宋_GB2312"/>
          <w:sz w:val="28"/>
          <w:szCs w:val="28"/>
        </w:rPr>
        <w:t>二、认真遵守我司与甲方签订的保密协议；</w:t>
      </w:r>
    </w:p>
    <w:p w14:paraId="16E727D9">
      <w:pPr>
        <w:pStyle w:val="15"/>
        <w:spacing w:before="0" w:after="0" w:line="360" w:lineRule="auto"/>
        <w:ind w:left="0" w:right="0" w:firstLine="560"/>
      </w:pPr>
      <w:r>
        <w:rPr>
          <w:rFonts w:ascii="仿宋_GB2312" w:hAnsi="仿宋_GB2312" w:eastAsia="仿宋_GB2312" w:cs="仿宋_GB2312"/>
          <w:sz w:val="28"/>
          <w:szCs w:val="28"/>
        </w:rPr>
        <w:t>三、认真遵守其它各项安全保密的相关规定；</w:t>
      </w:r>
    </w:p>
    <w:p w14:paraId="2EDE52C9">
      <w:pPr>
        <w:pStyle w:val="15"/>
        <w:spacing w:before="0" w:after="0" w:line="360" w:lineRule="auto"/>
        <w:ind w:left="0" w:right="0" w:firstLine="560"/>
      </w:pPr>
      <w:r>
        <w:rPr>
          <w:rFonts w:ascii="仿宋_GB2312" w:hAnsi="仿宋_GB2312" w:eastAsia="仿宋_GB2312" w:cs="仿宋_GB2312"/>
          <w:sz w:val="28"/>
          <w:szCs w:val="28"/>
        </w:rPr>
        <w:t>四、对参与的信息化项目和服务所涉及技术资料和数据信息履行保密义务，未经许可，不对外发表或使用。</w:t>
      </w:r>
    </w:p>
    <w:p w14:paraId="7CC7A6D0">
      <w:pPr>
        <w:pStyle w:val="15"/>
        <w:spacing w:before="0" w:after="0" w:line="360" w:lineRule="auto"/>
        <w:ind w:left="0" w:right="0" w:firstLine="560"/>
      </w:pPr>
      <w:r>
        <w:rPr>
          <w:rFonts w:ascii="仿宋_GB2312" w:hAnsi="仿宋_GB2312" w:eastAsia="仿宋_GB2312" w:cs="仿宋_GB2312"/>
          <w:sz w:val="28"/>
          <w:szCs w:val="28"/>
        </w:rPr>
        <w:t> </w:t>
      </w:r>
    </w:p>
    <w:p w14:paraId="6F6A00BC">
      <w:pPr>
        <w:pStyle w:val="15"/>
        <w:spacing w:before="0" w:after="0" w:line="360" w:lineRule="auto"/>
        <w:ind w:left="0" w:right="0" w:firstLine="560"/>
        <w:jc w:val="both"/>
      </w:pPr>
      <w:r>
        <w:rPr>
          <w:rFonts w:ascii="仿宋_GB2312" w:hAnsi="仿宋_GB2312" w:eastAsia="仿宋_GB2312" w:cs="仿宋_GB2312"/>
          <w:sz w:val="28"/>
          <w:szCs w:val="28"/>
        </w:rPr>
        <w:t>承诺单位（盖章）：_________________________</w:t>
      </w:r>
    </w:p>
    <w:p w14:paraId="23D461E2">
      <w:pPr>
        <w:pStyle w:val="15"/>
        <w:spacing w:before="0" w:after="0" w:line="360" w:lineRule="auto"/>
        <w:ind w:left="0" w:right="0" w:firstLine="560"/>
        <w:jc w:val="both"/>
      </w:pPr>
      <w:r>
        <w:rPr>
          <w:rFonts w:ascii="仿宋_GB2312" w:hAnsi="仿宋_GB2312" w:eastAsia="仿宋_GB2312" w:cs="仿宋_GB2312"/>
          <w:sz w:val="28"/>
          <w:szCs w:val="28"/>
        </w:rPr>
        <w:t>法定代表人或授权代表签字：________________</w:t>
      </w:r>
    </w:p>
    <w:p w14:paraId="191AE354">
      <w:pPr>
        <w:pStyle w:val="15"/>
        <w:spacing w:before="0" w:after="0" w:line="360" w:lineRule="auto"/>
        <w:ind w:left="0" w:right="0" w:firstLine="560"/>
      </w:pPr>
      <w:r>
        <w:rPr>
          <w:rFonts w:ascii="仿宋_GB2312" w:hAnsi="仿宋_GB2312" w:eastAsia="仿宋_GB2312" w:cs="仿宋_GB2312"/>
          <w:sz w:val="28"/>
          <w:szCs w:val="28"/>
        </w:rPr>
        <w:t>日期：XX年XX月XX日</w:t>
      </w:r>
    </w:p>
    <w:p w14:paraId="6389BCC4">
      <w:pPr>
        <w:pStyle w:val="15"/>
        <w:spacing w:before="0" w:after="0" w:line="360" w:lineRule="auto"/>
        <w:ind w:left="0" w:right="0" w:firstLine="560"/>
        <w:jc w:val="both"/>
      </w:pPr>
      <w:r>
        <w:rPr>
          <w:rFonts w:ascii="仿宋_GB2312" w:hAnsi="仿宋_GB2312" w:eastAsia="仿宋_GB2312" w:cs="仿宋_GB2312"/>
          <w:sz w:val="28"/>
          <w:szCs w:val="28"/>
        </w:rPr>
        <w:t>三、供应商所提供的工作人员的工作成果归采购人所有，供应商在未征得采购人书面同意的前提下，不得将技术资料泄露给其他人员及单位。</w:t>
      </w:r>
    </w:p>
    <w:p w14:paraId="5FFC521D">
      <w:pPr>
        <w:pStyle w:val="15"/>
        <w:spacing w:before="0" w:after="0" w:line="360" w:lineRule="auto"/>
        <w:ind w:left="0" w:right="0" w:firstLine="560"/>
        <w:jc w:val="both"/>
      </w:pPr>
      <w:r>
        <w:rPr>
          <w:rFonts w:ascii="仿宋_GB2312" w:hAnsi="仿宋_GB2312" w:eastAsia="仿宋_GB2312" w:cs="仿宋_GB2312"/>
          <w:sz w:val="28"/>
          <w:szCs w:val="28"/>
        </w:rPr>
        <w:t>如违反上述协议内容，采购人将保留追究供应商法律责任的权利。</w:t>
      </w:r>
    </w:p>
    <w:p w14:paraId="69A73526">
      <w:pPr>
        <w:pStyle w:val="4"/>
        <w:keepNext w:val="0"/>
        <w:spacing w:before="0" w:after="0" w:line="360" w:lineRule="auto"/>
        <w:rPr>
          <w:rFonts w:ascii="仿宋_GB2312" w:hAnsi="仿宋_GB2312" w:eastAsia="仿宋_GB2312" w:cs="仿宋_GB2312"/>
          <w:b/>
          <w:bCs/>
          <w:sz w:val="28"/>
          <w:szCs w:val="28"/>
        </w:rPr>
      </w:pPr>
      <w:bookmarkStart w:id="46" w:name="_Toc256000044"/>
      <w:r>
        <w:rPr>
          <w:rFonts w:ascii="仿宋_GB2312" w:hAnsi="仿宋_GB2312" w:eastAsia="仿宋_GB2312" w:cs="仿宋_GB2312"/>
          <w:sz w:val="28"/>
          <w:szCs w:val="28"/>
        </w:rPr>
        <w:t>8.3.2知识产权要求</w:t>
      </w:r>
      <w:bookmarkEnd w:id="46"/>
    </w:p>
    <w:p w14:paraId="5F23E6DE">
      <w:pPr>
        <w:pStyle w:val="15"/>
        <w:spacing w:before="0" w:after="0" w:line="360" w:lineRule="auto"/>
        <w:ind w:left="0" w:right="0" w:firstLine="560"/>
      </w:pPr>
      <w:r>
        <w:rPr>
          <w:rFonts w:ascii="仿宋_GB2312" w:hAnsi="仿宋_GB2312" w:eastAsia="仿宋_GB2312" w:cs="仿宋_GB2312"/>
          <w:sz w:val="28"/>
          <w:szCs w:val="28"/>
        </w:rPr>
        <w:t>无。</w:t>
      </w:r>
    </w:p>
    <w:p w14:paraId="5D27F78F">
      <w:pPr>
        <w:pStyle w:val="4"/>
        <w:keepNext w:val="0"/>
        <w:spacing w:before="0" w:after="0" w:line="360" w:lineRule="auto"/>
        <w:rPr>
          <w:rFonts w:ascii="仿宋_GB2312" w:hAnsi="仿宋_GB2312" w:eastAsia="仿宋_GB2312" w:cs="仿宋_GB2312"/>
          <w:b/>
          <w:bCs/>
          <w:sz w:val="28"/>
          <w:szCs w:val="28"/>
        </w:rPr>
      </w:pPr>
      <w:bookmarkStart w:id="47" w:name="_Toc256000045"/>
      <w:r>
        <w:rPr>
          <w:rFonts w:ascii="仿宋_GB2312" w:hAnsi="仿宋_GB2312" w:eastAsia="仿宋_GB2312" w:cs="仿宋_GB2312"/>
          <w:sz w:val="28"/>
          <w:szCs w:val="28"/>
        </w:rPr>
        <w:t>8.3.3★供应链安全管理要求</w:t>
      </w:r>
      <w:bookmarkEnd w:id="47"/>
    </w:p>
    <w:p w14:paraId="5035D519">
      <w:pPr>
        <w:pStyle w:val="15"/>
        <w:spacing w:before="0" w:after="0" w:line="360" w:lineRule="auto"/>
        <w:ind w:left="0" w:right="0" w:firstLine="561"/>
        <w:jc w:val="both"/>
      </w:pPr>
      <w:r>
        <w:rPr>
          <w:rFonts w:ascii="仿宋_GB2312" w:hAnsi="仿宋_GB2312" w:eastAsia="仿宋_GB2312" w:cs="仿宋_GB2312"/>
          <w:sz w:val="28"/>
          <w:szCs w:val="28"/>
        </w:rPr>
        <w:t>1、人员资格要求</w:t>
      </w:r>
    </w:p>
    <w:p w14:paraId="0FE3D6C3">
      <w:pPr>
        <w:pStyle w:val="15"/>
        <w:spacing w:before="0" w:after="0" w:line="360" w:lineRule="auto"/>
        <w:ind w:left="0" w:right="0" w:firstLine="561"/>
        <w:jc w:val="both"/>
      </w:pPr>
      <w:r>
        <w:rPr>
          <w:rFonts w:ascii="仿宋_GB2312" w:hAnsi="仿宋_GB2312" w:eastAsia="仿宋_GB2312" w:cs="仿宋_GB2312"/>
          <w:sz w:val="28"/>
          <w:szCs w:val="28"/>
        </w:rPr>
        <w:t>（1）签订承诺书。供应商应严格落实国家税务总局网络安全和保密管理要求，承担技术支持人员的网络安全和保密管理责任，按采购人要求签订协议和承诺书。</w:t>
      </w:r>
    </w:p>
    <w:p w14:paraId="4C280048">
      <w:pPr>
        <w:pStyle w:val="15"/>
        <w:spacing w:before="0" w:after="0" w:line="360" w:lineRule="auto"/>
        <w:ind w:left="0" w:right="0" w:firstLine="561"/>
        <w:jc w:val="both"/>
      </w:pPr>
      <w:r>
        <w:rPr>
          <w:rFonts w:ascii="仿宋_GB2312" w:hAnsi="仿宋_GB2312" w:eastAsia="仿宋_GB2312" w:cs="仿宋_GB2312"/>
          <w:sz w:val="28"/>
          <w:szCs w:val="28"/>
        </w:rPr>
        <w:t>（2）开展背景审查。供应商承担技术支持人员背景审查工作，提供其身份证明、履历、家庭成员及主要社会关系、无犯罪记录证明等材料，并提交采购人进行备案。</w:t>
      </w:r>
    </w:p>
    <w:p w14:paraId="1493140F">
      <w:pPr>
        <w:pStyle w:val="15"/>
        <w:spacing w:before="0" w:after="0" w:line="360" w:lineRule="auto"/>
        <w:ind w:left="0" w:right="0" w:firstLine="561"/>
        <w:jc w:val="both"/>
      </w:pPr>
      <w:r>
        <w:rPr>
          <w:rFonts w:ascii="仿宋_GB2312" w:hAnsi="仿宋_GB2312" w:eastAsia="仿宋_GB2312" w:cs="仿宋_GB2312"/>
          <w:sz w:val="28"/>
          <w:szCs w:val="28"/>
        </w:rPr>
        <w:t>（3）设置网络安全负责人。供应商为本项目配备一名网络安全负责人，该负责人具备独立决策能力并保持相对稳定，在项目实施的全过程负责网络安全工作，组织落实各项网络安全要求。</w:t>
      </w:r>
    </w:p>
    <w:p w14:paraId="2E4B2970">
      <w:pPr>
        <w:pStyle w:val="15"/>
        <w:spacing w:before="0" w:after="0" w:line="360" w:lineRule="auto"/>
        <w:ind w:left="0" w:right="0" w:firstLine="561"/>
        <w:jc w:val="both"/>
      </w:pPr>
      <w:r>
        <w:rPr>
          <w:rFonts w:ascii="仿宋_GB2312" w:hAnsi="仿宋_GB2312" w:eastAsia="仿宋_GB2312" w:cs="仿宋_GB2312"/>
          <w:sz w:val="28"/>
          <w:szCs w:val="28"/>
        </w:rPr>
        <w:t>2、日常行为规范要求</w:t>
      </w:r>
    </w:p>
    <w:p w14:paraId="03D74491">
      <w:pPr>
        <w:pStyle w:val="15"/>
        <w:spacing w:before="0" w:after="0" w:line="360" w:lineRule="auto"/>
        <w:ind w:left="0" w:right="0" w:firstLine="561"/>
        <w:jc w:val="both"/>
      </w:pPr>
      <w:r>
        <w:rPr>
          <w:rFonts w:ascii="仿宋_GB2312" w:hAnsi="仿宋_GB2312" w:eastAsia="仿宋_GB2312" w:cs="仿宋_GB2312"/>
          <w:sz w:val="28"/>
          <w:szCs w:val="28"/>
        </w:rPr>
        <w:t>（1）工作能力要求。供应商负责对技术支持人员进行资格条件、工作胜任力以及网络安全能力评估，对技术支持人员承担的工作进行安全保密风险分析，明确技术支持人员工作范围和边界，重点防范设备和资料失窃、误操作导致的软硬件故障、工作秘密和税费数据等信息泄露、信息系统越权访问和网络攻击等风险。</w:t>
      </w:r>
    </w:p>
    <w:p w14:paraId="6E1134E1">
      <w:pPr>
        <w:pStyle w:val="15"/>
        <w:spacing w:before="0" w:after="0" w:line="360" w:lineRule="auto"/>
        <w:ind w:left="0" w:right="0" w:firstLine="561"/>
        <w:jc w:val="both"/>
      </w:pPr>
      <w:r>
        <w:rPr>
          <w:rFonts w:ascii="仿宋_GB2312" w:hAnsi="仿宋_GB2312" w:eastAsia="仿宋_GB2312" w:cs="仿宋_GB2312"/>
          <w:sz w:val="28"/>
          <w:szCs w:val="28"/>
        </w:rPr>
        <w:t>（2）教育培训要求。供应商负责对技术支持人员进行网络和数据安全法律法规、网络安全意识、网络安全管理、网络安全技能、保密意识以及网络安全警示教育等培训，上岗前对其进行考核。</w:t>
      </w:r>
    </w:p>
    <w:p w14:paraId="60652055">
      <w:pPr>
        <w:pStyle w:val="15"/>
        <w:spacing w:before="0" w:after="0" w:line="360" w:lineRule="auto"/>
        <w:ind w:left="0" w:right="0" w:firstLine="561"/>
        <w:jc w:val="both"/>
      </w:pPr>
      <w:r>
        <w:rPr>
          <w:rFonts w:ascii="仿宋_GB2312" w:hAnsi="仿宋_GB2312" w:eastAsia="仿宋_GB2312" w:cs="仿宋_GB2312"/>
          <w:sz w:val="28"/>
          <w:szCs w:val="28"/>
        </w:rPr>
        <w:t>3、违约惩戒措施</w:t>
      </w:r>
    </w:p>
    <w:p w14:paraId="4B2E15F3">
      <w:pPr>
        <w:pStyle w:val="15"/>
        <w:spacing w:before="0" w:after="0" w:line="360" w:lineRule="auto"/>
        <w:ind w:left="0" w:right="0" w:firstLine="561"/>
        <w:jc w:val="both"/>
      </w:pPr>
      <w:r>
        <w:rPr>
          <w:rFonts w:ascii="仿宋_GB2312" w:hAnsi="仿宋_GB2312" w:eastAsia="仿宋_GB2312" w:cs="仿宋_GB2312"/>
          <w:sz w:val="28"/>
          <w:szCs w:val="28"/>
        </w:rPr>
        <w:t>供应商对供应链安全管理责任落实不到位，造成安全事件或产生不良影响的，采购人按照法律法规及合同约定进行处理。</w:t>
      </w:r>
    </w:p>
    <w:p w14:paraId="15488BFE">
      <w:pPr>
        <w:pStyle w:val="15"/>
        <w:numPr>
          <w:ilvl w:val="0"/>
          <w:numId w:val="1"/>
        </w:numPr>
        <w:spacing w:before="0" w:after="0" w:line="360" w:lineRule="auto"/>
        <w:ind w:left="0" w:right="0" w:firstLine="561"/>
        <w:jc w:val="both"/>
        <w:rPr>
          <w:rFonts w:ascii="仿宋_GB2312" w:hAnsi="仿宋_GB2312" w:eastAsia="仿宋_GB2312" w:cs="仿宋_GB2312"/>
          <w:sz w:val="28"/>
          <w:szCs w:val="28"/>
        </w:rPr>
      </w:pPr>
      <w:bookmarkStart w:id="48" w:name="_Toc256000046"/>
      <w:r>
        <w:rPr>
          <w:rFonts w:ascii="仿宋_GB2312" w:hAnsi="仿宋_GB2312" w:eastAsia="仿宋_GB2312" w:cs="仿宋_GB2312"/>
          <w:sz w:val="28"/>
          <w:szCs w:val="28"/>
        </w:rPr>
        <w:t>其他要求</w:t>
      </w:r>
    </w:p>
    <w:p w14:paraId="0771B564">
      <w:pPr>
        <w:pStyle w:val="15"/>
        <w:spacing w:before="0" w:after="0" w:line="360" w:lineRule="auto"/>
        <w:ind w:left="0" w:right="0" w:firstLine="561"/>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为切实落实《网络安全法》《数据安全法》《个人信息保护法》等法律法规和规范性文件要求，加强税务信息化供应链安全管理，供应商应遵守以下要求：</w:t>
      </w:r>
    </w:p>
    <w:p w14:paraId="7EB04CB0">
      <w:pPr>
        <w:pStyle w:val="15"/>
        <w:keepNext w:val="0"/>
        <w:keepLines w:val="0"/>
        <w:pageBreakBefore w:val="0"/>
        <w:widowControl/>
        <w:kinsoku/>
        <w:wordWrap/>
        <w:overflowPunct/>
        <w:topLinePunct w:val="0"/>
        <w:autoSpaceDE/>
        <w:autoSpaceDN/>
        <w:bidi w:val="0"/>
        <w:adjustRightInd/>
        <w:snapToGrid/>
        <w:spacing w:before="0" w:after="0" w:line="360" w:lineRule="auto"/>
        <w:ind w:right="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（1）供应商应定期对聘用离职税务人员情况进行排查，建立聘任税务离职人员姓名等基本情况信息、离职时间、入职时间、入职主要工作职责等相关档案资料。</w:t>
      </w:r>
    </w:p>
    <w:p w14:paraId="0B4E22F8">
      <w:pPr>
        <w:pStyle w:val="15"/>
        <w:spacing w:before="0" w:after="0" w:line="360" w:lineRule="auto"/>
        <w:ind w:left="0" w:right="0" w:firstLine="561"/>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（2）供应商及其派驻的开发或运维人员签订网络安全承诺书，相关个人提交无犯罪记录证明。</w:t>
      </w:r>
    </w:p>
    <w:p w14:paraId="174BFCF8">
      <w:pPr>
        <w:pStyle w:val="15"/>
        <w:spacing w:before="0" w:after="0" w:line="360" w:lineRule="auto"/>
        <w:ind w:left="0" w:right="0" w:firstLine="561"/>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（3）供应商应建立网络安全负责人制度，并设置项目网络安全负责人，且该负责人保持相对稳定，如需更换应先向采购人报告，经同意后更换网络安全负责人。</w:t>
      </w:r>
    </w:p>
    <w:p w14:paraId="1C6B7BB1">
      <w:pPr>
        <w:pStyle w:val="15"/>
        <w:spacing w:before="0" w:after="0" w:line="360" w:lineRule="auto"/>
        <w:ind w:left="0" w:right="0" w:firstLine="561"/>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（4）供应商应积极参加采购人组织的网络安全和数据安全意识和技能方面的教育培训、考核及警示教育培训等。</w:t>
      </w:r>
    </w:p>
    <w:p w14:paraId="566D6FE4">
      <w:pPr>
        <w:pStyle w:val="15"/>
        <w:spacing w:before="0" w:after="0" w:line="360" w:lineRule="auto"/>
        <w:ind w:left="0" w:right="0" w:firstLine="561"/>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（5）未经批准严禁变更办公环境，严禁安装非必要的应用程序和组件，未经批准严禁擅自复制、使用和修改文档、数据以及其他开发测试资料。</w:t>
      </w:r>
    </w:p>
    <w:p w14:paraId="2566105D">
      <w:pPr>
        <w:pStyle w:val="15"/>
        <w:spacing w:before="0" w:after="0" w:line="360" w:lineRule="auto"/>
        <w:ind w:left="0" w:right="0" w:firstLine="561"/>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供应商发现的网络安全漏洞、缺陷、数据泄露或其他重大网络安全风险要及时向采购人报告。定期检查所使用产品及第三方组件情况，对存在高危漏洞的应及时通过限制访问、更新补丁、版本升级、设备防护等措施进行加固处置情况。</w:t>
      </w:r>
    </w:p>
    <w:p w14:paraId="582D73D3">
      <w:pPr>
        <w:pStyle w:val="15"/>
        <w:spacing w:before="0" w:after="0" w:line="360" w:lineRule="auto"/>
        <w:ind w:left="0" w:right="0" w:firstLine="561"/>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（7）供应商不得利用提供产品和服务的便利条件非法获取数据、非法控制和操纵设备。</w:t>
      </w:r>
    </w:p>
    <w:p w14:paraId="2ED60FAF">
      <w:pPr>
        <w:pStyle w:val="15"/>
        <w:spacing w:before="0" w:after="0" w:line="360" w:lineRule="auto"/>
        <w:ind w:left="0" w:right="0" w:firstLine="561"/>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（8）供应商应当遵守落实采购人相关安全管理的相关规定。</w:t>
      </w:r>
    </w:p>
    <w:p w14:paraId="7B82A8F2">
      <w:pPr>
        <w:pStyle w:val="4"/>
        <w:keepNext w:val="0"/>
        <w:spacing w:before="0" w:after="0" w:line="360" w:lineRule="auto"/>
        <w:rPr>
          <w:rFonts w:ascii="仿宋_GB2312" w:hAnsi="仿宋_GB2312" w:eastAsia="仿宋_GB2312" w:cs="仿宋_GB2312"/>
          <w:b/>
          <w:bCs/>
          <w:sz w:val="28"/>
          <w:szCs w:val="28"/>
        </w:rPr>
      </w:pPr>
      <w:r>
        <w:rPr>
          <w:rFonts w:ascii="仿宋_GB2312" w:hAnsi="仿宋_GB2312" w:eastAsia="仿宋_GB2312" w:cs="仿宋_GB2312"/>
          <w:sz w:val="28"/>
          <w:szCs w:val="28"/>
        </w:rPr>
        <w:t>8.3.4税务信息化服务商廉政相关要求</w:t>
      </w:r>
      <w:bookmarkEnd w:id="48"/>
    </w:p>
    <w:p w14:paraId="06C7479A">
      <w:pPr>
        <w:pStyle w:val="15"/>
        <w:spacing w:before="0" w:after="0" w:line="360" w:lineRule="auto"/>
        <w:ind w:left="0" w:right="0" w:firstLine="560"/>
        <w:jc w:val="both"/>
      </w:pPr>
      <w:r>
        <w:rPr>
          <w:rFonts w:ascii="仿宋_GB2312" w:hAnsi="仿宋_GB2312" w:eastAsia="仿宋_GB2312" w:cs="仿宋_GB2312"/>
          <w:sz w:val="28"/>
          <w:szCs w:val="28"/>
        </w:rPr>
        <w:t>为进一步落实全面从严治党要求，构建亲清新型政商关系，加强税务信息化项目建设过程中的党风廉政建设和反腐败工作，确保项目建设规范、廉洁推进，中标人在参与税务部门信息化项目工作过程中，需严格遵守法律法规、规范履行合同，积极协助税务部门开展廉政风险防控工作。请严格遵守并落实如下要求：</w:t>
      </w:r>
    </w:p>
    <w:p w14:paraId="77390E3E">
      <w:pPr>
        <w:pStyle w:val="15"/>
        <w:spacing w:before="0" w:after="0" w:line="360" w:lineRule="auto"/>
        <w:ind w:left="0" w:right="0" w:firstLine="560"/>
        <w:jc w:val="both"/>
      </w:pPr>
      <w:r>
        <w:rPr>
          <w:rFonts w:ascii="仿宋_GB2312" w:hAnsi="仿宋_GB2312" w:eastAsia="仿宋_GB2312" w:cs="仿宋_GB2312"/>
          <w:sz w:val="28"/>
          <w:szCs w:val="28"/>
        </w:rPr>
        <w:t>1.积极发挥廉政风险防控正向作用。中标人有义务配合税务部门在信息化项目工作中加强廉政风险防控，执行有关措施。</w:t>
      </w:r>
    </w:p>
    <w:p w14:paraId="2401B669">
      <w:pPr>
        <w:pStyle w:val="15"/>
        <w:spacing w:before="0" w:after="0" w:line="360" w:lineRule="auto"/>
        <w:ind w:left="0" w:right="0" w:firstLine="560"/>
        <w:jc w:val="both"/>
      </w:pPr>
      <w:r>
        <w:rPr>
          <w:rFonts w:ascii="仿宋_GB2312" w:hAnsi="仿宋_GB2312" w:eastAsia="仿宋_GB2312" w:cs="仿宋_GB2312"/>
          <w:sz w:val="28"/>
          <w:szCs w:val="28"/>
        </w:rPr>
        <w:t>2.健全廉政风险防控机制。中标人有责任在项目管理机制中健全内部廉政防控措施，包括但不限于：对参与本项目的员工提出廉洁行为规范；指定专人对项目实施各环节进行廉政监督；在项目验收过程中提交本项目廉政情况报告等。</w:t>
      </w:r>
    </w:p>
    <w:p w14:paraId="68C89497">
      <w:pPr>
        <w:pStyle w:val="15"/>
        <w:spacing w:before="0" w:after="0" w:line="360" w:lineRule="auto"/>
        <w:ind w:left="0" w:right="0" w:firstLine="560"/>
        <w:jc w:val="both"/>
      </w:pPr>
      <w:r>
        <w:rPr>
          <w:rFonts w:ascii="仿宋_GB2312" w:hAnsi="仿宋_GB2312" w:eastAsia="仿宋_GB2312" w:cs="仿宋_GB2312"/>
          <w:sz w:val="28"/>
          <w:szCs w:val="28"/>
        </w:rPr>
        <w:t>3.杜绝违纪违法行为。中标人及相关项目人员必须严格遵守党纪国法，坚守职业道德，杜绝任何形式的利益输送、权力寻租等违纪违法行为，对甲方工作人员不得实施以下行为：</w:t>
      </w:r>
    </w:p>
    <w:p w14:paraId="554DA5C1">
      <w:pPr>
        <w:pStyle w:val="15"/>
        <w:spacing w:before="0" w:after="0" w:line="360" w:lineRule="auto"/>
        <w:ind w:left="0" w:right="0" w:firstLine="560"/>
        <w:jc w:val="both"/>
      </w:pPr>
      <w:r>
        <w:rPr>
          <w:rFonts w:ascii="仿宋_GB2312" w:hAnsi="仿宋_GB2312" w:eastAsia="仿宋_GB2312" w:cs="仿宋_GB2312"/>
          <w:sz w:val="28"/>
          <w:szCs w:val="28"/>
        </w:rPr>
        <w:t>（1）以各种形式和名义提供礼品、礼金、电子红包、支付凭证、商业预付卡、名贵特产、有价证券、股权、其他金融产品等财物。</w:t>
      </w:r>
    </w:p>
    <w:p w14:paraId="52082137">
      <w:pPr>
        <w:pStyle w:val="15"/>
        <w:spacing w:before="0" w:after="0" w:line="360" w:lineRule="auto"/>
        <w:ind w:left="0" w:right="0" w:firstLine="560"/>
        <w:jc w:val="both"/>
      </w:pPr>
      <w:r>
        <w:rPr>
          <w:rFonts w:ascii="仿宋_GB2312" w:hAnsi="仿宋_GB2312" w:eastAsia="仿宋_GB2312" w:cs="仿宋_GB2312"/>
          <w:sz w:val="28"/>
          <w:szCs w:val="28"/>
        </w:rPr>
        <w:t>（2）以各种形式和名义提供宴请、旅游、健身、娱乐、私人会所等活动安排；代付加班餐费、打车费等。</w:t>
      </w:r>
    </w:p>
    <w:p w14:paraId="45F78408">
      <w:pPr>
        <w:pStyle w:val="15"/>
        <w:spacing w:before="0" w:after="0" w:line="360" w:lineRule="auto"/>
        <w:ind w:left="0" w:right="0" w:firstLine="560"/>
        <w:jc w:val="both"/>
      </w:pPr>
      <w:r>
        <w:rPr>
          <w:rFonts w:ascii="仿宋_GB2312" w:hAnsi="仿宋_GB2312" w:eastAsia="仿宋_GB2312" w:cs="仿宋_GB2312"/>
          <w:sz w:val="28"/>
          <w:szCs w:val="28"/>
        </w:rPr>
        <w:t>（3）以讲课费、咨询费等名义，提供或变相提供报酬。</w:t>
      </w:r>
    </w:p>
    <w:p w14:paraId="614A8652">
      <w:pPr>
        <w:pStyle w:val="15"/>
        <w:spacing w:before="0" w:after="0" w:line="360" w:lineRule="auto"/>
        <w:ind w:left="0" w:right="0" w:firstLine="560"/>
        <w:jc w:val="both"/>
      </w:pPr>
      <w:r>
        <w:rPr>
          <w:rFonts w:ascii="仿宋_GB2312" w:hAnsi="仿宋_GB2312" w:eastAsia="仿宋_GB2312" w:cs="仿宋_GB2312"/>
          <w:sz w:val="28"/>
          <w:szCs w:val="28"/>
        </w:rPr>
        <w:t>（4）借款、借房、借车，报销应由个人负担的费用。</w:t>
      </w:r>
    </w:p>
    <w:p w14:paraId="7FA6B288">
      <w:pPr>
        <w:pStyle w:val="15"/>
        <w:spacing w:before="0" w:after="0" w:line="360" w:lineRule="auto"/>
        <w:ind w:left="0" w:right="0" w:firstLine="560"/>
        <w:jc w:val="both"/>
      </w:pPr>
      <w:r>
        <w:rPr>
          <w:rFonts w:ascii="仿宋_GB2312" w:hAnsi="仿宋_GB2312" w:eastAsia="仿宋_GB2312" w:cs="仿宋_GB2312"/>
          <w:sz w:val="28"/>
          <w:szCs w:val="28"/>
        </w:rPr>
        <w:t>（5）以无偿、象征性地收取费用等方式提供家政、司机等服务劳务。</w:t>
      </w:r>
    </w:p>
    <w:p w14:paraId="7C51C124">
      <w:pPr>
        <w:pStyle w:val="15"/>
        <w:spacing w:before="0" w:after="0" w:line="360" w:lineRule="auto"/>
        <w:ind w:left="0" w:right="0" w:firstLine="560"/>
        <w:jc w:val="both"/>
      </w:pPr>
      <w:r>
        <w:rPr>
          <w:rFonts w:ascii="仿宋_GB2312" w:hAnsi="仿宋_GB2312" w:eastAsia="仿宋_GB2312" w:cs="仿宋_GB2312"/>
          <w:sz w:val="28"/>
          <w:szCs w:val="28"/>
        </w:rPr>
        <w:t>（6）其他通过任何形式行贿或输送利益的行为。</w:t>
      </w:r>
    </w:p>
    <w:p w14:paraId="69DCD053">
      <w:pPr>
        <w:pStyle w:val="15"/>
        <w:spacing w:before="0" w:after="0" w:line="360" w:lineRule="auto"/>
        <w:ind w:left="0" w:right="0" w:firstLine="560"/>
        <w:jc w:val="both"/>
      </w:pPr>
      <w:r>
        <w:rPr>
          <w:rFonts w:ascii="仿宋_GB2312" w:hAnsi="仿宋_GB2312" w:eastAsia="仿宋_GB2312" w:cs="仿宋_GB2312"/>
          <w:sz w:val="28"/>
          <w:szCs w:val="28"/>
        </w:rPr>
        <w:t>4.信守承诺。中标人应承诺在项目实施过程中，严格遵守国家法律法规合法、诚信经营，杜绝商业贿赂、规范经营活动、公开透明合作、严格内部管理，并签订《税务信息化项目服务商廉洁承诺书》提交甲方负责项目实施的单位。《税务信息化项目服务商廉洁承诺书》可参考以下内容：</w:t>
      </w:r>
    </w:p>
    <w:p w14:paraId="1558CDA0">
      <w:pPr>
        <w:pStyle w:val="15"/>
        <w:spacing w:before="0" w:after="0" w:line="360" w:lineRule="auto"/>
        <w:ind w:left="0" w:right="0"/>
        <w:jc w:val="center"/>
      </w:pPr>
      <w:r>
        <w:rPr>
          <w:rFonts w:ascii="仿宋_GB2312" w:hAnsi="仿宋_GB2312" w:eastAsia="仿宋_GB2312" w:cs="仿宋_GB2312"/>
          <w:b/>
          <w:bCs/>
          <w:sz w:val="28"/>
          <w:szCs w:val="28"/>
        </w:rPr>
        <w:t>税务信息化服务商廉洁承诺书</w:t>
      </w:r>
    </w:p>
    <w:p w14:paraId="0C74820D">
      <w:pPr>
        <w:pStyle w:val="15"/>
        <w:spacing w:before="0" w:after="0" w:line="360" w:lineRule="auto"/>
        <w:ind w:left="0" w:right="0" w:firstLine="560"/>
        <w:jc w:val="both"/>
      </w:pPr>
      <w:r>
        <w:rPr>
          <w:rFonts w:ascii="仿宋_GB2312" w:hAnsi="仿宋_GB2312" w:eastAsia="仿宋_GB2312" w:cs="仿宋_GB2312"/>
          <w:sz w:val="28"/>
          <w:szCs w:val="28"/>
        </w:rPr>
        <w:t>为深入贯彻落实党中央关于全面从严治党的决策部署，进一步加强税务信息化项目合作中的廉政建设，防范廉政风险发生，确保项目公开、公平、公正推进，我司郑重承诺如下：</w:t>
      </w:r>
    </w:p>
    <w:p w14:paraId="55F16894">
      <w:pPr>
        <w:pStyle w:val="15"/>
        <w:spacing w:before="0" w:after="0" w:line="360" w:lineRule="auto"/>
        <w:ind w:left="0" w:right="0" w:firstLine="562"/>
        <w:jc w:val="both"/>
      </w:pPr>
      <w:r>
        <w:rPr>
          <w:rFonts w:ascii="仿宋_GB2312" w:hAnsi="仿宋_GB2312" w:eastAsia="仿宋_GB2312" w:cs="仿宋_GB2312"/>
          <w:b/>
          <w:bCs/>
          <w:sz w:val="28"/>
          <w:szCs w:val="28"/>
        </w:rPr>
        <w:t>一、合法合规经营。</w:t>
      </w:r>
      <w:r>
        <w:rPr>
          <w:rFonts w:ascii="仿宋_GB2312" w:hAnsi="仿宋_GB2312" w:eastAsia="仿宋_GB2312" w:cs="仿宋_GB2312"/>
          <w:sz w:val="28"/>
          <w:szCs w:val="28"/>
        </w:rPr>
        <w:t>严格遵守国家法律法规及税务部门的相关规定，坚持廉洁从业、诚信经营的原则。在合作过程中不以任何形式进行利益输送，维护良好的政商关系。</w:t>
      </w:r>
    </w:p>
    <w:p w14:paraId="54D27BA4">
      <w:pPr>
        <w:pStyle w:val="15"/>
        <w:spacing w:before="0" w:after="0" w:line="360" w:lineRule="auto"/>
        <w:ind w:left="0" w:right="0" w:firstLine="562"/>
        <w:jc w:val="both"/>
      </w:pPr>
      <w:r>
        <w:rPr>
          <w:rFonts w:ascii="仿宋_GB2312" w:hAnsi="仿宋_GB2312" w:eastAsia="仿宋_GB2312" w:cs="仿宋_GB2312"/>
          <w:b/>
          <w:bCs/>
          <w:sz w:val="28"/>
          <w:szCs w:val="28"/>
        </w:rPr>
        <w:t>二、杜绝商业贿赂。</w:t>
      </w:r>
      <w:r>
        <w:rPr>
          <w:rFonts w:ascii="仿宋_GB2312" w:hAnsi="仿宋_GB2312" w:eastAsia="仿宋_GB2312" w:cs="仿宋_GB2312"/>
          <w:sz w:val="28"/>
          <w:szCs w:val="28"/>
        </w:rPr>
        <w:t>加强内部管理，我司及我司员工均不对甲方工作人员实施以下行为：</w:t>
      </w:r>
    </w:p>
    <w:p w14:paraId="0D81A695">
      <w:pPr>
        <w:pStyle w:val="15"/>
        <w:spacing w:before="0" w:after="0" w:line="360" w:lineRule="auto"/>
        <w:ind w:left="0" w:right="0" w:firstLine="560"/>
        <w:jc w:val="both"/>
      </w:pPr>
      <w:r>
        <w:rPr>
          <w:rFonts w:ascii="仿宋_GB2312" w:hAnsi="仿宋_GB2312" w:eastAsia="仿宋_GB2312" w:cs="仿宋_GB2312"/>
          <w:sz w:val="28"/>
          <w:szCs w:val="28"/>
        </w:rPr>
        <w:t>（一）以各种形式和名义提供礼品、礼金、电子红包、支付凭证、商业预付卡、名贵特产、有价证券、股权、其他金融产品等财物。</w:t>
      </w:r>
    </w:p>
    <w:p w14:paraId="2FE3C657">
      <w:pPr>
        <w:pStyle w:val="15"/>
        <w:spacing w:before="0" w:after="0" w:line="360" w:lineRule="auto"/>
        <w:ind w:left="0" w:right="0" w:firstLine="560"/>
        <w:jc w:val="both"/>
      </w:pPr>
      <w:r>
        <w:rPr>
          <w:rFonts w:ascii="仿宋_GB2312" w:hAnsi="仿宋_GB2312" w:eastAsia="仿宋_GB2312" w:cs="仿宋_GB2312"/>
          <w:sz w:val="28"/>
          <w:szCs w:val="28"/>
        </w:rPr>
        <w:t>（二）以各种形式和名义提供宴请、旅游、健身、娱乐、私人会所等活动安排；代付加班餐费、打车费等。</w:t>
      </w:r>
    </w:p>
    <w:p w14:paraId="278C538F">
      <w:pPr>
        <w:pStyle w:val="15"/>
        <w:spacing w:before="0" w:after="0" w:line="360" w:lineRule="auto"/>
        <w:ind w:left="0" w:right="0" w:firstLine="560"/>
        <w:jc w:val="both"/>
      </w:pPr>
      <w:r>
        <w:rPr>
          <w:rFonts w:ascii="仿宋_GB2312" w:hAnsi="仿宋_GB2312" w:eastAsia="仿宋_GB2312" w:cs="仿宋_GB2312"/>
          <w:sz w:val="28"/>
          <w:szCs w:val="28"/>
        </w:rPr>
        <w:t>（三）以讲课费、咨询费等名义，提供或变相提供报酬。</w:t>
      </w:r>
    </w:p>
    <w:p w14:paraId="79180280">
      <w:pPr>
        <w:pStyle w:val="15"/>
        <w:spacing w:before="0" w:after="0" w:line="360" w:lineRule="auto"/>
        <w:ind w:left="0" w:right="0" w:firstLine="560"/>
        <w:jc w:val="both"/>
      </w:pPr>
      <w:r>
        <w:rPr>
          <w:rFonts w:ascii="仿宋_GB2312" w:hAnsi="仿宋_GB2312" w:eastAsia="仿宋_GB2312" w:cs="仿宋_GB2312"/>
          <w:sz w:val="28"/>
          <w:szCs w:val="28"/>
        </w:rPr>
        <w:t>（四）借款、借房、借车，报销应由个人负担的费用。</w:t>
      </w:r>
    </w:p>
    <w:p w14:paraId="497B222C">
      <w:pPr>
        <w:pStyle w:val="15"/>
        <w:spacing w:before="0" w:after="0" w:line="360" w:lineRule="auto"/>
        <w:ind w:left="0" w:right="0" w:firstLine="560"/>
        <w:jc w:val="both"/>
      </w:pPr>
      <w:r>
        <w:rPr>
          <w:rFonts w:ascii="仿宋_GB2312" w:hAnsi="仿宋_GB2312" w:eastAsia="仿宋_GB2312" w:cs="仿宋_GB2312"/>
          <w:sz w:val="28"/>
          <w:szCs w:val="28"/>
        </w:rPr>
        <w:t>（五）以无偿、象征性地收取费用等方式提供家政、司机等服务劳务。</w:t>
      </w:r>
    </w:p>
    <w:p w14:paraId="7D183FAA">
      <w:pPr>
        <w:pStyle w:val="15"/>
        <w:spacing w:before="0" w:after="0" w:line="360" w:lineRule="auto"/>
        <w:ind w:left="0" w:right="0" w:firstLine="560"/>
        <w:jc w:val="both"/>
      </w:pPr>
      <w:r>
        <w:rPr>
          <w:rFonts w:ascii="仿宋_GB2312" w:hAnsi="仿宋_GB2312" w:eastAsia="仿宋_GB2312" w:cs="仿宋_GB2312"/>
          <w:sz w:val="28"/>
          <w:szCs w:val="28"/>
        </w:rPr>
        <w:t>（六）其他通过任何形式行贿或输送利益的行为。</w:t>
      </w:r>
    </w:p>
    <w:p w14:paraId="3DF466D0">
      <w:pPr>
        <w:pStyle w:val="15"/>
        <w:spacing w:before="0" w:after="0" w:line="360" w:lineRule="auto"/>
        <w:ind w:left="0" w:right="0" w:firstLine="562"/>
        <w:jc w:val="both"/>
      </w:pPr>
      <w:r>
        <w:rPr>
          <w:rFonts w:ascii="仿宋_GB2312" w:hAnsi="仿宋_GB2312" w:eastAsia="仿宋_GB2312" w:cs="仿宋_GB2312"/>
          <w:b/>
          <w:bCs/>
          <w:sz w:val="28"/>
          <w:szCs w:val="28"/>
        </w:rPr>
        <w:t>三、规范经营活动。</w:t>
      </w:r>
      <w:r>
        <w:rPr>
          <w:rFonts w:ascii="仿宋_GB2312" w:hAnsi="仿宋_GB2312" w:eastAsia="仿宋_GB2312" w:cs="仿宋_GB2312"/>
          <w:sz w:val="28"/>
          <w:szCs w:val="28"/>
        </w:rPr>
        <w:t>严格按照合同约定履行义务，保证项目质量，按时完成建设任务；在合作过程中不以任何借口拖延工期、虚报成本或谋取私利。</w:t>
      </w:r>
    </w:p>
    <w:p w14:paraId="495D6CC3">
      <w:pPr>
        <w:pStyle w:val="15"/>
        <w:spacing w:before="0" w:after="0" w:line="360" w:lineRule="auto"/>
        <w:ind w:left="0" w:right="0" w:firstLine="562"/>
        <w:jc w:val="both"/>
      </w:pPr>
      <w:r>
        <w:rPr>
          <w:rFonts w:ascii="仿宋_GB2312" w:hAnsi="仿宋_GB2312" w:eastAsia="仿宋_GB2312" w:cs="仿宋_GB2312"/>
          <w:b/>
          <w:bCs/>
          <w:sz w:val="28"/>
          <w:szCs w:val="28"/>
        </w:rPr>
        <w:t>四、公开透明合作。</w:t>
      </w:r>
      <w:r>
        <w:rPr>
          <w:rFonts w:ascii="仿宋_GB2312" w:hAnsi="仿宋_GB2312" w:eastAsia="仿宋_GB2312" w:cs="仿宋_GB2312"/>
          <w:sz w:val="28"/>
          <w:szCs w:val="28"/>
        </w:rPr>
        <w:t>我司承诺在项目实施过程中保持公开透明，主动接受税务部门及纪检监察机构的全程监督，并积极配合任何有关廉洁从业的调查工作。</w:t>
      </w:r>
    </w:p>
    <w:p w14:paraId="11D18925">
      <w:pPr>
        <w:pStyle w:val="15"/>
        <w:spacing w:before="0" w:after="0" w:line="360" w:lineRule="auto"/>
        <w:ind w:left="0" w:right="0" w:firstLine="562"/>
        <w:jc w:val="both"/>
      </w:pPr>
      <w:r>
        <w:rPr>
          <w:rFonts w:ascii="仿宋_GB2312" w:hAnsi="仿宋_GB2312" w:eastAsia="仿宋_GB2312" w:cs="仿宋_GB2312"/>
          <w:b/>
          <w:bCs/>
          <w:sz w:val="28"/>
          <w:szCs w:val="28"/>
        </w:rPr>
        <w:t>五、严格内部管理。</w:t>
      </w:r>
      <w:r>
        <w:rPr>
          <w:rFonts w:ascii="仿宋_GB2312" w:hAnsi="仿宋_GB2312" w:eastAsia="仿宋_GB2312" w:cs="仿宋_GB2312"/>
          <w:sz w:val="28"/>
          <w:szCs w:val="28"/>
        </w:rPr>
        <w:t>加强企业内部廉洁教育，确保员工知晓并遵守相关法律法规及廉洁要求；加强项目实施全过程廉洁监督；对于违反廉洁承诺的员工，将严肃处理，并承担相应责任。</w:t>
      </w:r>
    </w:p>
    <w:p w14:paraId="7F57E568">
      <w:pPr>
        <w:pStyle w:val="15"/>
        <w:spacing w:before="0" w:after="0" w:line="360" w:lineRule="auto"/>
        <w:ind w:left="0" w:right="0" w:firstLine="562"/>
        <w:jc w:val="both"/>
      </w:pPr>
      <w:r>
        <w:rPr>
          <w:rFonts w:ascii="仿宋_GB2312" w:hAnsi="仿宋_GB2312" w:eastAsia="仿宋_GB2312" w:cs="仿宋_GB2312"/>
          <w:b/>
          <w:bCs/>
          <w:sz w:val="28"/>
          <w:szCs w:val="28"/>
        </w:rPr>
        <w:t>六、积极参与监督。</w:t>
      </w:r>
      <w:r>
        <w:rPr>
          <w:rFonts w:ascii="仿宋_GB2312" w:hAnsi="仿宋_GB2312" w:eastAsia="仿宋_GB2312" w:cs="仿宋_GB2312"/>
          <w:sz w:val="28"/>
          <w:szCs w:val="28"/>
        </w:rPr>
        <w:t>在税务信息化项目实施过程中，如发现任何违纪违法行为，将如实反馈问题和意见。  </w:t>
      </w:r>
    </w:p>
    <w:p w14:paraId="24F7A322">
      <w:pPr>
        <w:pStyle w:val="15"/>
        <w:spacing w:before="0" w:after="0" w:line="360" w:lineRule="auto"/>
        <w:ind w:left="0" w:right="0" w:firstLine="560"/>
        <w:jc w:val="both"/>
      </w:pPr>
      <w:r>
        <w:rPr>
          <w:rFonts w:ascii="仿宋_GB2312" w:hAnsi="仿宋_GB2312" w:eastAsia="仿宋_GB2312" w:cs="仿宋_GB2312"/>
          <w:sz w:val="28"/>
          <w:szCs w:val="28"/>
        </w:rPr>
        <w:t>承诺单位（盖章）：_________________________</w:t>
      </w:r>
    </w:p>
    <w:p w14:paraId="35491760">
      <w:pPr>
        <w:pStyle w:val="15"/>
        <w:spacing w:before="0" w:after="0" w:line="360" w:lineRule="auto"/>
        <w:ind w:left="0" w:right="0" w:firstLine="560"/>
        <w:jc w:val="both"/>
      </w:pPr>
      <w:r>
        <w:rPr>
          <w:rFonts w:ascii="仿宋_GB2312" w:hAnsi="仿宋_GB2312" w:eastAsia="仿宋_GB2312" w:cs="仿宋_GB2312"/>
          <w:sz w:val="28"/>
          <w:szCs w:val="28"/>
        </w:rPr>
        <w:t>法定代表人或授权代表签字：________________</w:t>
      </w:r>
    </w:p>
    <w:p w14:paraId="5B4C9726">
      <w:pPr>
        <w:pStyle w:val="15"/>
        <w:spacing w:before="0" w:after="0" w:line="360" w:lineRule="auto"/>
        <w:ind w:left="0" w:right="0" w:firstLine="560"/>
        <w:jc w:val="both"/>
      </w:pPr>
      <w:r>
        <w:rPr>
          <w:rFonts w:ascii="仿宋_GB2312" w:hAnsi="仿宋_GB2312" w:eastAsia="仿宋_GB2312" w:cs="仿宋_GB2312"/>
          <w:sz w:val="28"/>
          <w:szCs w:val="28"/>
        </w:rPr>
        <w:t>日期：XX年XX月XX日</w:t>
      </w:r>
    </w:p>
    <w:p w14:paraId="6670A8E4">
      <w:pPr>
        <w:pStyle w:val="15"/>
        <w:spacing w:before="0" w:after="0" w:line="360" w:lineRule="auto"/>
        <w:ind w:left="0" w:right="0" w:firstLine="560"/>
        <w:jc w:val="both"/>
      </w:pPr>
      <w:r>
        <w:rPr>
          <w:rFonts w:ascii="仿宋_GB2312" w:hAnsi="仿宋_GB2312" w:eastAsia="仿宋_GB2312" w:cs="仿宋_GB2312"/>
          <w:sz w:val="28"/>
          <w:szCs w:val="28"/>
        </w:rPr>
        <w:t>5.自觉接受监管。中标人有义务配合税务机关的正常业务监管以及纪检监察、外部审计、督察内审等监督机构对税务信息化项目全过程的监督检查工作，如实提供相关资料和信息，不得隐瞒、篡改或销毁与项目建设有关的文件、数据等资料。</w:t>
      </w:r>
    </w:p>
    <w:p w14:paraId="6AEA19B5">
      <w:pPr>
        <w:pStyle w:val="15"/>
        <w:spacing w:before="0" w:after="0" w:line="360" w:lineRule="auto"/>
        <w:ind w:left="0" w:right="0" w:firstLine="560"/>
        <w:jc w:val="both"/>
      </w:pPr>
      <w:r>
        <w:rPr>
          <w:rFonts w:ascii="仿宋_GB2312" w:hAnsi="仿宋_GB2312" w:eastAsia="仿宋_GB2312" w:cs="仿宋_GB2312"/>
          <w:sz w:val="28"/>
          <w:szCs w:val="28"/>
        </w:rPr>
        <w:t>6.举报和反馈意见。项目执行过程中，中标人有权举报、反馈甲方索贿受贿、吃拿卡要、违反中央八项规定精神等违纪违法行为。项目验收前，应填写《税务信息化项目服务商廉政反馈书》，提交甲方税务机关网络安全和信息化领导小组办公室。</w:t>
      </w:r>
    </w:p>
    <w:p w14:paraId="76644FDD">
      <w:pPr>
        <w:pStyle w:val="15"/>
        <w:spacing w:before="0" w:after="0" w:line="360" w:lineRule="auto"/>
        <w:ind w:left="0" w:right="0" w:firstLine="560"/>
        <w:jc w:val="both"/>
      </w:pPr>
      <w:r>
        <w:rPr>
          <w:rFonts w:ascii="仿宋_GB2312" w:hAnsi="仿宋_GB2312" w:eastAsia="仿宋_GB2312" w:cs="仿宋_GB2312"/>
          <w:sz w:val="28"/>
          <w:szCs w:val="28"/>
        </w:rPr>
        <w:t>让我们在廉洁、诚信、公平、公正的基础上开展合作，共同为高水平建设效能税务、高质量推进中国式现代化税务实践贡献力量。</w:t>
      </w:r>
    </w:p>
    <w:p w14:paraId="44ACB578">
      <w:pPr>
        <w:spacing w:before="0" w:after="0" w:line="360" w:lineRule="auto"/>
        <w:ind w:firstLine="561"/>
        <w:rPr>
          <w:rFonts w:ascii="仿宋_GB2312" w:hAnsi="仿宋_GB2312" w:eastAsia="仿宋_GB2312" w:cs="仿宋_GB2312"/>
          <w:sz w:val="28"/>
          <w:szCs w:val="28"/>
        </w:rPr>
      </w:pPr>
    </w:p>
    <w:sectPr>
      <w:footerReference r:id="rId4" w:type="default"/>
      <w:pgSz w:w="11906" w:h="16838"/>
      <w:pgMar w:top="1440" w:right="1440" w:bottom="1440" w:left="1440" w:header="708" w:footer="708" w:gutter="0"/>
      <w:pgNumType w:fmt="decimal" w:start="1"/>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CC"/>
    <w:family w:val="roman"/>
    <w:pitch w:val="default"/>
    <w:sig w:usb0="00000000" w:usb1="0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Nimbus Roman No9 L">
    <w:panose1 w:val="00000000000000000000"/>
    <w:charset w:val="00"/>
    <w:family w:val="auto"/>
    <w:pitch w:val="default"/>
    <w:sig w:usb0="00000000" w:usb1="00000000" w:usb2="00000000" w:usb3="00000000" w:csb0="00000000" w:csb1="00000000"/>
  </w:font>
  <w:font w:name="Calibri">
    <w:altName w:val="Nimbus Roman No9 L"/>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FangSong_GB2312">
    <w:panose1 w:val="02010609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文泉驿微米黑">
    <w:panose1 w:val="020B0606030804020204"/>
    <w:charset w:val="86"/>
    <w:family w:val="auto"/>
    <w:pitch w:val="default"/>
    <w:sig w:usb0="E10002EF" w:usb1="6BDFFCFB" w:usb2="00800036" w:usb3="00000000" w:csb0="603E019F" w:csb1="DFD7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BB28DA">
    <w:pPr>
      <w:spacing w:before="0" w:after="0" w:line="360" w:lineRule="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0729FD">
    <w:pPr>
      <w:spacing w:before="0" w:after="0" w:line="360" w:lineRule="auto"/>
    </w:pPr>
    <w:r>
      <w:rPr>
        <w:sz w:val="24"/>
      </w:rP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7E0423D0">
                <w:pPr>
                  <w:pStyle w:val="7"/>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4</w:t>
                </w:r>
                <w:r>
                  <w:rPr>
                    <w:sz w:val="24"/>
                    <w:szCs w:val="24"/>
                  </w:rPr>
                  <w:fldChar w:fldCharType="end"/>
                </w:r>
                <w:r>
                  <w:rPr>
                    <w:sz w:val="24"/>
                    <w:szCs w:val="24"/>
                  </w:rPr>
                  <w:t xml:space="preserve"> —</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C5C433"/>
    <w:multiLevelType w:val="singleLevel"/>
    <w:tmpl w:val="FFC5C433"/>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noPunctuationKerning w:val="1"/>
  <w:characterSpacingControl w:val="doNotCompress"/>
  <w:hdrShapeDefaults>
    <o:shapelayout v:ext="edit">
      <o:idmap v:ext="edit" data="2"/>
    </o:shapelayout>
  </w:hdrShapeDefault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A77B3E"/>
    <w:rsid w:val="00A77B3E"/>
    <w:rsid w:val="00CA2A55"/>
    <w:rsid w:val="173F6B9B"/>
    <w:rsid w:val="1D76C063"/>
    <w:rsid w:val="775F1AB2"/>
    <w:rsid w:val="7BAFBF8F"/>
    <w:rsid w:val="7BDC25BD"/>
    <w:rsid w:val="7F7E1548"/>
    <w:rsid w:val="7FCFA0AF"/>
    <w:rsid w:val="7FFF329E"/>
    <w:rsid w:val="94F604AA"/>
    <w:rsid w:val="ACD518E9"/>
    <w:rsid w:val="B3CFDAE2"/>
    <w:rsid w:val="C7F7F88A"/>
    <w:rsid w:val="EA748CE7"/>
    <w:rsid w:val="F57DCE7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paragraph" w:styleId="2">
    <w:name w:val="heading 1"/>
    <w:basedOn w:val="1"/>
    <w:next w:val="1"/>
    <w:qFormat/>
    <w:uiPriority w:val="0"/>
    <w:pPr>
      <w:keepNext/>
      <w:spacing w:before="240" w:after="60"/>
      <w:outlineLvl w:val="0"/>
    </w:pPr>
    <w:rPr>
      <w:rFonts w:ascii="Arial" w:hAnsi="Arial" w:cs="Arial"/>
      <w:b/>
      <w:bCs/>
      <w:kern w:val="32"/>
      <w:sz w:val="32"/>
      <w:szCs w:val="32"/>
    </w:rPr>
  </w:style>
  <w:style w:type="paragraph" w:styleId="3">
    <w:name w:val="heading 2"/>
    <w:basedOn w:val="1"/>
    <w:next w:val="1"/>
    <w:qFormat/>
    <w:uiPriority w:val="0"/>
    <w:pPr>
      <w:keepNext/>
      <w:spacing w:before="240" w:after="60"/>
      <w:outlineLvl w:val="1"/>
    </w:pPr>
    <w:rPr>
      <w:rFonts w:ascii="Arial" w:hAnsi="Arial" w:cs="Arial"/>
      <w:b/>
      <w:bCs/>
      <w:i/>
      <w:iCs/>
      <w:sz w:val="28"/>
      <w:szCs w:val="28"/>
    </w:rPr>
  </w:style>
  <w:style w:type="paragraph" w:styleId="4">
    <w:name w:val="heading 3"/>
    <w:basedOn w:val="1"/>
    <w:next w:val="1"/>
    <w:qFormat/>
    <w:uiPriority w:val="0"/>
    <w:pPr>
      <w:keepNext/>
      <w:spacing w:before="240" w:after="60"/>
      <w:outlineLvl w:val="2"/>
    </w:pPr>
    <w:rPr>
      <w:rFonts w:ascii="Arial" w:hAnsi="Arial" w:cs="Arial"/>
      <w:b/>
      <w:bCs/>
      <w:sz w:val="26"/>
      <w:szCs w:val="26"/>
    </w:rPr>
  </w:style>
  <w:style w:type="paragraph" w:styleId="5">
    <w:name w:val="heading 4"/>
    <w:basedOn w:val="1"/>
    <w:next w:val="1"/>
    <w:qFormat/>
    <w:uiPriority w:val="0"/>
    <w:pPr>
      <w:keepNext/>
      <w:spacing w:before="240" w:after="60"/>
      <w:outlineLvl w:val="3"/>
    </w:pPr>
    <w:rPr>
      <w:b/>
      <w:bCs/>
      <w:sz w:val="28"/>
      <w:szCs w:val="28"/>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6">
    <w:name w:val="toc 3"/>
    <w:basedOn w:val="1"/>
    <w:next w:val="1"/>
    <w:qFormat/>
    <w:uiPriority w:val="0"/>
    <w:pPr>
      <w:ind w:left="480"/>
    </w:pPr>
  </w:style>
  <w:style w:type="paragraph" w:styleId="7">
    <w:name w:val="footer"/>
    <w:basedOn w:val="1"/>
    <w:uiPriority w:val="0"/>
    <w:pPr>
      <w:tabs>
        <w:tab w:val="center" w:pos="4153"/>
        <w:tab w:val="right" w:pos="8306"/>
      </w:tabs>
      <w:snapToGrid w:val="0"/>
      <w:jc w:val="left"/>
    </w:pPr>
    <w:rPr>
      <w:sz w:val="18"/>
    </w:rPr>
  </w:style>
  <w:style w:type="paragraph" w:styleId="8">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qFormat/>
    <w:uiPriority w:val="0"/>
  </w:style>
  <w:style w:type="paragraph" w:styleId="10">
    <w:name w:val="toc 2"/>
    <w:basedOn w:val="1"/>
    <w:next w:val="1"/>
    <w:qFormat/>
    <w:uiPriority w:val="0"/>
    <w:pPr>
      <w:ind w:left="240"/>
    </w:pPr>
  </w:style>
  <w:style w:type="character" w:styleId="13">
    <w:name w:val="Hyperlink"/>
    <w:basedOn w:val="12"/>
    <w:qFormat/>
    <w:uiPriority w:val="0"/>
    <w:rPr>
      <w:color w:val="0000FF"/>
      <w:u w:val="single"/>
    </w:rPr>
  </w:style>
  <w:style w:type="paragraph" w:customStyle="1" w:styleId="14">
    <w:name w:val="15"/>
    <w:basedOn w:val="1"/>
    <w:qFormat/>
    <w:uiPriority w:val="0"/>
  </w:style>
  <w:style w:type="paragraph" w:customStyle="1" w:styleId="15">
    <w:name w:val="MsoNormal"/>
    <w:basedOn w:val="1"/>
    <w:qFormat/>
    <w:uiPriority w:val="0"/>
  </w:style>
  <w:style w:type="paragraph" w:customStyle="1" w:styleId="16">
    <w:name w:val="16"/>
    <w:basedOn w:val="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Pages>42</Pages>
  <Words>0</Words>
  <Characters>0</Characters>
  <Lines>1</Lines>
  <Paragraphs>1</Paragraphs>
  <TotalTime>1</TotalTime>
  <ScaleCrop>false</ScaleCrop>
  <LinksUpToDate>false</LinksUpToDate>
  <CharactersWithSpaces>0</CharactersWithSpaces>
  <Application>WPS Office_12.1.2.22575_F1E327BC-269C-435d-A152-05C5408002CA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2026-06-03T02:57:00Z</dcterms:created>
  <dc:creator>danna</dc:creator>
  <cp:lastModifiedBy>admin</cp:lastModifiedBy>
  <dcterms:modified xsi:type="dcterms:W3CDTF">2026-06-02T19:05:12Z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2052-12.1.2.22575</vt:lpwstr>
  </property>
  <property fmtid="{D5CDD505-2E9C-101B-9397-08002B2CF9AE}" pid="3" name="ICV">
    <vt:lpwstr>23FDC4F4397F38B352B81E6A2C1C4960_42</vt:lpwstr>
  </property>
</Properties>
</file>