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line="360" w:lineRule="auto"/>
        <w:jc w:val="center"/>
        <w:rPr>
          <w:rFonts w:ascii="宋体" w:hAnsi="宋体" w:eastAsia="宋体" w:cs="宋体"/>
          <w:b/>
          <w:sz w:val="96"/>
          <w:szCs w:val="96"/>
          <w:lang w:eastAsia="zh-CN"/>
        </w:rPr>
      </w:pPr>
    </w:p>
    <w:p>
      <w:pPr>
        <w:widowControl w:val="0"/>
        <w:topLinePunct/>
        <w:autoSpaceDE w:val="0"/>
        <w:autoSpaceDN w:val="0"/>
        <w:spacing w:line="360" w:lineRule="auto"/>
        <w:jc w:val="center"/>
        <w:rPr>
          <w:rFonts w:ascii="方正小标宋简体" w:hAnsi="方正小标宋简体" w:eastAsia="方正小标宋简体" w:cs="方正小标宋简体"/>
          <w:bCs/>
          <w:sz w:val="96"/>
          <w:szCs w:val="96"/>
          <w:lang w:eastAsia="zh-CN"/>
        </w:rPr>
      </w:pPr>
      <w:r>
        <w:rPr>
          <w:rFonts w:hint="eastAsia" w:ascii="方正小标宋简体" w:hAnsi="方正小标宋简体" w:eastAsia="方正小标宋简体" w:cs="方正小标宋简体"/>
          <w:bCs/>
          <w:sz w:val="96"/>
          <w:szCs w:val="96"/>
          <w:lang w:eastAsia="zh-CN"/>
        </w:rPr>
        <w:t>采 购 需 求</w:t>
      </w: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黑体" w:hAnsi="黑体" w:eastAsia="黑体" w:cs="黑体"/>
          <w:bCs/>
          <w:sz w:val="30"/>
          <w:szCs w:val="30"/>
          <w:lang w:eastAsia="zh-CN"/>
        </w:rPr>
      </w:pPr>
      <w:r>
        <w:rPr>
          <w:rFonts w:hint="eastAsia" w:ascii="黑体" w:hAnsi="黑体" w:eastAsia="黑体" w:cs="黑体"/>
          <w:bCs/>
          <w:sz w:val="30"/>
          <w:szCs w:val="30"/>
          <w:lang w:eastAsia="zh-CN"/>
        </w:rPr>
        <w:t>项目名称：新疆税务2025年网络安全设备采购及服务器</w:t>
      </w:r>
    </w:p>
    <w:p>
      <w:pPr>
        <w:widowControl w:val="0"/>
        <w:topLinePunct/>
        <w:autoSpaceDE w:val="0"/>
        <w:autoSpaceDN w:val="0"/>
        <w:spacing w:line="360" w:lineRule="auto"/>
        <w:jc w:val="center"/>
        <w:rPr>
          <w:rFonts w:ascii="黑体" w:hAnsi="黑体" w:eastAsia="黑体" w:cs="黑体"/>
          <w:bCs/>
          <w:sz w:val="30"/>
          <w:szCs w:val="30"/>
          <w:lang w:eastAsia="zh-CN"/>
        </w:rPr>
      </w:pPr>
      <w:r>
        <w:rPr>
          <w:rFonts w:hint="eastAsia" w:ascii="黑体" w:hAnsi="黑体" w:eastAsia="黑体" w:cs="黑体"/>
          <w:bCs/>
          <w:sz w:val="30"/>
          <w:szCs w:val="30"/>
          <w:lang w:eastAsia="zh-CN"/>
        </w:rPr>
        <w:t>升级扩容项目（</w:t>
      </w:r>
      <w:r>
        <w:rPr>
          <w:rFonts w:hint="eastAsia" w:ascii="黑体" w:hAnsi="黑体" w:eastAsia="黑体" w:cs="黑体"/>
          <w:bCs/>
          <w:sz w:val="30"/>
          <w:szCs w:val="30"/>
          <w:lang w:val="en-US" w:eastAsia="zh-CN"/>
        </w:rPr>
        <w:t>第二包</w:t>
      </w:r>
      <w:r>
        <w:rPr>
          <w:rFonts w:hint="eastAsia" w:ascii="黑体" w:hAnsi="黑体" w:eastAsia="黑体" w:cs="黑体"/>
          <w:bCs/>
          <w:sz w:val="30"/>
          <w:szCs w:val="30"/>
          <w:lang w:eastAsia="zh-CN"/>
        </w:rPr>
        <w:t>：服务器升级扩容）</w:t>
      </w:r>
    </w:p>
    <w:p>
      <w:pPr>
        <w:widowControl w:val="0"/>
        <w:spacing w:line="360" w:lineRule="auto"/>
        <w:jc w:val="both"/>
        <w:rPr>
          <w:rFonts w:ascii="宋体" w:hAnsi="宋体" w:eastAsia="宋体" w:cs="宋体"/>
          <w:kern w:val="2"/>
          <w:sz w:val="32"/>
          <w:szCs w:val="32"/>
          <w:lang w:eastAsia="zh-CN"/>
        </w:rPr>
      </w:pPr>
    </w:p>
    <w:p>
      <w:pPr>
        <w:widowControl w:val="0"/>
        <w:spacing w:line="360" w:lineRule="auto"/>
        <w:jc w:val="both"/>
        <w:rPr>
          <w:rFonts w:ascii="宋体" w:hAnsi="宋体" w:eastAsia="宋体" w:cs="宋体"/>
          <w:kern w:val="2"/>
          <w:sz w:val="32"/>
          <w:szCs w:val="32"/>
          <w:lang w:eastAsia="zh-CN"/>
        </w:rPr>
      </w:pPr>
    </w:p>
    <w:p>
      <w:pPr>
        <w:widowControl w:val="0"/>
        <w:spacing w:line="360" w:lineRule="auto"/>
        <w:jc w:val="both"/>
        <w:rPr>
          <w:rFonts w:ascii="宋体" w:hAnsi="宋体" w:eastAsia="宋体" w:cs="宋体"/>
          <w:kern w:val="2"/>
          <w:sz w:val="32"/>
          <w:szCs w:val="32"/>
          <w:lang w:eastAsia="zh-CN"/>
        </w:rPr>
      </w:pPr>
    </w:p>
    <w:p>
      <w:pPr>
        <w:widowControl w:val="0"/>
        <w:topLinePunct/>
        <w:autoSpaceDE w:val="0"/>
        <w:autoSpaceDN w:val="0"/>
        <w:spacing w:line="360" w:lineRule="auto"/>
        <w:jc w:val="both"/>
        <w:rPr>
          <w:rFonts w:ascii="黑体" w:hAnsi="黑体" w:eastAsia="黑体" w:cs="黑体"/>
          <w:sz w:val="30"/>
          <w:szCs w:val="30"/>
          <w:lang w:eastAsia="zh-CN"/>
        </w:rPr>
      </w:pPr>
    </w:p>
    <w:p>
      <w:pPr>
        <w:spacing w:line="360" w:lineRule="auto"/>
        <w:jc w:val="center"/>
        <w:rPr>
          <w:rFonts w:hint="eastAsia" w:ascii="黑体" w:hAnsi="黑体" w:eastAsia="黑体" w:cs="黑体"/>
          <w:sz w:val="32"/>
          <w:szCs w:val="32"/>
          <w:lang w:eastAsia="zh-CN"/>
        </w:rPr>
      </w:pPr>
      <w:bookmarkStart w:id="0" w:name="生成日期_currentDateTime_ym"/>
    </w:p>
    <w:p>
      <w:pPr>
        <w:spacing w:line="360" w:lineRule="auto"/>
        <w:jc w:val="center"/>
        <w:rPr>
          <w:rFonts w:ascii="黑体" w:hAnsi="黑体" w:eastAsia="黑体" w:cs="黑体"/>
          <w:sz w:val="32"/>
          <w:szCs w:val="32"/>
        </w:rPr>
      </w:pPr>
      <w:r>
        <w:rPr>
          <w:rFonts w:hint="eastAsia" w:ascii="黑体" w:hAnsi="黑体" w:eastAsia="黑体" w:cs="黑体"/>
          <w:sz w:val="32"/>
          <w:szCs w:val="32"/>
          <w:lang w:eastAsia="zh-CN"/>
        </w:rPr>
        <w:t>2025年</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月</w:t>
      </w:r>
      <w:bookmarkEnd w:id="0"/>
    </w:p>
    <w:p>
      <w:pPr>
        <w:spacing w:line="360" w:lineRule="auto"/>
        <w:jc w:val="center"/>
        <w:rPr>
          <w:rFonts w:hint="eastAsia" w:ascii="仿宋_GB2312" w:hAnsi="仿宋_GB2312" w:eastAsia="仿宋_GB2312" w:cs="仿宋_GB2312"/>
          <w:sz w:val="24"/>
          <w:szCs w:val="24"/>
        </w:rPr>
      </w:pPr>
      <w:r>
        <w:br w:type="page"/>
      </w:r>
      <w:r>
        <w:rPr>
          <w:rFonts w:hint="eastAsia" w:ascii="仿宋_GB2312" w:hAnsi="仿宋_GB2312" w:eastAsia="仿宋_GB2312" w:cs="仿宋_GB2312"/>
          <w:sz w:val="32"/>
          <w:szCs w:val="32"/>
        </w:rPr>
        <w:t>目 录</w:t>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\z \u</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"_Toc195778293"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lang w:eastAsia="zh-CN"/>
        </w:rPr>
        <w:t>1项目概述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_Toc195778293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"_Toc195778294"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1.1项目背景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_Toc195778294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"_Toc195778295"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1.1.1项目目的、意义及背景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_Toc195778295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"_Toc195778296"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1.2项目内容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_Toc195778296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"_Toc195778297"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1.2.1项目建设思路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_Toc195778297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"_Toc195778298"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1.2.2采购内容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_Toc195778298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"_Toc195778299"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1.2.3项目实施要求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_Toc195778299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"_Toc195778300"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1.3其他要求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"_Toc195778301"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1.3.1采购标的需执行的相关标准规范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"_Toc195778302"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lang w:eastAsia="zh-CN"/>
        </w:rPr>
        <w:t>2投标/响应要求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"_Toc195778303"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2.1对供应商的要求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"_Toc195778304"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2.1.1必备资质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"_Toc195778305"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2.1.2优选资质/优选指标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"_Toc195778306"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2.1.3是否允许联合体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"_Toc195778307"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2.1.4是否专门面向中小企业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"_Toc195778308"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2.1.5其他要求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"_Toc195778309"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2.2技术部分投标/响应内容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_Toc195778309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"_Toc195778310"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2.2.1技术投标/响应总要求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"_Toc195778311"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2.2.2投标/响应方案要求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"_Toc195778312"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lang w:eastAsia="zh-CN"/>
        </w:rPr>
        <w:t>3项目需求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"_Toc195778313"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3.1总体要求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"_Toc195778314"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3.2采购产品一览表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"_Toc195778315"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3.3采购产品详细清单及技术指标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"_Toc195778316"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3.4服务要求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"_Toc195778317"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3.5其他要求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"_Toc195778318"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lang w:eastAsia="zh-CN"/>
        </w:rPr>
        <w:t>4人员要求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"_Toc195778319"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4.1团队要求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_Toc195778319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"_Toc195778320"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4.1.1基本要求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"_Toc195778321"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4.1.2优选资质/优选指标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"_Toc195778322"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rPr>
        <w:t>5管理实施要求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"_Toc195778323"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lang w:eastAsia="zh-CN"/>
        </w:rPr>
        <w:t>6风险管控要求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"_Toc195778324"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lang w:eastAsia="zh-CN"/>
        </w:rPr>
        <w:t>7履约验收要求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"_Toc195778325"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7.1总体要求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"_Toc195778326"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7.2具体要求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"_Toc195778327"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kern w:val="36"/>
          <w:sz w:val="24"/>
          <w:szCs w:val="24"/>
          <w:lang w:eastAsia="zh-CN"/>
        </w:rPr>
        <w:t>8其他要求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"_Toc195778328"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8.1必备要求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"_Toc195778329"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8.1.1通用必备要求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"_Toc195778330"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8.2付款安排建议</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"_Toc195778331"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8.3其他要求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_Toc195778331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"_Toc195778332"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8.3.1保密要求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"_Toc195778333"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8.3.2知识产权要求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_Toc195778333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"_Toc195778334"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8.3.3★供应链安全管理要求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8"/>
        <w:tabs>
          <w:tab w:val="right" w:leader="dot" w:pos="9016"/>
        </w:tabs>
        <w:spacing w:line="360" w:lineRule="auto"/>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"_Toc195778335"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lang w:eastAsia="zh-CN"/>
        </w:rPr>
        <w:t>8.3.4税务信息化服务商廉政相关要求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_Toc195778335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
        <w:keepNext w:val="0"/>
        <w:spacing w:before="0" w:after="0" w:line="540" w:lineRule="exact"/>
        <w:jc w:val="center"/>
        <w:rPr>
          <w:rFonts w:hint="eastAsia" w:ascii="仿宋_GB2312" w:hAnsi="仿宋_GB2312" w:eastAsia="仿宋_GB2312" w:cs="仿宋_GB2312"/>
          <w:sz w:val="24"/>
          <w:szCs w:val="24"/>
        </w:rPr>
        <w:sectPr>
          <w:footerReference r:id="rId3" w:type="default"/>
          <w:pgSz w:w="11906" w:h="16838"/>
          <w:pgMar w:top="1440" w:right="1440" w:bottom="1440" w:left="1440" w:header="708" w:footer="708" w:gutter="0"/>
          <w:cols w:space="708" w:num="1"/>
          <w:docGrid w:linePitch="360" w:charSpace="0"/>
        </w:sectPr>
      </w:pPr>
      <w:r>
        <w:rPr>
          <w:rFonts w:hint="eastAsia" w:ascii="仿宋_GB2312" w:hAnsi="仿宋_GB2312" w:eastAsia="仿宋_GB2312" w:cs="仿宋_GB2312"/>
          <w:sz w:val="24"/>
          <w:szCs w:val="24"/>
        </w:rPr>
        <w:fldChar w:fldCharType="end"/>
      </w:r>
      <w:bookmarkStart w:id="1" w:name="_Toc195778293"/>
    </w:p>
    <w:p>
      <w:pPr>
        <w:pStyle w:val="2"/>
        <w:keepNext w:val="0"/>
        <w:spacing w:before="0" w:after="0" w:line="540" w:lineRule="exact"/>
        <w:jc w:val="center"/>
        <w:rPr>
          <w:rFonts w:ascii="仿宋_GB2312" w:hAnsi="仿宋_GB2312" w:eastAsia="仿宋_GB2312" w:cs="仿宋_GB2312"/>
          <w:lang w:eastAsia="zh-CN"/>
        </w:rPr>
      </w:pPr>
      <w:r>
        <w:rPr>
          <w:rFonts w:ascii="仿宋_GB2312" w:hAnsi="仿宋_GB2312" w:eastAsia="仿宋_GB2312" w:cs="仿宋_GB2312"/>
          <w:kern w:val="36"/>
          <w:lang w:eastAsia="zh-CN"/>
        </w:rPr>
        <w:t>1项目概述</w:t>
      </w:r>
      <w:bookmarkEnd w:id="1"/>
    </w:p>
    <w:p>
      <w:pPr>
        <w:pStyle w:val="3"/>
        <w:keepNext w:val="0"/>
        <w:spacing w:before="0" w:after="0" w:line="540" w:lineRule="exact"/>
        <w:rPr>
          <w:rFonts w:ascii="仿宋_GB2312" w:hAnsi="仿宋_GB2312" w:eastAsia="仿宋_GB2312" w:cs="仿宋_GB2312"/>
          <w:lang w:eastAsia="zh-CN"/>
        </w:rPr>
      </w:pPr>
      <w:bookmarkStart w:id="2" w:name="_Toc195778294"/>
      <w:r>
        <w:rPr>
          <w:rFonts w:ascii="仿宋_GB2312" w:hAnsi="仿宋_GB2312" w:eastAsia="仿宋_GB2312" w:cs="仿宋_GB2312"/>
          <w:i w:val="0"/>
          <w:iCs w:val="0"/>
          <w:lang w:eastAsia="zh-CN"/>
        </w:rPr>
        <w:t>1.1项目背景</w:t>
      </w:r>
      <w:bookmarkEnd w:id="2"/>
    </w:p>
    <w:p>
      <w:pPr>
        <w:pStyle w:val="4"/>
        <w:keepNext w:val="0"/>
        <w:spacing w:before="0" w:after="0" w:line="540" w:lineRule="exact"/>
        <w:rPr>
          <w:rFonts w:ascii="仿宋_GB2312" w:hAnsi="仿宋_GB2312" w:eastAsia="仿宋_GB2312" w:cs="仿宋_GB2312"/>
          <w:sz w:val="28"/>
          <w:szCs w:val="28"/>
          <w:lang w:eastAsia="zh-CN"/>
        </w:rPr>
      </w:pPr>
      <w:bookmarkStart w:id="3" w:name="_Toc195778295"/>
      <w:r>
        <w:rPr>
          <w:rFonts w:ascii="仿宋_GB2312" w:hAnsi="仿宋_GB2312" w:eastAsia="仿宋_GB2312" w:cs="仿宋_GB2312"/>
          <w:sz w:val="28"/>
          <w:szCs w:val="28"/>
          <w:lang w:eastAsia="zh-CN"/>
        </w:rPr>
        <w:t>1.1.1项目目的、意义及背景</w:t>
      </w:r>
      <w:bookmarkEnd w:id="3"/>
    </w:p>
    <w:p>
      <w:pPr>
        <w:pStyle w:val="20"/>
        <w:spacing w:line="540" w:lineRule="exact"/>
        <w:ind w:firstLine="560"/>
        <w:jc w:val="both"/>
        <w:rPr>
          <w:rFonts w:ascii="仿宋_GB2312" w:hAnsi="仿宋" w:eastAsia="仿宋_GB2312"/>
          <w:sz w:val="28"/>
          <w:szCs w:val="28"/>
          <w:lang w:eastAsia="zh-CN"/>
        </w:rPr>
      </w:pPr>
      <w:r>
        <w:rPr>
          <w:rFonts w:hint="eastAsia" w:ascii="仿宋_GB2312" w:hAnsi="仿宋" w:eastAsia="仿宋_GB2312"/>
          <w:sz w:val="28"/>
          <w:szCs w:val="28"/>
          <w:lang w:eastAsia="zh-CN"/>
        </w:rPr>
        <w:t>新疆大数据平台是主要面向特色分析类应用提供服务支撑，是对金税四期的业务补充，在数据归集方面与金四税智撑协同运转，数据加工处理结果上互联互通、共享共用。目前新疆大数据平台基础设施采用“</w:t>
      </w:r>
      <w:r>
        <w:rPr>
          <w:rFonts w:ascii="仿宋_GB2312" w:hAnsi="仿宋" w:eastAsia="仿宋_GB2312"/>
          <w:sz w:val="28"/>
          <w:szCs w:val="28"/>
          <w:lang w:eastAsia="zh-CN"/>
        </w:rPr>
        <w:t>Oracle+Mpp”</w:t>
      </w:r>
      <w:r>
        <w:rPr>
          <w:rFonts w:hint="eastAsia" w:ascii="仿宋_GB2312" w:hAnsi="仿宋" w:eastAsia="仿宋_GB2312"/>
          <w:sz w:val="28"/>
          <w:szCs w:val="28"/>
          <w:lang w:eastAsia="zh-CN"/>
        </w:rPr>
        <w:t>的非云化架构，共有</w:t>
      </w:r>
      <w:r>
        <w:rPr>
          <w:rFonts w:ascii="仿宋_GB2312" w:hAnsi="仿宋" w:eastAsia="仿宋_GB2312"/>
          <w:sz w:val="28"/>
          <w:szCs w:val="28"/>
          <w:lang w:eastAsia="zh-CN"/>
        </w:rPr>
        <w:t>1</w:t>
      </w:r>
      <w:r>
        <w:rPr>
          <w:rFonts w:hint="eastAsia" w:ascii="仿宋_GB2312" w:hAnsi="仿宋" w:eastAsia="仿宋_GB2312"/>
          <w:sz w:val="28"/>
          <w:szCs w:val="28"/>
          <w:lang w:eastAsia="zh-CN"/>
        </w:rPr>
        <w:t>台小型机和1</w:t>
      </w:r>
      <w:r>
        <w:rPr>
          <w:rFonts w:ascii="仿宋_GB2312" w:hAnsi="仿宋" w:eastAsia="仿宋_GB2312"/>
          <w:sz w:val="28"/>
          <w:szCs w:val="28"/>
          <w:lang w:eastAsia="zh-CN"/>
        </w:rPr>
        <w:t>0</w:t>
      </w:r>
      <w:r>
        <w:rPr>
          <w:rFonts w:hint="eastAsia" w:ascii="仿宋_GB2312" w:hAnsi="仿宋" w:eastAsia="仿宋_GB2312"/>
          <w:sz w:val="28"/>
          <w:szCs w:val="28"/>
          <w:lang w:eastAsia="zh-CN"/>
        </w:rPr>
        <w:t>台</w:t>
      </w:r>
      <w:r>
        <w:rPr>
          <w:rFonts w:ascii="仿宋_GB2312" w:hAnsi="仿宋" w:eastAsia="仿宋_GB2312"/>
          <w:sz w:val="28"/>
          <w:szCs w:val="28"/>
          <w:lang w:eastAsia="zh-CN"/>
        </w:rPr>
        <w:t>X86</w:t>
      </w:r>
      <w:r>
        <w:rPr>
          <w:rFonts w:hint="eastAsia" w:ascii="仿宋_GB2312" w:hAnsi="仿宋" w:eastAsia="仿宋_GB2312"/>
          <w:sz w:val="28"/>
          <w:szCs w:val="28"/>
          <w:lang w:eastAsia="zh-CN"/>
        </w:rPr>
        <w:t>服务器，随着数据量日益增长，数据的存储、加工和计算效率不断降低，在使用时常遇到IO性能不足、运行卡顿等状况，无法支撑高时效要求、高算力消耗的数据分析应用场景。</w:t>
      </w:r>
    </w:p>
    <w:p>
      <w:pPr>
        <w:pStyle w:val="3"/>
        <w:keepNext w:val="0"/>
        <w:spacing w:before="0" w:after="0" w:line="540" w:lineRule="exact"/>
        <w:rPr>
          <w:rFonts w:ascii="仿宋_GB2312" w:hAnsi="仿宋_GB2312" w:eastAsia="仿宋_GB2312" w:cs="仿宋_GB2312"/>
          <w:lang w:eastAsia="zh-CN"/>
        </w:rPr>
      </w:pPr>
      <w:bookmarkStart w:id="4" w:name="_Toc195778296"/>
      <w:r>
        <w:rPr>
          <w:rFonts w:ascii="仿宋_GB2312" w:hAnsi="仿宋_GB2312" w:eastAsia="仿宋_GB2312" w:cs="仿宋_GB2312"/>
          <w:i w:val="0"/>
          <w:iCs w:val="0"/>
          <w:lang w:eastAsia="zh-CN"/>
        </w:rPr>
        <w:t>1.2项目内容</w:t>
      </w:r>
      <w:bookmarkEnd w:id="4"/>
    </w:p>
    <w:p>
      <w:pPr>
        <w:pStyle w:val="4"/>
        <w:keepNext w:val="0"/>
        <w:spacing w:before="0" w:after="0" w:line="540" w:lineRule="exact"/>
        <w:rPr>
          <w:rFonts w:ascii="仿宋_GB2312" w:hAnsi="仿宋_GB2312" w:eastAsia="仿宋_GB2312" w:cs="仿宋_GB2312"/>
          <w:sz w:val="28"/>
          <w:szCs w:val="28"/>
          <w:lang w:eastAsia="zh-CN"/>
        </w:rPr>
      </w:pPr>
      <w:bookmarkStart w:id="5" w:name="_Toc195778297"/>
      <w:r>
        <w:rPr>
          <w:rFonts w:ascii="仿宋_GB2312" w:hAnsi="仿宋_GB2312" w:eastAsia="仿宋_GB2312" w:cs="仿宋_GB2312"/>
          <w:sz w:val="28"/>
          <w:szCs w:val="28"/>
          <w:lang w:eastAsia="zh-CN"/>
        </w:rPr>
        <w:t>1.2.1项目建设思路</w:t>
      </w:r>
      <w:bookmarkEnd w:id="5"/>
    </w:p>
    <w:p>
      <w:pPr>
        <w:pStyle w:val="20"/>
        <w:spacing w:line="540" w:lineRule="exact"/>
        <w:ind w:firstLine="560"/>
        <w:rPr>
          <w:rFonts w:ascii="仿宋_GB2312" w:hAnsi="仿宋" w:eastAsia="仿宋_GB2312"/>
          <w:sz w:val="32"/>
          <w:szCs w:val="32"/>
          <w:lang w:eastAsia="zh-CN"/>
        </w:rPr>
      </w:pPr>
      <w:r>
        <w:rPr>
          <w:rFonts w:hint="eastAsia" w:ascii="仿宋_GB2312" w:hAnsi="仿宋" w:eastAsia="仿宋_GB2312"/>
          <w:sz w:val="28"/>
          <w:szCs w:val="28"/>
          <w:lang w:eastAsia="zh-CN"/>
        </w:rPr>
        <w:t>对现有分布式</w:t>
      </w:r>
      <w:r>
        <w:rPr>
          <w:rFonts w:ascii="仿宋_GB2312" w:hAnsi="仿宋" w:eastAsia="仿宋_GB2312"/>
          <w:sz w:val="28"/>
          <w:szCs w:val="28"/>
          <w:lang w:eastAsia="zh-CN"/>
        </w:rPr>
        <w:t>MPP</w:t>
      </w:r>
      <w:r>
        <w:rPr>
          <w:rFonts w:hint="eastAsia" w:ascii="仿宋_GB2312" w:hAnsi="仿宋" w:eastAsia="仿宋_GB2312"/>
          <w:sz w:val="28"/>
          <w:szCs w:val="28"/>
          <w:lang w:eastAsia="zh-CN"/>
        </w:rPr>
        <w:t>数据库的扩容优化方案如下：优先将核心节点的存储介质升级为</w:t>
      </w:r>
      <w:r>
        <w:rPr>
          <w:rFonts w:ascii="仿宋_GB2312" w:hAnsi="仿宋" w:eastAsia="仿宋_GB2312"/>
          <w:sz w:val="28"/>
          <w:szCs w:val="28"/>
          <w:lang w:eastAsia="zh-CN"/>
        </w:rPr>
        <w:t xml:space="preserve"> NVMe SSD</w:t>
      </w:r>
      <w:r>
        <w:rPr>
          <w:rFonts w:hint="eastAsia" w:ascii="仿宋_GB2312" w:hAnsi="仿宋" w:eastAsia="仿宋_GB2312"/>
          <w:sz w:val="28"/>
          <w:szCs w:val="28"/>
          <w:lang w:eastAsia="zh-CN"/>
        </w:rPr>
        <w:t>，显著提升</w:t>
      </w:r>
      <w:r>
        <w:rPr>
          <w:rFonts w:ascii="仿宋_GB2312" w:hAnsi="仿宋" w:eastAsia="仿宋_GB2312"/>
          <w:sz w:val="28"/>
          <w:szCs w:val="28"/>
          <w:lang w:eastAsia="zh-CN"/>
        </w:rPr>
        <w:t>IO</w:t>
      </w:r>
      <w:r>
        <w:rPr>
          <w:rFonts w:hint="eastAsia" w:ascii="仿宋_GB2312" w:hAnsi="仿宋" w:eastAsia="仿宋_GB2312"/>
          <w:sz w:val="28"/>
          <w:szCs w:val="28"/>
          <w:lang w:eastAsia="zh-CN"/>
        </w:rPr>
        <w:t>吞吐；通过横向扩展计算</w:t>
      </w:r>
      <w:r>
        <w:rPr>
          <w:rFonts w:ascii="仿宋_GB2312" w:hAnsi="仿宋" w:eastAsia="仿宋_GB2312"/>
          <w:sz w:val="28"/>
          <w:szCs w:val="28"/>
          <w:lang w:eastAsia="zh-CN"/>
        </w:rPr>
        <w:t>/</w:t>
      </w:r>
      <w:r>
        <w:rPr>
          <w:rFonts w:hint="eastAsia" w:ascii="仿宋_GB2312" w:hAnsi="仿宋" w:eastAsia="仿宋_GB2312"/>
          <w:sz w:val="28"/>
          <w:szCs w:val="28"/>
          <w:lang w:eastAsia="zh-CN"/>
        </w:rPr>
        <w:t>存储节点，并采用智能分片策略均衡数据分布，分散负载；同步升级节点间网络至万兆或更高速，减少数据并行传输延迟；优化缓存机制扩大内存缓存比例并引入列式存储格式，降低磁盘</w:t>
      </w:r>
      <w:r>
        <w:rPr>
          <w:rFonts w:ascii="仿宋_GB2312" w:hAnsi="仿宋" w:eastAsia="仿宋_GB2312"/>
          <w:sz w:val="28"/>
          <w:szCs w:val="28"/>
          <w:lang w:eastAsia="zh-CN"/>
        </w:rPr>
        <w:t>IO</w:t>
      </w:r>
      <w:r>
        <w:rPr>
          <w:rFonts w:hint="eastAsia" w:ascii="仿宋_GB2312" w:hAnsi="仿宋" w:eastAsia="仿宋_GB2312"/>
          <w:sz w:val="28"/>
          <w:szCs w:val="28"/>
          <w:lang w:eastAsia="zh-CN"/>
        </w:rPr>
        <w:t>压力；最后通过监控工具持续分析热点并动态调整资源分配。利旧增加一批服务器节点，并采购闪盘增加每台机器的IO性能，采购一批内存加大缓存，提高分布式数据库的整体性能。</w:t>
      </w:r>
    </w:p>
    <w:p>
      <w:pPr>
        <w:pStyle w:val="4"/>
        <w:keepNext w:val="0"/>
        <w:spacing w:before="0" w:after="0" w:line="540" w:lineRule="exact"/>
        <w:rPr>
          <w:rFonts w:ascii="仿宋_GB2312" w:hAnsi="仿宋_GB2312" w:eastAsia="仿宋_GB2312" w:cs="仿宋_GB2312"/>
          <w:sz w:val="28"/>
          <w:szCs w:val="28"/>
          <w:lang w:eastAsia="zh-CN"/>
        </w:rPr>
      </w:pPr>
      <w:bookmarkStart w:id="6" w:name="_Toc195778298"/>
      <w:r>
        <w:rPr>
          <w:rFonts w:ascii="仿宋_GB2312" w:hAnsi="仿宋_GB2312" w:eastAsia="仿宋_GB2312" w:cs="仿宋_GB2312"/>
          <w:sz w:val="28"/>
          <w:szCs w:val="28"/>
          <w:lang w:eastAsia="zh-CN"/>
        </w:rPr>
        <w:t>1.2.2采购内容</w:t>
      </w:r>
      <w:bookmarkEnd w:id="6"/>
    </w:p>
    <w:p>
      <w:pPr>
        <w:pStyle w:val="20"/>
        <w:spacing w:line="540" w:lineRule="exact"/>
        <w:ind w:firstLine="560"/>
        <w:rPr>
          <w:rFonts w:hint="default" w:ascii="仿宋_GB2312" w:hAnsi="仿宋" w:eastAsia="仿宋_GB2312"/>
          <w:sz w:val="28"/>
          <w:szCs w:val="28"/>
          <w:lang w:val="en-US" w:eastAsia="zh-CN"/>
        </w:rPr>
      </w:pPr>
      <w:r>
        <w:rPr>
          <w:rFonts w:hint="eastAsia" w:ascii="仿宋_GB2312" w:hAnsi="仿宋" w:eastAsia="仿宋_GB2312"/>
          <w:sz w:val="28"/>
          <w:szCs w:val="28"/>
          <w:lang w:eastAsia="zh-CN"/>
        </w:rPr>
        <w:t>扩容内存：14台服务器内存，由现在的512G扩充到1T；扩容闪盘：20台服务器，每台服务器新增4块7.68T的闪盘。</w:t>
      </w:r>
      <w:r>
        <w:rPr>
          <w:rFonts w:hint="eastAsia" w:ascii="仿宋_GB2312" w:hAnsi="仿宋" w:eastAsia="仿宋_GB2312"/>
          <w:sz w:val="28"/>
          <w:szCs w:val="28"/>
          <w:lang w:val="en-US" w:eastAsia="zh-CN"/>
        </w:rPr>
        <w:t>本项目预算为78万元。</w:t>
      </w:r>
    </w:p>
    <w:p>
      <w:pPr>
        <w:pStyle w:val="4"/>
        <w:keepNext w:val="0"/>
        <w:spacing w:before="0" w:after="0" w:line="540" w:lineRule="exact"/>
        <w:rPr>
          <w:rFonts w:ascii="仿宋_GB2312" w:hAnsi="仿宋_GB2312" w:eastAsia="仿宋_GB2312" w:cs="仿宋_GB2312"/>
          <w:sz w:val="28"/>
          <w:szCs w:val="28"/>
          <w:lang w:eastAsia="zh-CN"/>
        </w:rPr>
      </w:pPr>
      <w:bookmarkStart w:id="7" w:name="_Toc195778299"/>
      <w:r>
        <w:rPr>
          <w:rFonts w:ascii="仿宋_GB2312" w:hAnsi="仿宋_GB2312" w:eastAsia="仿宋_GB2312" w:cs="仿宋_GB2312"/>
          <w:sz w:val="28"/>
          <w:szCs w:val="28"/>
          <w:lang w:eastAsia="zh-CN"/>
        </w:rPr>
        <w:t>1.2.3项目实施要求</w:t>
      </w:r>
      <w:bookmarkEnd w:id="7"/>
    </w:p>
    <w:p>
      <w:pPr>
        <w:pStyle w:val="5"/>
        <w:keepNext w:val="0"/>
        <w:spacing w:before="0" w:after="0" w:line="540" w:lineRule="exact"/>
        <w:rPr>
          <w:rFonts w:ascii="仿宋_GB2312" w:hAnsi="仿宋_GB2312" w:eastAsia="仿宋_GB2312" w:cs="仿宋_GB2312"/>
          <w:lang w:eastAsia="zh-CN"/>
        </w:rPr>
      </w:pPr>
      <w:r>
        <w:rPr>
          <w:rFonts w:ascii="仿宋_GB2312" w:hAnsi="仿宋_GB2312" w:eastAsia="仿宋_GB2312" w:cs="仿宋_GB2312"/>
          <w:lang w:eastAsia="zh-CN"/>
        </w:rPr>
        <w:t>1.2.3.1实施范围要求</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国家税务总局新疆维吾尔自治区税务局机房。</w:t>
      </w:r>
    </w:p>
    <w:p>
      <w:pPr>
        <w:pStyle w:val="5"/>
        <w:keepNext w:val="0"/>
        <w:spacing w:before="0" w:after="0" w:line="540" w:lineRule="exact"/>
        <w:rPr>
          <w:rFonts w:ascii="仿宋_GB2312" w:hAnsi="仿宋_GB2312" w:eastAsia="仿宋_GB2312" w:cs="仿宋_GB2312"/>
          <w:lang w:eastAsia="zh-CN"/>
        </w:rPr>
      </w:pPr>
      <w:r>
        <w:rPr>
          <w:rFonts w:ascii="仿宋_GB2312" w:hAnsi="仿宋_GB2312" w:eastAsia="仿宋_GB2312" w:cs="仿宋_GB2312"/>
          <w:lang w:eastAsia="zh-CN"/>
        </w:rPr>
        <w:t>1.2.3.2实施时间要求</w:t>
      </w:r>
    </w:p>
    <w:p>
      <w:pPr>
        <w:spacing w:line="540" w:lineRule="exact"/>
        <w:ind w:firstLine="560" w:firstLineChars="2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rPr>
        <w:t>2025年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月至10月。</w:t>
      </w:r>
    </w:p>
    <w:p>
      <w:pPr>
        <w:pStyle w:val="5"/>
        <w:keepNext w:val="0"/>
        <w:spacing w:before="0" w:after="0" w:line="540" w:lineRule="exact"/>
        <w:rPr>
          <w:rFonts w:ascii="仿宋_GB2312" w:hAnsi="仿宋_GB2312" w:eastAsia="仿宋_GB2312" w:cs="仿宋_GB2312"/>
          <w:lang w:eastAsia="zh-CN"/>
        </w:rPr>
      </w:pPr>
      <w:r>
        <w:rPr>
          <w:rFonts w:ascii="仿宋_GB2312" w:hAnsi="仿宋_GB2312" w:eastAsia="仿宋_GB2312" w:cs="仿宋_GB2312"/>
          <w:lang w:eastAsia="zh-CN"/>
        </w:rPr>
        <w:t>1.2.3.3实施地点要求</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国家税务总局新疆维吾尔自治区税务局指定位置。</w:t>
      </w:r>
    </w:p>
    <w:p>
      <w:pPr>
        <w:pStyle w:val="4"/>
        <w:keepNext w:val="0"/>
        <w:spacing w:before="0" w:after="0" w:line="540" w:lineRule="exact"/>
        <w:rPr>
          <w:rFonts w:ascii="仿宋_GB2312" w:hAnsi="仿宋_GB2312" w:eastAsia="仿宋_GB2312" w:cs="仿宋_GB2312"/>
          <w:lang w:eastAsia="zh-CN"/>
        </w:rPr>
      </w:pPr>
      <w:bookmarkStart w:id="8" w:name="_Toc195778300"/>
      <w:r>
        <w:rPr>
          <w:rFonts w:ascii="仿宋_GB2312" w:hAnsi="仿宋_GB2312" w:eastAsia="仿宋_GB2312" w:cs="仿宋_GB2312"/>
          <w:lang w:eastAsia="zh-CN"/>
        </w:rPr>
        <w:t>1.3其他要求</w:t>
      </w:r>
      <w:bookmarkEnd w:id="8"/>
    </w:p>
    <w:p>
      <w:pPr>
        <w:pStyle w:val="4"/>
        <w:keepNext w:val="0"/>
        <w:spacing w:before="0" w:after="0" w:line="540" w:lineRule="exact"/>
        <w:rPr>
          <w:rFonts w:ascii="仿宋_GB2312" w:hAnsi="仿宋_GB2312" w:eastAsia="仿宋_GB2312" w:cs="仿宋_GB2312"/>
          <w:sz w:val="28"/>
          <w:szCs w:val="28"/>
          <w:lang w:eastAsia="zh-CN"/>
        </w:rPr>
      </w:pPr>
      <w:bookmarkStart w:id="9" w:name="_Toc195778301"/>
      <w:r>
        <w:rPr>
          <w:rFonts w:ascii="仿宋_GB2312" w:hAnsi="仿宋_GB2312" w:eastAsia="仿宋_GB2312" w:cs="仿宋_GB2312"/>
          <w:sz w:val="28"/>
          <w:szCs w:val="28"/>
          <w:lang w:eastAsia="zh-CN"/>
        </w:rPr>
        <w:t>1.3.1采购标的需执行的相关标准规范</w:t>
      </w:r>
      <w:bookmarkEnd w:id="9"/>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2"/>
        <w:keepNext w:val="0"/>
        <w:spacing w:before="0" w:after="0" w:line="540" w:lineRule="exact"/>
        <w:jc w:val="center"/>
        <w:rPr>
          <w:rFonts w:ascii="仿宋_GB2312" w:hAnsi="仿宋_GB2312" w:eastAsia="仿宋_GB2312" w:cs="仿宋_GB2312"/>
          <w:lang w:eastAsia="zh-CN"/>
        </w:rPr>
      </w:pPr>
      <w:bookmarkStart w:id="10" w:name="_Toc195778302"/>
      <w:r>
        <w:rPr>
          <w:rFonts w:ascii="仿宋_GB2312" w:hAnsi="仿宋_GB2312" w:eastAsia="仿宋_GB2312" w:cs="仿宋_GB2312"/>
          <w:kern w:val="36"/>
          <w:lang w:eastAsia="zh-CN"/>
        </w:rPr>
        <w:t>2投标/响应要求</w:t>
      </w:r>
      <w:bookmarkEnd w:id="10"/>
    </w:p>
    <w:p>
      <w:pPr>
        <w:pStyle w:val="3"/>
        <w:keepNext w:val="0"/>
        <w:spacing w:before="0" w:after="0" w:line="540" w:lineRule="exact"/>
        <w:rPr>
          <w:rFonts w:ascii="仿宋_GB2312" w:hAnsi="仿宋_GB2312" w:eastAsia="仿宋_GB2312" w:cs="仿宋_GB2312"/>
          <w:lang w:eastAsia="zh-CN"/>
        </w:rPr>
      </w:pPr>
      <w:bookmarkStart w:id="11" w:name="_Toc195778303"/>
      <w:r>
        <w:rPr>
          <w:rFonts w:ascii="仿宋_GB2312" w:hAnsi="仿宋_GB2312" w:eastAsia="仿宋_GB2312" w:cs="仿宋_GB2312"/>
          <w:i w:val="0"/>
          <w:iCs w:val="0"/>
          <w:lang w:eastAsia="zh-CN"/>
        </w:rPr>
        <w:t>2.1对供应商的要求</w:t>
      </w:r>
      <w:bookmarkEnd w:id="11"/>
    </w:p>
    <w:p>
      <w:pPr>
        <w:pStyle w:val="4"/>
        <w:keepNext w:val="0"/>
        <w:spacing w:before="0" w:after="0" w:line="540" w:lineRule="exact"/>
        <w:rPr>
          <w:rFonts w:ascii="仿宋_GB2312" w:hAnsi="仿宋_GB2312" w:eastAsia="仿宋_GB2312" w:cs="仿宋_GB2312"/>
          <w:sz w:val="28"/>
          <w:szCs w:val="28"/>
          <w:lang w:eastAsia="zh-CN"/>
        </w:rPr>
      </w:pPr>
      <w:bookmarkStart w:id="12" w:name="_Toc195778304"/>
      <w:r>
        <w:rPr>
          <w:rFonts w:ascii="仿宋_GB2312" w:hAnsi="仿宋_GB2312" w:eastAsia="仿宋_GB2312" w:cs="仿宋_GB2312"/>
          <w:sz w:val="28"/>
          <w:szCs w:val="28"/>
          <w:lang w:eastAsia="zh-CN"/>
        </w:rPr>
        <w:t>2.1.1必备资质</w:t>
      </w:r>
      <w:bookmarkEnd w:id="12"/>
    </w:p>
    <w:p>
      <w:pPr>
        <w:pStyle w:val="5"/>
        <w:keepNext w:val="0"/>
        <w:spacing w:before="0" w:after="0" w:line="540" w:lineRule="exact"/>
        <w:rPr>
          <w:rFonts w:ascii="仿宋_GB2312" w:hAnsi="仿宋_GB2312" w:eastAsia="仿宋_GB2312" w:cs="仿宋_GB2312"/>
          <w:lang w:eastAsia="zh-CN"/>
        </w:rPr>
      </w:pPr>
      <w:r>
        <w:rPr>
          <w:rFonts w:ascii="仿宋_GB2312" w:hAnsi="仿宋_GB2312" w:eastAsia="仿宋_GB2312" w:cs="仿宋_GB2312"/>
          <w:lang w:eastAsia="zh-CN"/>
        </w:rPr>
        <w:t>2.1.1.1投标人应遵守有关国家法律、法规和条例,具备《中华人民共和国政府采购法》第二十二条的规定和本文件中规定的条件。</w:t>
      </w:r>
    </w:p>
    <w:p>
      <w:pPr>
        <w:pStyle w:val="5"/>
        <w:keepNext w:val="0"/>
        <w:spacing w:before="0" w:after="0" w:line="540" w:lineRule="exact"/>
        <w:rPr>
          <w:rFonts w:ascii="仿宋_GB2312" w:hAnsi="仿宋_GB2312" w:eastAsia="仿宋_GB2312" w:cs="仿宋_GB2312"/>
          <w:lang w:eastAsia="zh-CN"/>
        </w:rPr>
      </w:pPr>
      <w:r>
        <w:rPr>
          <w:rFonts w:ascii="仿宋_GB2312" w:hAnsi="仿宋_GB2312" w:eastAsia="仿宋_GB2312" w:cs="仿宋_GB2312"/>
          <w:lang w:eastAsia="zh-CN"/>
        </w:rPr>
        <w:t>2.1.1.2本项目的特定资格要求</w:t>
      </w:r>
    </w:p>
    <w:p>
      <w:pPr>
        <w:spacing w:line="540" w:lineRule="exact"/>
        <w:ind w:firstLine="561"/>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4"/>
        <w:keepNext w:val="0"/>
        <w:spacing w:before="0" w:after="0" w:line="540" w:lineRule="exact"/>
        <w:rPr>
          <w:rFonts w:ascii="仿宋_GB2312" w:hAnsi="仿宋_GB2312" w:eastAsia="仿宋_GB2312" w:cs="仿宋_GB2312"/>
          <w:color w:val="FF0000"/>
          <w:sz w:val="28"/>
          <w:szCs w:val="28"/>
          <w:lang w:eastAsia="zh-CN"/>
        </w:rPr>
      </w:pPr>
      <w:bookmarkStart w:id="13" w:name="_Toc195778305"/>
      <w:r>
        <w:rPr>
          <w:rFonts w:ascii="仿宋_GB2312" w:hAnsi="仿宋_GB2312" w:eastAsia="仿宋_GB2312" w:cs="仿宋_GB2312"/>
          <w:sz w:val="28"/>
          <w:szCs w:val="28"/>
          <w:lang w:eastAsia="zh-CN"/>
        </w:rPr>
        <w:t>2.1.2优选资质/优选指标</w:t>
      </w:r>
      <w:bookmarkEnd w:id="13"/>
    </w:p>
    <w:p>
      <w:pPr>
        <w:pStyle w:val="5"/>
        <w:keepNext w:val="0"/>
        <w:spacing w:before="0" w:after="0" w:line="540" w:lineRule="exact"/>
        <w:rPr>
          <w:rFonts w:ascii="仿宋_GB2312" w:hAnsi="仿宋_GB2312" w:eastAsia="仿宋_GB2312" w:cs="仿宋_GB2312"/>
          <w:lang w:eastAsia="zh-CN"/>
        </w:rPr>
      </w:pPr>
      <w:r>
        <w:rPr>
          <w:rFonts w:ascii="仿宋_GB2312" w:hAnsi="仿宋_GB2312" w:eastAsia="仿宋_GB2312" w:cs="仿宋_GB2312"/>
          <w:lang w:eastAsia="zh-CN"/>
        </w:rPr>
        <w:t>2.1.2.1相关证书</w:t>
      </w:r>
    </w:p>
    <w:tbl>
      <w:tblPr>
        <w:tblStyle w:val="14"/>
        <w:tblW w:w="5000" w:type="pct"/>
        <w:tblInd w:w="30" w:type="dxa"/>
        <w:shd w:val="clear" w:color="auto" w:fill="auto"/>
        <w:tblLayout w:type="autofit"/>
        <w:tblCellMar>
          <w:top w:w="15" w:type="dxa"/>
          <w:left w:w="15" w:type="dxa"/>
          <w:bottom w:w="15" w:type="dxa"/>
          <w:right w:w="15" w:type="dxa"/>
        </w:tblCellMar>
      </w:tblPr>
      <w:tblGrid>
        <w:gridCol w:w="1296"/>
        <w:gridCol w:w="2591"/>
        <w:gridCol w:w="2591"/>
        <w:gridCol w:w="2592"/>
      </w:tblGrid>
      <w:tr>
        <w:tblPrEx>
          <w:shd w:val="clear" w:color="auto" w:fill="auto"/>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证书名称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颁发部门</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相关要求</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无</w:t>
            </w:r>
          </w:p>
        </w:tc>
      </w:tr>
    </w:tbl>
    <w:p>
      <w:pPr>
        <w:pStyle w:val="5"/>
        <w:keepNext w:val="0"/>
        <w:spacing w:before="0" w:after="0" w:line="540" w:lineRule="exact"/>
        <w:rPr>
          <w:rFonts w:ascii="仿宋_GB2312" w:hAnsi="仿宋_GB2312" w:eastAsia="仿宋_GB2312" w:cs="仿宋_GB2312"/>
        </w:rPr>
      </w:pPr>
      <w:r>
        <w:rPr>
          <w:rFonts w:ascii="仿宋_GB2312" w:hAnsi="仿宋_GB2312" w:eastAsia="仿宋_GB2312" w:cs="仿宋_GB2312"/>
        </w:rPr>
        <w:t>2.1.2.2成功案例</w:t>
      </w:r>
    </w:p>
    <w:p>
      <w:pPr>
        <w:spacing w:line="540" w:lineRule="exact"/>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无。</w:t>
      </w:r>
    </w:p>
    <w:p>
      <w:pPr>
        <w:pStyle w:val="4"/>
        <w:keepNext w:val="0"/>
        <w:spacing w:before="0" w:after="0" w:line="540" w:lineRule="exact"/>
        <w:rPr>
          <w:rFonts w:ascii="仿宋_GB2312" w:hAnsi="仿宋_GB2312" w:eastAsia="仿宋_GB2312" w:cs="仿宋_GB2312"/>
          <w:sz w:val="28"/>
          <w:szCs w:val="28"/>
        </w:rPr>
      </w:pPr>
      <w:bookmarkStart w:id="14" w:name="_Toc195778306"/>
      <w:r>
        <w:rPr>
          <w:rFonts w:ascii="仿宋_GB2312" w:hAnsi="仿宋_GB2312" w:eastAsia="仿宋_GB2312" w:cs="仿宋_GB2312"/>
          <w:sz w:val="28"/>
          <w:szCs w:val="28"/>
        </w:rPr>
        <w:t>2.1.3是否允许联合体</w:t>
      </w:r>
      <w:bookmarkEnd w:id="14"/>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rPr>
        <w:t>否</w:t>
      </w:r>
      <w:r>
        <w:rPr>
          <w:rFonts w:hint="eastAsia" w:ascii="仿宋_GB2312" w:hAnsi="仿宋_GB2312" w:eastAsia="仿宋_GB2312" w:cs="仿宋_GB2312"/>
          <w:sz w:val="28"/>
          <w:szCs w:val="28"/>
          <w:lang w:eastAsia="zh-CN"/>
        </w:rPr>
        <w:t>。</w:t>
      </w:r>
    </w:p>
    <w:p>
      <w:pPr>
        <w:pStyle w:val="4"/>
        <w:keepNext w:val="0"/>
        <w:spacing w:before="0" w:after="0" w:line="540" w:lineRule="exact"/>
        <w:rPr>
          <w:rFonts w:ascii="仿宋_GB2312" w:hAnsi="仿宋_GB2312" w:eastAsia="仿宋_GB2312" w:cs="仿宋_GB2312"/>
          <w:sz w:val="28"/>
          <w:szCs w:val="28"/>
          <w:lang w:eastAsia="zh-CN"/>
        </w:rPr>
      </w:pPr>
      <w:bookmarkStart w:id="15" w:name="_Toc195778307"/>
      <w:r>
        <w:rPr>
          <w:rFonts w:ascii="仿宋_GB2312" w:hAnsi="仿宋_GB2312" w:eastAsia="仿宋_GB2312" w:cs="仿宋_GB2312"/>
          <w:sz w:val="28"/>
          <w:szCs w:val="28"/>
        </w:rPr>
        <w:t>2.1.4是否专门面向中小企业</w:t>
      </w:r>
      <w:bookmarkEnd w:id="15"/>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本项目专门面向中小企业采购项目</w:t>
      </w:r>
      <w:r>
        <w:rPr>
          <w:rFonts w:hint="eastAsia" w:ascii="仿宋_GB2312" w:hAnsi="仿宋_GB2312" w:eastAsia="仿宋_GB2312" w:cs="仿宋_GB2312"/>
          <w:sz w:val="28"/>
          <w:szCs w:val="28"/>
          <w:lang w:eastAsia="zh-CN"/>
        </w:rPr>
        <w:t>。</w:t>
      </w:r>
    </w:p>
    <w:p>
      <w:pPr>
        <w:pStyle w:val="4"/>
        <w:keepNext w:val="0"/>
        <w:spacing w:before="0" w:after="0" w:line="540" w:lineRule="exact"/>
        <w:rPr>
          <w:rFonts w:ascii="仿宋_GB2312" w:hAnsi="仿宋_GB2312" w:eastAsia="仿宋_GB2312" w:cs="仿宋_GB2312"/>
          <w:sz w:val="28"/>
          <w:szCs w:val="28"/>
          <w:lang w:eastAsia="zh-CN"/>
        </w:rPr>
      </w:pPr>
      <w:bookmarkStart w:id="16" w:name="_Toc195778308"/>
      <w:r>
        <w:rPr>
          <w:rFonts w:ascii="仿宋_GB2312" w:hAnsi="仿宋_GB2312" w:eastAsia="仿宋_GB2312" w:cs="仿宋_GB2312"/>
          <w:sz w:val="28"/>
          <w:szCs w:val="28"/>
          <w:lang w:eastAsia="zh-CN"/>
        </w:rPr>
        <w:t>2.1.5其他要求</w:t>
      </w:r>
      <w:bookmarkEnd w:id="16"/>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3"/>
        <w:keepNext w:val="0"/>
        <w:spacing w:before="0" w:after="0" w:line="540" w:lineRule="exact"/>
        <w:rPr>
          <w:rFonts w:ascii="仿宋_GB2312" w:hAnsi="仿宋_GB2312" w:eastAsia="仿宋_GB2312" w:cs="仿宋_GB2312"/>
          <w:lang w:eastAsia="zh-CN"/>
        </w:rPr>
      </w:pPr>
      <w:bookmarkStart w:id="17" w:name="_Toc195778309"/>
      <w:r>
        <w:rPr>
          <w:rFonts w:ascii="仿宋_GB2312" w:hAnsi="仿宋_GB2312" w:eastAsia="仿宋_GB2312" w:cs="仿宋_GB2312"/>
          <w:i w:val="0"/>
          <w:iCs w:val="0"/>
          <w:lang w:eastAsia="zh-CN"/>
        </w:rPr>
        <w:t>2.2技术部分投标/响应内容</w:t>
      </w:r>
      <w:bookmarkEnd w:id="17"/>
    </w:p>
    <w:p>
      <w:pPr>
        <w:pStyle w:val="4"/>
        <w:keepNext w:val="0"/>
        <w:spacing w:before="0" w:after="0" w:line="540" w:lineRule="exact"/>
        <w:rPr>
          <w:rFonts w:ascii="仿宋_GB2312" w:hAnsi="仿宋_GB2312" w:eastAsia="仿宋_GB2312" w:cs="仿宋_GB2312"/>
          <w:sz w:val="28"/>
          <w:szCs w:val="28"/>
          <w:lang w:eastAsia="zh-CN"/>
        </w:rPr>
      </w:pPr>
      <w:bookmarkStart w:id="18" w:name="_Toc195778310"/>
      <w:r>
        <w:rPr>
          <w:rFonts w:ascii="仿宋_GB2312" w:hAnsi="仿宋_GB2312" w:eastAsia="仿宋_GB2312" w:cs="仿宋_GB2312"/>
          <w:sz w:val="28"/>
          <w:szCs w:val="28"/>
          <w:lang w:eastAsia="zh-CN"/>
        </w:rPr>
        <w:t>2.2.1技术投标/响应总要求</w:t>
      </w:r>
      <w:bookmarkEnd w:id="18"/>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4"/>
        <w:keepNext w:val="0"/>
        <w:spacing w:before="0" w:after="0" w:line="540" w:lineRule="exact"/>
        <w:rPr>
          <w:rFonts w:ascii="仿宋_GB2312" w:hAnsi="仿宋_GB2312" w:eastAsia="仿宋_GB2312" w:cs="仿宋_GB2312"/>
          <w:sz w:val="28"/>
          <w:szCs w:val="28"/>
          <w:lang w:eastAsia="zh-CN"/>
        </w:rPr>
      </w:pPr>
      <w:bookmarkStart w:id="19" w:name="_Toc195778311"/>
      <w:r>
        <w:rPr>
          <w:rFonts w:ascii="仿宋_GB2312" w:hAnsi="仿宋_GB2312" w:eastAsia="仿宋_GB2312" w:cs="仿宋_GB2312"/>
          <w:sz w:val="28"/>
          <w:szCs w:val="28"/>
          <w:lang w:eastAsia="zh-CN"/>
        </w:rPr>
        <w:t>2.2.2投标/响应方案要求</w:t>
      </w:r>
      <w:bookmarkEnd w:id="19"/>
    </w:p>
    <w:p>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以下相关方案，若作为评审因素，则投标人应在满足★关键指标项要求的前提下，根据项目特点和采购需求，制定更为完整、详细、可操作性强的方案。</w:t>
      </w:r>
    </w:p>
    <w:p>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eastAsia="zh-CN"/>
        </w:rPr>
        <w:t>2</w:t>
      </w:r>
      <w:r>
        <w:rPr>
          <w:rFonts w:ascii="仿宋_GB2312" w:hAnsi="仿宋_GB2312" w:eastAsia="仿宋_GB2312" w:cs="仿宋_GB2312"/>
          <w:b/>
          <w:bCs/>
          <w:sz w:val="28"/>
          <w:szCs w:val="28"/>
          <w:highlight w:val="none"/>
          <w:lang w:eastAsia="zh-CN"/>
        </w:rPr>
        <w:t xml:space="preserve">.2.2.1 </w:t>
      </w:r>
      <w:r>
        <w:rPr>
          <w:rFonts w:hint="eastAsia" w:ascii="仿宋_GB2312" w:hAnsi="仿宋_GB2312" w:eastAsia="仿宋_GB2312" w:cs="仿宋_GB2312"/>
          <w:b/>
          <w:bCs/>
          <w:sz w:val="28"/>
          <w:szCs w:val="28"/>
          <w:highlight w:val="none"/>
          <w:lang w:eastAsia="zh-CN"/>
        </w:rPr>
        <w:t>项目需求理解</w:t>
      </w:r>
    </w:p>
    <w:p>
      <w:pPr>
        <w:pStyle w:val="2"/>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ascii="仿宋_GB2312" w:hAnsi="仿宋_GB2312" w:eastAsia="仿宋_GB2312" w:cs="仿宋_GB2312"/>
          <w:b w:val="0"/>
          <w:bCs w:val="0"/>
          <w:kern w:val="0"/>
          <w:sz w:val="28"/>
          <w:szCs w:val="28"/>
          <w:highlight w:val="none"/>
          <w:lang w:eastAsia="zh-CN"/>
        </w:rPr>
      </w:pPr>
      <w:bookmarkStart w:id="20" w:name="_Toc5109"/>
      <w:r>
        <w:rPr>
          <w:rFonts w:hint="eastAsia" w:ascii="仿宋_GB2312" w:hAnsi="仿宋_GB2312" w:eastAsia="仿宋_GB2312" w:cs="仿宋_GB2312"/>
          <w:b w:val="0"/>
          <w:bCs w:val="0"/>
          <w:kern w:val="0"/>
          <w:sz w:val="28"/>
          <w:szCs w:val="28"/>
          <w:highlight w:val="none"/>
          <w:lang w:eastAsia="zh-CN"/>
        </w:rPr>
        <w:t>供应商须提供针对本项目的采购需求理解方案，方案内容要求包括但不限于服务的背景、服务系统等方面的理解。</w:t>
      </w:r>
      <w:bookmarkEnd w:id="20"/>
    </w:p>
    <w:p>
      <w:pPr>
        <w:pStyle w:val="2"/>
        <w:keepNext w:val="0"/>
        <w:keepLines w:val="0"/>
        <w:pageBreakBefore w:val="0"/>
        <w:widowControl/>
        <w:kinsoku/>
        <w:wordWrap/>
        <w:overflowPunct/>
        <w:topLinePunct w:val="0"/>
        <w:autoSpaceDE/>
        <w:autoSpaceDN/>
        <w:bidi w:val="0"/>
        <w:adjustRightInd/>
        <w:snapToGrid/>
        <w:spacing w:before="0" w:after="0" w:line="540" w:lineRule="exact"/>
        <w:ind w:firstLine="562" w:firstLineChars="200"/>
        <w:jc w:val="both"/>
        <w:textAlignment w:val="auto"/>
        <w:rPr>
          <w:rFonts w:hint="default" w:ascii="仿宋_GB2312" w:hAnsi="仿宋_GB2312" w:eastAsia="仿宋_GB2312" w:cs="仿宋_GB2312"/>
          <w:kern w:val="0"/>
          <w:sz w:val="28"/>
          <w:szCs w:val="28"/>
          <w:highlight w:val="none"/>
          <w:lang w:val="en-US" w:eastAsia="zh-CN"/>
        </w:rPr>
      </w:pPr>
      <w:bookmarkStart w:id="21" w:name="_Toc13835"/>
      <w:r>
        <w:rPr>
          <w:rFonts w:hint="eastAsia" w:ascii="仿宋_GB2312" w:hAnsi="仿宋_GB2312" w:eastAsia="仿宋_GB2312" w:cs="仿宋_GB2312"/>
          <w:kern w:val="0"/>
          <w:sz w:val="28"/>
          <w:szCs w:val="28"/>
          <w:highlight w:val="none"/>
          <w:lang w:val="en-US" w:eastAsia="zh-CN"/>
        </w:rPr>
        <w:t>2.2.2.2 实施方案</w:t>
      </w:r>
    </w:p>
    <w:p>
      <w:pPr>
        <w:pStyle w:val="2"/>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hint="eastAsia" w:ascii="仿宋_GB2312" w:hAnsi="仿宋_GB2312" w:eastAsia="仿宋_GB2312" w:cs="仿宋_GB2312"/>
          <w:b w:val="0"/>
          <w:bCs w:val="0"/>
          <w:kern w:val="0"/>
          <w:sz w:val="28"/>
          <w:szCs w:val="28"/>
          <w:highlight w:val="none"/>
          <w:lang w:eastAsia="zh-CN"/>
        </w:rPr>
      </w:pPr>
      <w:r>
        <w:rPr>
          <w:rFonts w:hint="eastAsia" w:ascii="仿宋_GB2312" w:hAnsi="仿宋_GB2312" w:eastAsia="仿宋_GB2312" w:cs="仿宋_GB2312"/>
          <w:b w:val="0"/>
          <w:bCs w:val="0"/>
          <w:kern w:val="0"/>
          <w:sz w:val="28"/>
          <w:szCs w:val="28"/>
          <w:highlight w:val="none"/>
          <w:lang w:eastAsia="zh-CN"/>
        </w:rPr>
        <w:t>供应商须提供针对本项目的实施方案，包括但不限于安装、部署、调试等内容。</w:t>
      </w:r>
    </w:p>
    <w:p>
      <w:pPr>
        <w:pStyle w:val="2"/>
        <w:keepNext w:val="0"/>
        <w:keepLines w:val="0"/>
        <w:pageBreakBefore w:val="0"/>
        <w:widowControl/>
        <w:kinsoku/>
        <w:wordWrap/>
        <w:overflowPunct/>
        <w:topLinePunct w:val="0"/>
        <w:autoSpaceDE/>
        <w:autoSpaceDN/>
        <w:bidi w:val="0"/>
        <w:adjustRightInd/>
        <w:snapToGrid/>
        <w:spacing w:before="0" w:after="0" w:line="540" w:lineRule="exact"/>
        <w:ind w:firstLine="562" w:firstLineChars="200"/>
        <w:jc w:val="both"/>
        <w:textAlignment w:val="auto"/>
        <w:rPr>
          <w:rFonts w:ascii="仿宋_GB2312" w:hAnsi="仿宋_GB2312" w:eastAsia="仿宋_GB2312" w:cs="仿宋_GB2312"/>
          <w:highlight w:val="none"/>
          <w:lang w:eastAsia="zh-CN"/>
        </w:rPr>
      </w:pPr>
      <w:r>
        <w:rPr>
          <w:rFonts w:hint="eastAsia" w:ascii="仿宋_GB2312" w:hAnsi="仿宋_GB2312" w:eastAsia="仿宋_GB2312" w:cs="仿宋_GB2312"/>
          <w:kern w:val="0"/>
          <w:sz w:val="28"/>
          <w:szCs w:val="28"/>
          <w:highlight w:val="none"/>
          <w:lang w:eastAsia="zh-CN"/>
        </w:rPr>
        <w:t>2</w:t>
      </w:r>
      <w:r>
        <w:rPr>
          <w:rFonts w:ascii="仿宋_GB2312" w:hAnsi="仿宋_GB2312" w:eastAsia="仿宋_GB2312" w:cs="仿宋_GB2312"/>
          <w:kern w:val="0"/>
          <w:sz w:val="28"/>
          <w:szCs w:val="28"/>
          <w:highlight w:val="none"/>
          <w:lang w:eastAsia="zh-CN"/>
        </w:rPr>
        <w:t>.2.2.</w:t>
      </w:r>
      <w:r>
        <w:rPr>
          <w:rFonts w:hint="eastAsia" w:ascii="仿宋_GB2312" w:hAnsi="仿宋_GB2312" w:eastAsia="仿宋_GB2312" w:cs="仿宋_GB2312"/>
          <w:kern w:val="0"/>
          <w:sz w:val="28"/>
          <w:szCs w:val="28"/>
          <w:highlight w:val="none"/>
          <w:lang w:val="en-US" w:eastAsia="zh-CN"/>
        </w:rPr>
        <w:t>3</w:t>
      </w:r>
      <w:r>
        <w:rPr>
          <w:rFonts w:ascii="仿宋_GB2312" w:hAnsi="仿宋_GB2312" w:eastAsia="仿宋_GB2312" w:cs="仿宋_GB2312"/>
          <w:kern w:val="0"/>
          <w:sz w:val="28"/>
          <w:szCs w:val="28"/>
          <w:highlight w:val="none"/>
          <w:lang w:eastAsia="zh-CN"/>
        </w:rPr>
        <w:t xml:space="preserve"> </w:t>
      </w:r>
      <w:r>
        <w:rPr>
          <w:rFonts w:hint="eastAsia" w:ascii="仿宋_GB2312" w:hAnsi="仿宋_GB2312" w:eastAsia="仿宋_GB2312" w:cs="仿宋_GB2312"/>
          <w:kern w:val="0"/>
          <w:sz w:val="28"/>
          <w:szCs w:val="28"/>
          <w:highlight w:val="none"/>
          <w:lang w:eastAsia="zh-CN"/>
        </w:rPr>
        <w:t>安全保障方案</w:t>
      </w:r>
      <w:bookmarkEnd w:id="21"/>
    </w:p>
    <w:p>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kern w:val="0"/>
          <w:sz w:val="28"/>
          <w:szCs w:val="28"/>
          <w:highlight w:val="none"/>
          <w:lang w:eastAsia="zh-CN"/>
        </w:rPr>
        <w:t>供应商的安全保障方案应具有合理性、可行性等。包括但不局限于信息安全保障措施、安全管理制度等。要求安全保障符合要求，安全管理措施合理规范、安全管理制度细致完善</w:t>
      </w:r>
      <w:r>
        <w:rPr>
          <w:rFonts w:hint="eastAsia" w:ascii="仿宋_GB2312" w:hAnsi="仿宋_GB2312" w:eastAsia="仿宋_GB2312" w:cs="仿宋_GB2312"/>
          <w:b w:val="0"/>
          <w:bCs w:val="0"/>
          <w:kern w:val="0"/>
          <w:sz w:val="28"/>
          <w:szCs w:val="28"/>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after="0" w:line="540" w:lineRule="exact"/>
        <w:ind w:firstLine="562" w:firstLineChars="200"/>
        <w:jc w:val="both"/>
        <w:textAlignment w:val="auto"/>
        <w:rPr>
          <w:rFonts w:hint="eastAsia" w:ascii="仿宋_GB2312" w:hAnsi="仿宋_GB2312" w:eastAsia="仿宋_GB2312" w:cs="仿宋_GB2312"/>
          <w:b w:val="0"/>
          <w:bCs w:val="0"/>
          <w:kern w:val="0"/>
          <w:sz w:val="28"/>
          <w:szCs w:val="28"/>
          <w:highlight w:val="none"/>
          <w:lang w:eastAsia="zh-CN"/>
        </w:rPr>
      </w:pPr>
      <w:bookmarkStart w:id="22" w:name="_Toc12576"/>
      <w:r>
        <w:rPr>
          <w:rFonts w:hint="eastAsia" w:ascii="仿宋_GB2312" w:hAnsi="仿宋_GB2312" w:eastAsia="仿宋_GB2312" w:cs="仿宋_GB2312"/>
          <w:kern w:val="0"/>
          <w:sz w:val="28"/>
          <w:szCs w:val="28"/>
          <w:highlight w:val="none"/>
          <w:lang w:eastAsia="zh-CN"/>
        </w:rPr>
        <w:t>2.2.2.</w:t>
      </w:r>
      <w:r>
        <w:rPr>
          <w:rFonts w:hint="eastAsia" w:ascii="仿宋_GB2312" w:hAnsi="仿宋_GB2312" w:eastAsia="仿宋_GB2312" w:cs="仿宋_GB2312"/>
          <w:kern w:val="0"/>
          <w:sz w:val="28"/>
          <w:szCs w:val="28"/>
          <w:highlight w:val="none"/>
          <w:lang w:val="en-US" w:eastAsia="zh-CN"/>
        </w:rPr>
        <w:t xml:space="preserve">4 </w:t>
      </w:r>
      <w:r>
        <w:rPr>
          <w:rFonts w:hint="eastAsia" w:ascii="仿宋_GB2312" w:hAnsi="仿宋_GB2312" w:eastAsia="仿宋_GB2312" w:cs="仿宋_GB2312"/>
          <w:kern w:val="0"/>
          <w:sz w:val="28"/>
          <w:szCs w:val="28"/>
          <w:highlight w:val="none"/>
          <w:lang w:eastAsia="zh-CN"/>
        </w:rPr>
        <w:t>售后服务方案</w:t>
      </w:r>
      <w:bookmarkEnd w:id="22"/>
    </w:p>
    <w:p>
      <w:pPr>
        <w:pStyle w:val="2"/>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jc w:val="both"/>
        <w:textAlignment w:val="auto"/>
        <w:rPr>
          <w:rFonts w:ascii="仿宋_GB2312" w:hAnsi="仿宋_GB2312" w:eastAsia="仿宋_GB2312" w:cs="仿宋_GB2312"/>
          <w:b w:val="0"/>
          <w:bCs w:val="0"/>
          <w:kern w:val="0"/>
          <w:sz w:val="28"/>
          <w:szCs w:val="28"/>
          <w:highlight w:val="none"/>
          <w:lang w:eastAsia="zh-CN"/>
        </w:rPr>
      </w:pPr>
      <w:r>
        <w:rPr>
          <w:rFonts w:hint="eastAsia" w:ascii="仿宋_GB2312" w:hAnsi="仿宋_GB2312" w:eastAsia="仿宋_GB2312" w:cs="仿宋_GB2312"/>
          <w:b w:val="0"/>
          <w:bCs w:val="0"/>
          <w:kern w:val="0"/>
          <w:sz w:val="28"/>
          <w:szCs w:val="28"/>
          <w:highlight w:val="none"/>
          <w:lang w:eastAsia="zh-CN"/>
        </w:rPr>
        <w:t>供应商提供的售后服务方案内容详尽、完整，内容包括售后服务工作安排、售后服务响应、应急保障方案和措施等。</w:t>
      </w:r>
    </w:p>
    <w:p>
      <w:pPr>
        <w:pStyle w:val="2"/>
        <w:keepNext w:val="0"/>
        <w:keepLines w:val="0"/>
        <w:pageBreakBefore w:val="0"/>
        <w:widowControl/>
        <w:kinsoku/>
        <w:wordWrap/>
        <w:overflowPunct/>
        <w:topLinePunct w:val="0"/>
        <w:autoSpaceDE/>
        <w:autoSpaceDN/>
        <w:bidi w:val="0"/>
        <w:adjustRightInd/>
        <w:snapToGrid/>
        <w:spacing w:before="0" w:after="0" w:line="540" w:lineRule="exact"/>
        <w:ind w:firstLine="562" w:firstLineChars="200"/>
        <w:jc w:val="both"/>
        <w:textAlignment w:val="auto"/>
        <w:rPr>
          <w:rFonts w:ascii="仿宋_GB2312" w:hAnsi="仿宋_GB2312" w:eastAsia="仿宋_GB2312" w:cs="仿宋_GB2312"/>
          <w:b w:val="0"/>
          <w:bCs w:val="0"/>
          <w:kern w:val="0"/>
          <w:sz w:val="28"/>
          <w:szCs w:val="28"/>
          <w:highlight w:val="none"/>
          <w:lang w:eastAsia="zh-CN"/>
        </w:rPr>
      </w:pPr>
      <w:bookmarkStart w:id="23" w:name="_Toc28357"/>
      <w:r>
        <w:rPr>
          <w:rFonts w:hint="eastAsia" w:ascii="仿宋_GB2312" w:hAnsi="仿宋_GB2312" w:eastAsia="仿宋_GB2312" w:cs="仿宋_GB2312"/>
          <w:kern w:val="0"/>
          <w:sz w:val="28"/>
          <w:szCs w:val="28"/>
          <w:highlight w:val="none"/>
          <w:lang w:eastAsia="zh-CN"/>
        </w:rPr>
        <w:t>2</w:t>
      </w:r>
      <w:r>
        <w:rPr>
          <w:rFonts w:ascii="仿宋_GB2312" w:hAnsi="仿宋_GB2312" w:eastAsia="仿宋_GB2312" w:cs="仿宋_GB2312"/>
          <w:kern w:val="0"/>
          <w:sz w:val="28"/>
          <w:szCs w:val="28"/>
          <w:highlight w:val="none"/>
          <w:lang w:eastAsia="zh-CN"/>
        </w:rPr>
        <w:t>.2.2.</w:t>
      </w:r>
      <w:r>
        <w:rPr>
          <w:rFonts w:hint="eastAsia" w:ascii="仿宋_GB2312" w:hAnsi="仿宋_GB2312" w:eastAsia="仿宋_GB2312" w:cs="仿宋_GB2312"/>
          <w:kern w:val="0"/>
          <w:sz w:val="28"/>
          <w:szCs w:val="28"/>
          <w:highlight w:val="none"/>
          <w:lang w:val="en-US" w:eastAsia="zh-CN"/>
        </w:rPr>
        <w:t>5</w:t>
      </w:r>
      <w:r>
        <w:rPr>
          <w:rFonts w:ascii="仿宋_GB2312" w:hAnsi="仿宋_GB2312" w:eastAsia="仿宋_GB2312" w:cs="仿宋_GB2312"/>
          <w:kern w:val="0"/>
          <w:sz w:val="28"/>
          <w:szCs w:val="28"/>
          <w:highlight w:val="none"/>
          <w:lang w:eastAsia="zh-CN"/>
        </w:rPr>
        <w:t xml:space="preserve"> </w:t>
      </w:r>
      <w:r>
        <w:rPr>
          <w:rFonts w:hint="eastAsia" w:ascii="仿宋_GB2312" w:hAnsi="仿宋_GB2312" w:eastAsia="仿宋_GB2312" w:cs="仿宋_GB2312"/>
          <w:kern w:val="0"/>
          <w:sz w:val="28"/>
          <w:szCs w:val="28"/>
          <w:highlight w:val="none"/>
          <w:lang w:eastAsia="zh-CN"/>
        </w:rPr>
        <w:t>验收方案</w:t>
      </w:r>
      <w:bookmarkEnd w:id="23"/>
    </w:p>
    <w:p>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ascii="仿宋_GB2312" w:hAnsi="仿宋_GB2312" w:eastAsia="仿宋_GB2312" w:cs="仿宋_GB2312"/>
          <w:sz w:val="28"/>
          <w:szCs w:val="28"/>
          <w:highlight w:val="none"/>
          <w:lang w:eastAsia="zh-CN"/>
        </w:rPr>
      </w:pPr>
      <w:bookmarkStart w:id="24" w:name="_Toc27363"/>
      <w:r>
        <w:rPr>
          <w:rFonts w:hint="eastAsia" w:ascii="仿宋_GB2312" w:hAnsi="仿宋_GB2312" w:eastAsia="仿宋_GB2312" w:cs="仿宋_GB2312"/>
          <w:b w:val="0"/>
          <w:bCs w:val="0"/>
          <w:kern w:val="0"/>
          <w:sz w:val="28"/>
          <w:szCs w:val="28"/>
          <w:highlight w:val="none"/>
          <w:lang w:eastAsia="zh-CN"/>
        </w:rPr>
        <w:t>供应商必须按照本项目需求，详细阐述项目验收方案。根据需要验收的内容，提出切实可行的验收流程。</w:t>
      </w:r>
      <w:bookmarkEnd w:id="24"/>
    </w:p>
    <w:p>
      <w:pPr>
        <w:pStyle w:val="2"/>
        <w:keepNext w:val="0"/>
        <w:spacing w:before="0" w:after="0" w:line="540" w:lineRule="exact"/>
        <w:jc w:val="center"/>
        <w:rPr>
          <w:rFonts w:ascii="仿宋_GB2312" w:hAnsi="仿宋_GB2312" w:eastAsia="仿宋_GB2312" w:cs="仿宋_GB2312"/>
          <w:lang w:eastAsia="zh-CN"/>
        </w:rPr>
      </w:pPr>
      <w:bookmarkStart w:id="25" w:name="_Toc195778312"/>
      <w:r>
        <w:rPr>
          <w:rFonts w:ascii="仿宋_GB2312" w:hAnsi="仿宋_GB2312" w:eastAsia="仿宋_GB2312" w:cs="仿宋_GB2312"/>
          <w:kern w:val="36"/>
          <w:lang w:eastAsia="zh-CN"/>
        </w:rPr>
        <w:t>3项目需求</w:t>
      </w:r>
      <w:bookmarkEnd w:id="25"/>
    </w:p>
    <w:p>
      <w:pPr>
        <w:pStyle w:val="3"/>
        <w:keepNext w:val="0"/>
        <w:keepLines w:val="0"/>
        <w:pageBreakBefore w:val="0"/>
        <w:widowControl/>
        <w:kinsoku/>
        <w:wordWrap/>
        <w:overflowPunct/>
        <w:topLinePunct w:val="0"/>
        <w:autoSpaceDE/>
        <w:autoSpaceDN/>
        <w:bidi w:val="0"/>
        <w:adjustRightInd/>
        <w:snapToGrid/>
        <w:spacing w:before="0" w:after="0" w:line="540" w:lineRule="exact"/>
        <w:textAlignment w:val="auto"/>
        <w:rPr>
          <w:rFonts w:ascii="仿宋_GB2312" w:hAnsi="仿宋_GB2312" w:eastAsia="仿宋_GB2312" w:cs="仿宋_GB2312"/>
          <w:lang w:eastAsia="zh-CN"/>
        </w:rPr>
      </w:pPr>
      <w:bookmarkStart w:id="26" w:name="_Toc195778313"/>
      <w:r>
        <w:rPr>
          <w:rFonts w:ascii="仿宋_GB2312" w:hAnsi="仿宋_GB2312" w:eastAsia="仿宋_GB2312" w:cs="仿宋_GB2312"/>
          <w:i w:val="0"/>
          <w:iCs w:val="0"/>
          <w:lang w:eastAsia="zh-CN"/>
        </w:rPr>
        <w:t>3.1总体要求</w:t>
      </w:r>
      <w:bookmarkEnd w:id="26"/>
    </w:p>
    <w:p>
      <w:pPr>
        <w:keepNext w:val="0"/>
        <w:keepLines w:val="0"/>
        <w:pageBreakBefore w:val="0"/>
        <w:widowControl/>
        <w:kinsoku/>
        <w:wordWrap/>
        <w:overflowPunct/>
        <w:topLinePunct w:val="0"/>
        <w:autoSpaceDE/>
        <w:autoSpaceDN/>
        <w:bidi w:val="0"/>
        <w:adjustRightInd/>
        <w:snapToGrid/>
        <w:spacing w:line="540" w:lineRule="exact"/>
        <w:ind w:firstLine="561"/>
        <w:textAlignment w:val="auto"/>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所投产品必须是新品，须于合同签定后的30个自然日内全部到货，到货地点为国家税务总局新疆维吾尔自治区税务局指定地点；供应商应按照约定日期完成配件安装工作。</w:t>
      </w:r>
    </w:p>
    <w:p>
      <w:pPr>
        <w:pStyle w:val="3"/>
        <w:keepNext w:val="0"/>
        <w:keepLines w:val="0"/>
        <w:pageBreakBefore w:val="0"/>
        <w:widowControl/>
        <w:kinsoku/>
        <w:wordWrap/>
        <w:overflowPunct/>
        <w:topLinePunct w:val="0"/>
        <w:autoSpaceDE/>
        <w:autoSpaceDN/>
        <w:bidi w:val="0"/>
        <w:adjustRightInd/>
        <w:snapToGrid/>
        <w:spacing w:before="0" w:after="0" w:line="540" w:lineRule="exact"/>
        <w:textAlignment w:val="auto"/>
        <w:rPr>
          <w:rFonts w:ascii="仿宋_GB2312" w:hAnsi="仿宋_GB2312" w:eastAsia="仿宋_GB2312" w:cs="仿宋_GB2312"/>
        </w:rPr>
      </w:pPr>
      <w:bookmarkStart w:id="27" w:name="_Toc195778314"/>
      <w:r>
        <w:rPr>
          <w:rFonts w:ascii="仿宋_GB2312" w:hAnsi="仿宋_GB2312" w:eastAsia="仿宋_GB2312" w:cs="仿宋_GB2312"/>
          <w:i w:val="0"/>
          <w:iCs w:val="0"/>
        </w:rPr>
        <w:t>3.2采购产品一览表</w:t>
      </w:r>
      <w:bookmarkEnd w:id="27"/>
    </w:p>
    <w:tbl>
      <w:tblPr>
        <w:tblStyle w:val="14"/>
        <w:tblW w:w="5000" w:type="pct"/>
        <w:tblInd w:w="30" w:type="dxa"/>
        <w:shd w:val="clear" w:color="auto" w:fill="auto"/>
        <w:tblLayout w:type="autofit"/>
        <w:tblCellMar>
          <w:top w:w="15" w:type="dxa"/>
          <w:left w:w="15" w:type="dxa"/>
          <w:bottom w:w="15" w:type="dxa"/>
          <w:right w:w="15" w:type="dxa"/>
        </w:tblCellMar>
      </w:tblPr>
      <w:tblGrid>
        <w:gridCol w:w="908"/>
        <w:gridCol w:w="1814"/>
        <w:gridCol w:w="1814"/>
        <w:gridCol w:w="1027"/>
        <w:gridCol w:w="1366"/>
        <w:gridCol w:w="2141"/>
      </w:tblGrid>
      <w:tr>
        <w:tblPrEx>
          <w:shd w:val="clear" w:color="auto" w:fill="auto"/>
          <w:tblCellMar>
            <w:top w:w="15" w:type="dxa"/>
            <w:left w:w="15" w:type="dxa"/>
            <w:bottom w:w="15" w:type="dxa"/>
            <w:right w:w="15" w:type="dxa"/>
          </w:tblCellMar>
        </w:tblPrEx>
        <w:tc>
          <w:tcPr>
            <w:tcW w:w="501"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产品类别</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产品名称</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数量</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单位</w:t>
            </w:r>
          </w:p>
        </w:tc>
        <w:tc>
          <w:tcPr>
            <w:tcW w:w="118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ascii="仿宋_GB2312" w:hAnsi="仿宋_GB2312" w:eastAsia="仿宋_GB2312" w:cs="仿宋_GB2312"/>
                <w:b/>
                <w:bCs/>
                <w:color w:val="000000"/>
                <w:sz w:val="21"/>
                <w:szCs w:val="21"/>
              </w:rPr>
              <w:t>备注</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服务器内存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32G内存</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224</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条</w:t>
            </w:r>
          </w:p>
        </w:tc>
        <w:tc>
          <w:tcPr>
            <w:tcW w:w="118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1年质保</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服务器硬盘</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7.68T闪盘</w:t>
            </w:r>
          </w:p>
        </w:tc>
        <w:tc>
          <w:tcPr>
            <w:tcW w:w="566"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ascii="仿宋_GB2312" w:hAnsi="仿宋_GB2312" w:eastAsia="仿宋_GB2312" w:cs="仿宋_GB2312"/>
                <w:color w:val="000000"/>
                <w:sz w:val="21"/>
                <w:szCs w:val="21"/>
                <w:lang w:eastAsia="zh-CN"/>
              </w:rPr>
              <w:t>80</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块</w:t>
            </w:r>
          </w:p>
        </w:tc>
        <w:tc>
          <w:tcPr>
            <w:tcW w:w="118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1年质保</w:t>
            </w:r>
          </w:p>
        </w:tc>
      </w:tr>
    </w:tbl>
    <w:p>
      <w:pPr>
        <w:pStyle w:val="3"/>
        <w:keepNext w:val="0"/>
        <w:keepLines w:val="0"/>
        <w:pageBreakBefore w:val="0"/>
        <w:widowControl/>
        <w:kinsoku/>
        <w:wordWrap/>
        <w:overflowPunct/>
        <w:topLinePunct w:val="0"/>
        <w:autoSpaceDE/>
        <w:autoSpaceDN/>
        <w:bidi w:val="0"/>
        <w:adjustRightInd/>
        <w:snapToGrid/>
        <w:spacing w:before="0" w:after="0" w:line="540" w:lineRule="exact"/>
        <w:textAlignment w:val="auto"/>
        <w:rPr>
          <w:rFonts w:ascii="仿宋_GB2312" w:hAnsi="仿宋_GB2312" w:eastAsia="仿宋_GB2312" w:cs="仿宋_GB2312"/>
          <w:lang w:eastAsia="zh-CN"/>
        </w:rPr>
      </w:pPr>
      <w:bookmarkStart w:id="28" w:name="_Toc195778315"/>
      <w:r>
        <w:rPr>
          <w:rFonts w:ascii="仿宋_GB2312" w:hAnsi="仿宋_GB2312" w:eastAsia="仿宋_GB2312" w:cs="仿宋_GB2312"/>
          <w:i w:val="0"/>
          <w:iCs w:val="0"/>
          <w:lang w:eastAsia="zh-CN"/>
        </w:rPr>
        <w:t>3.3采购产品详细清单及技术指标</w:t>
      </w:r>
      <w:bookmarkEnd w:id="28"/>
    </w:p>
    <w:p>
      <w:pPr>
        <w:keepNext w:val="0"/>
        <w:keepLines w:val="0"/>
        <w:pageBreakBefore w:val="0"/>
        <w:widowControl/>
        <w:kinsoku/>
        <w:wordWrap/>
        <w:overflowPunct/>
        <w:topLinePunct w:val="0"/>
        <w:autoSpaceDE/>
        <w:autoSpaceDN/>
        <w:bidi w:val="0"/>
        <w:adjustRightInd/>
        <w:snapToGrid/>
        <w:spacing w:line="540" w:lineRule="exact"/>
        <w:ind w:firstLine="561"/>
        <w:textAlignment w:val="auto"/>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采购文件（技术部分）中有标注★号的，为必备服务要求，必须满足，如未作出响应，将导致响应无效；#为重要服务内容、△为一般服务内容。</w:t>
      </w:r>
    </w:p>
    <w:p>
      <w:pPr>
        <w:keepNext w:val="0"/>
        <w:keepLines w:val="0"/>
        <w:pageBreakBefore w:val="0"/>
        <w:widowControl/>
        <w:kinsoku/>
        <w:wordWrap/>
        <w:overflowPunct/>
        <w:topLinePunct w:val="0"/>
        <w:autoSpaceDE/>
        <w:autoSpaceDN/>
        <w:bidi w:val="0"/>
        <w:adjustRightInd/>
        <w:snapToGrid/>
        <w:spacing w:line="540" w:lineRule="exact"/>
        <w:ind w:firstLine="561"/>
        <w:textAlignment w:val="auto"/>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 服务器内存</w:t>
      </w:r>
    </w:p>
    <w:tbl>
      <w:tblPr>
        <w:tblStyle w:val="14"/>
        <w:tblW w:w="5299" w:type="pct"/>
        <w:tblInd w:w="0" w:type="dxa"/>
        <w:tblLayout w:type="fixed"/>
        <w:tblCellMar>
          <w:top w:w="0" w:type="dxa"/>
          <w:left w:w="108" w:type="dxa"/>
          <w:bottom w:w="0" w:type="dxa"/>
          <w:right w:w="108" w:type="dxa"/>
        </w:tblCellMar>
      </w:tblPr>
      <w:tblGrid>
        <w:gridCol w:w="456"/>
        <w:gridCol w:w="723"/>
        <w:gridCol w:w="1093"/>
        <w:gridCol w:w="16"/>
        <w:gridCol w:w="4986"/>
        <w:gridCol w:w="14"/>
        <w:gridCol w:w="1330"/>
        <w:gridCol w:w="1177"/>
      </w:tblGrid>
      <w:tr>
        <w:trPr>
          <w:trHeight w:val="8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序号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指标种类</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指标名称</w:t>
            </w:r>
          </w:p>
        </w:tc>
        <w:tc>
          <w:tcPr>
            <w:tcW w:w="2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指标内容</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重要性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lang w:eastAsia="zh-CN"/>
              </w:rPr>
            </w:pPr>
            <w:r>
              <w:rPr>
                <w:rFonts w:hint="eastAsia" w:ascii="仿宋_GB2312" w:hAnsi="仿宋_GB2312" w:eastAsia="仿宋_GB2312" w:cs="仿宋_GB2312"/>
                <w:b/>
                <w:bCs/>
                <w:color w:val="000000"/>
                <w:sz w:val="21"/>
                <w:szCs w:val="21"/>
                <w:lang w:eastAsia="zh-CN" w:bidi="ar"/>
              </w:rPr>
              <w:t>是否需要证明材料</w:t>
            </w:r>
          </w:p>
        </w:tc>
      </w:tr>
      <w:tr>
        <w:tblPrEx>
          <w:tblCellMar>
            <w:top w:w="0" w:type="dxa"/>
            <w:left w:w="108" w:type="dxa"/>
            <w:bottom w:w="0" w:type="dxa"/>
            <w:right w:w="108" w:type="dxa"/>
          </w:tblCellMar>
        </w:tblPrEx>
        <w:trPr>
          <w:trHeight w:val="699"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bidi="ar"/>
              </w:rPr>
              <w:t>1</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基础参数</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硬件规格</w:t>
            </w:r>
          </w:p>
        </w:tc>
        <w:tc>
          <w:tcPr>
            <w:tcW w:w="25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rPr>
              <w:t>32G</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2RX4</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PC4-2400T-RB2-11</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3" w:type="pct"/>
            <w:vAlign w:val="center"/>
          </w:tcPr>
          <w:p>
            <w:pPr>
              <w:jc w:val="center"/>
              <w:rPr>
                <w:rFonts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2</w:t>
            </w:r>
          </w:p>
        </w:tc>
        <w:tc>
          <w:tcPr>
            <w:tcW w:w="369" w:type="pct"/>
            <w:vAlign w:val="center"/>
          </w:tcPr>
          <w:p>
            <w:pPr>
              <w:jc w:val="center"/>
              <w:rPr>
                <w:rFonts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核心指标</w:t>
            </w:r>
          </w:p>
        </w:tc>
        <w:tc>
          <w:tcPr>
            <w:tcW w:w="558" w:type="pct"/>
            <w:vAlign w:val="center"/>
          </w:tcPr>
          <w:p>
            <w:pPr>
              <w:jc w:val="center"/>
              <w:rPr>
                <w:rFonts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lang w:eastAsia="zh-CN"/>
              </w:rPr>
              <w:t>兼容性</w:t>
            </w:r>
          </w:p>
        </w:tc>
        <w:tc>
          <w:tcPr>
            <w:tcW w:w="2553" w:type="pct"/>
            <w:gridSpan w:val="2"/>
            <w:vAlign w:val="center"/>
          </w:tcPr>
          <w:p>
            <w:pPr>
              <w:rPr>
                <w:rFonts w:ascii="仿宋_GB2312" w:hAnsi="仿宋_GB2312" w:eastAsia="仿宋_GB2312" w:cs="仿宋_GB2312"/>
                <w:bCs/>
                <w:kern w:val="2"/>
                <w:sz w:val="21"/>
                <w:szCs w:val="21"/>
                <w:lang w:eastAsia="zh-CN"/>
              </w:rPr>
            </w:pPr>
            <w:r>
              <w:rPr>
                <w:rFonts w:hint="eastAsia" w:ascii="仿宋_GB2312" w:hAnsi="仿宋_GB2312" w:eastAsia="仿宋_GB2312" w:cs="仿宋_GB2312"/>
                <w:bCs/>
                <w:kern w:val="2"/>
                <w:sz w:val="21"/>
                <w:szCs w:val="21"/>
                <w:lang w:eastAsia="zh-CN"/>
              </w:rPr>
              <w:t>完全兼容DELL</w:t>
            </w:r>
            <w:r>
              <w:rPr>
                <w:rFonts w:ascii="仿宋_GB2312" w:hAnsi="仿宋_GB2312" w:eastAsia="仿宋_GB2312" w:cs="仿宋_GB2312"/>
                <w:bCs/>
                <w:kern w:val="2"/>
                <w:sz w:val="21"/>
                <w:szCs w:val="21"/>
                <w:lang w:eastAsia="zh-CN"/>
              </w:rPr>
              <w:t xml:space="preserve"> </w:t>
            </w:r>
            <w:r>
              <w:rPr>
                <w:rFonts w:hint="eastAsia" w:ascii="仿宋_GB2312" w:hAnsi="仿宋_GB2312" w:eastAsia="仿宋_GB2312" w:cs="仿宋_GB2312"/>
                <w:bCs/>
                <w:kern w:val="2"/>
                <w:sz w:val="21"/>
                <w:szCs w:val="21"/>
                <w:lang w:eastAsia="zh-CN"/>
              </w:rPr>
              <w:t>R930服务器，并且为统一批次产品</w:t>
            </w:r>
          </w:p>
        </w:tc>
        <w:tc>
          <w:tcPr>
            <w:tcW w:w="684" w:type="pct"/>
            <w:gridSpan w:val="2"/>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w:t>
            </w:r>
          </w:p>
        </w:tc>
        <w:tc>
          <w:tcPr>
            <w:tcW w:w="602"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否</w:t>
            </w:r>
          </w:p>
        </w:tc>
      </w:tr>
    </w:tbl>
    <w:p>
      <w:pPr>
        <w:spacing w:line="540" w:lineRule="exact"/>
        <w:ind w:firstLine="561"/>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 服务器硬盘</w:t>
      </w:r>
    </w:p>
    <w:tbl>
      <w:tblPr>
        <w:tblStyle w:val="14"/>
        <w:tblW w:w="5299" w:type="pct"/>
        <w:tblInd w:w="0" w:type="dxa"/>
        <w:tblLayout w:type="fixed"/>
        <w:tblCellMar>
          <w:top w:w="0" w:type="dxa"/>
          <w:left w:w="108" w:type="dxa"/>
          <w:bottom w:w="0" w:type="dxa"/>
          <w:right w:w="108" w:type="dxa"/>
        </w:tblCellMar>
      </w:tblPr>
      <w:tblGrid>
        <w:gridCol w:w="457"/>
        <w:gridCol w:w="723"/>
        <w:gridCol w:w="1099"/>
        <w:gridCol w:w="4995"/>
        <w:gridCol w:w="1340"/>
        <w:gridCol w:w="1181"/>
      </w:tblGrid>
      <w:tr>
        <w:tblPrEx>
          <w:tblCellMar>
            <w:top w:w="0" w:type="dxa"/>
            <w:left w:w="108" w:type="dxa"/>
            <w:bottom w:w="0" w:type="dxa"/>
            <w:right w:w="108" w:type="dxa"/>
          </w:tblCellMar>
        </w:tblPrEx>
        <w:trPr>
          <w:trHeight w:val="8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序号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指标种类</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指标名称</w:t>
            </w:r>
          </w:p>
        </w:tc>
        <w:tc>
          <w:tcPr>
            <w:tcW w:w="2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指标内容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eastAsia="zh-CN" w:bidi="ar"/>
              </w:rPr>
              <w:t>重要性</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b/>
                <w:bCs/>
                <w:color w:val="000000"/>
                <w:sz w:val="21"/>
                <w:szCs w:val="21"/>
                <w:lang w:eastAsia="zh-CN"/>
              </w:rPr>
            </w:pPr>
            <w:r>
              <w:rPr>
                <w:rFonts w:hint="eastAsia" w:ascii="仿宋_GB2312" w:hAnsi="仿宋_GB2312" w:eastAsia="仿宋_GB2312" w:cs="仿宋_GB2312"/>
                <w:b/>
                <w:bCs/>
                <w:color w:val="000000"/>
                <w:sz w:val="21"/>
                <w:szCs w:val="21"/>
                <w:lang w:eastAsia="zh-CN" w:bidi="ar"/>
              </w:rPr>
              <w:t>是否需要证明材料</w:t>
            </w:r>
          </w:p>
        </w:tc>
      </w:tr>
      <w:tr>
        <w:tblPrEx>
          <w:tblCellMar>
            <w:top w:w="0" w:type="dxa"/>
            <w:left w:w="108" w:type="dxa"/>
            <w:bottom w:w="0" w:type="dxa"/>
            <w:right w:w="108" w:type="dxa"/>
          </w:tblCellMar>
        </w:tblPrEx>
        <w:trPr>
          <w:trHeight w:val="10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bidi="ar"/>
              </w:rPr>
              <w:t>1</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基础参数</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硬件规格</w:t>
            </w:r>
          </w:p>
        </w:tc>
        <w:tc>
          <w:tcPr>
            <w:tcW w:w="255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企业级固态P4618</w:t>
            </w:r>
            <w:r>
              <w:rPr>
                <w:rFonts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lang w:eastAsia="zh-CN"/>
              </w:rPr>
              <w:t>AIC插卡式 PCIE3.0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33" w:type="pct"/>
            <w:vAlign w:val="center"/>
          </w:tcPr>
          <w:p>
            <w:pPr>
              <w:jc w:val="cente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2</w:t>
            </w:r>
          </w:p>
        </w:tc>
        <w:tc>
          <w:tcPr>
            <w:tcW w:w="369" w:type="pct"/>
            <w:vAlign w:val="center"/>
          </w:tcPr>
          <w:p>
            <w:pPr>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lang w:eastAsia="zh-CN"/>
              </w:rPr>
              <w:t>核心指标</w:t>
            </w:r>
          </w:p>
        </w:tc>
        <w:tc>
          <w:tcPr>
            <w:tcW w:w="561" w:type="pct"/>
            <w:vAlign w:val="center"/>
          </w:tcPr>
          <w:p>
            <w:pPr>
              <w:jc w:val="center"/>
              <w:rPr>
                <w:rFonts w:hint="eastAsia" w:ascii="仿宋_GB2312" w:hAnsi="仿宋_GB2312" w:eastAsia="仿宋_GB2312" w:cs="仿宋_GB2312"/>
                <w:bCs/>
                <w:kern w:val="2"/>
                <w:sz w:val="21"/>
                <w:szCs w:val="21"/>
                <w:lang w:eastAsia="zh-CN"/>
              </w:rPr>
            </w:pPr>
            <w:r>
              <w:rPr>
                <w:rFonts w:hint="eastAsia" w:ascii="仿宋_GB2312" w:hAnsi="仿宋_GB2312" w:eastAsia="仿宋_GB2312" w:cs="仿宋_GB2312"/>
                <w:bCs/>
                <w:kern w:val="2"/>
                <w:sz w:val="21"/>
                <w:szCs w:val="21"/>
                <w:lang w:eastAsia="zh-CN"/>
              </w:rPr>
              <w:t>容量</w:t>
            </w:r>
          </w:p>
        </w:tc>
        <w:tc>
          <w:tcPr>
            <w:tcW w:w="2550" w:type="pct"/>
            <w:vAlign w:val="center"/>
          </w:tcPr>
          <w:p>
            <w:pPr>
              <w:rPr>
                <w:rFonts w:hint="eastAsia" w:ascii="仿宋_GB2312" w:hAnsi="仿宋_GB2312" w:eastAsia="仿宋_GB2312" w:cs="仿宋_GB2312"/>
                <w:bCs/>
                <w:kern w:val="2"/>
                <w:sz w:val="21"/>
                <w:szCs w:val="21"/>
                <w:lang w:eastAsia="zh-CN"/>
              </w:rPr>
            </w:pPr>
            <w:r>
              <w:rPr>
                <w:rFonts w:hint="eastAsia" w:ascii="仿宋_GB2312" w:hAnsi="仿宋_GB2312" w:eastAsia="仿宋_GB2312" w:cs="仿宋_GB2312"/>
                <w:bCs/>
                <w:kern w:val="2"/>
                <w:sz w:val="21"/>
                <w:szCs w:val="21"/>
                <w:lang w:eastAsia="zh-CN"/>
              </w:rPr>
              <w:t>≥</w:t>
            </w:r>
            <w:r>
              <w:rPr>
                <w:rFonts w:hint="eastAsia" w:ascii="仿宋_GB2312" w:hAnsi="仿宋_GB2312" w:eastAsia="仿宋_GB2312" w:cs="仿宋_GB2312"/>
                <w:sz w:val="21"/>
                <w:szCs w:val="21"/>
                <w:lang w:eastAsia="zh-CN"/>
              </w:rPr>
              <w:t>6.4T</w:t>
            </w:r>
          </w:p>
        </w:tc>
        <w:tc>
          <w:tcPr>
            <w:tcW w:w="684" w:type="pct"/>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w:t>
            </w:r>
          </w:p>
        </w:tc>
        <w:tc>
          <w:tcPr>
            <w:tcW w:w="603" w:type="pct"/>
            <w:shd w:val="clear" w:color="auto" w:fill="auto"/>
            <w:vAlign w:val="center"/>
          </w:tcPr>
          <w:p>
            <w:pPr>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33" w:type="pct"/>
            <w:vAlign w:val="center"/>
          </w:tcPr>
          <w:p>
            <w:pPr>
              <w:jc w:val="center"/>
              <w:rPr>
                <w:rFonts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3</w:t>
            </w:r>
          </w:p>
        </w:tc>
        <w:tc>
          <w:tcPr>
            <w:tcW w:w="369" w:type="pct"/>
            <w:vAlign w:val="center"/>
          </w:tcPr>
          <w:p>
            <w:pPr>
              <w:jc w:val="center"/>
              <w:rPr>
                <w:rFonts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核心指标</w:t>
            </w:r>
          </w:p>
        </w:tc>
        <w:tc>
          <w:tcPr>
            <w:tcW w:w="561" w:type="pct"/>
            <w:vAlign w:val="center"/>
          </w:tcPr>
          <w:p>
            <w:pPr>
              <w:jc w:val="center"/>
              <w:rPr>
                <w:rFonts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lang w:eastAsia="zh-CN"/>
              </w:rPr>
              <w:t>性能要求</w:t>
            </w:r>
          </w:p>
        </w:tc>
        <w:tc>
          <w:tcPr>
            <w:tcW w:w="2550" w:type="pct"/>
            <w:vAlign w:val="center"/>
          </w:tcPr>
          <w:p>
            <w:pPr>
              <w:rPr>
                <w:rFonts w:hint="eastAsia" w:ascii="仿宋_GB2312" w:hAnsi="仿宋_GB2312" w:eastAsia="仿宋_GB2312" w:cs="仿宋_GB2312"/>
                <w:bCs/>
                <w:kern w:val="2"/>
                <w:sz w:val="21"/>
                <w:szCs w:val="21"/>
                <w:lang w:eastAsia="zh-CN"/>
              </w:rPr>
            </w:pPr>
            <w:r>
              <w:rPr>
                <w:rFonts w:hint="eastAsia" w:ascii="仿宋_GB2312" w:hAnsi="仿宋_GB2312" w:eastAsia="仿宋_GB2312" w:cs="仿宋_GB2312"/>
                <w:bCs/>
                <w:kern w:val="2"/>
                <w:sz w:val="21"/>
                <w:szCs w:val="21"/>
                <w:lang w:eastAsia="zh-CN"/>
              </w:rPr>
              <w:t>读速≥5000MB</w:t>
            </w:r>
            <w:r>
              <w:rPr>
                <w:rFonts w:ascii="仿宋_GB2312" w:hAnsi="仿宋_GB2312" w:eastAsia="仿宋_GB2312" w:cs="仿宋_GB2312"/>
                <w:bCs/>
                <w:kern w:val="2"/>
                <w:sz w:val="21"/>
                <w:szCs w:val="21"/>
                <w:lang w:eastAsia="zh-CN"/>
              </w:rPr>
              <w:t xml:space="preserve"> </w:t>
            </w:r>
            <w:r>
              <w:rPr>
                <w:rFonts w:hint="eastAsia" w:ascii="仿宋_GB2312" w:hAnsi="仿宋_GB2312" w:eastAsia="仿宋_GB2312" w:cs="仿宋_GB2312"/>
                <w:bCs/>
                <w:kern w:val="2"/>
                <w:sz w:val="21"/>
                <w:szCs w:val="21"/>
                <w:lang w:eastAsia="zh-CN"/>
              </w:rPr>
              <w:t>写速≥6000MB</w:t>
            </w:r>
          </w:p>
        </w:tc>
        <w:tc>
          <w:tcPr>
            <w:tcW w:w="684"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w:t>
            </w:r>
          </w:p>
        </w:tc>
        <w:tc>
          <w:tcPr>
            <w:tcW w:w="603" w:type="pct"/>
            <w:shd w:val="clear" w:color="auto" w:fill="auto"/>
            <w:vAlign w:val="center"/>
          </w:tcPr>
          <w:p>
            <w:pPr>
              <w:jc w:val="center"/>
              <w:rPr>
                <w:rFonts w:ascii="仿宋_GB2312" w:hAnsi="仿宋_GB2312" w:eastAsia="仿宋_GB2312" w:cs="仿宋_GB2312"/>
                <w:bCs/>
                <w:kern w:val="2"/>
                <w:sz w:val="21"/>
                <w:szCs w:val="21"/>
                <w:lang w:eastAsia="zh-CN"/>
              </w:rPr>
            </w:pPr>
            <w:r>
              <w:rPr>
                <w:rFonts w:hint="eastAsia" w:ascii="仿宋_GB2312" w:hAnsi="仿宋_GB2312" w:eastAsia="仿宋_GB2312" w:cs="仿宋_GB2312"/>
                <w:bCs/>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3" w:type="pct"/>
            <w:vAlign w:val="center"/>
          </w:tcPr>
          <w:p>
            <w:pPr>
              <w:jc w:val="center"/>
              <w:rPr>
                <w:rFonts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eastAsia="zh-CN"/>
              </w:rPr>
              <w:t>4</w:t>
            </w:r>
          </w:p>
        </w:tc>
        <w:tc>
          <w:tcPr>
            <w:tcW w:w="369" w:type="pct"/>
            <w:vAlign w:val="center"/>
          </w:tcPr>
          <w:p>
            <w:pPr>
              <w:jc w:val="center"/>
              <w:rPr>
                <w:rFonts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核心指标</w:t>
            </w:r>
          </w:p>
        </w:tc>
        <w:tc>
          <w:tcPr>
            <w:tcW w:w="561" w:type="pct"/>
            <w:vAlign w:val="center"/>
          </w:tcPr>
          <w:p>
            <w:pPr>
              <w:jc w:val="center"/>
              <w:rPr>
                <w:rFonts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lang w:eastAsia="zh-CN"/>
              </w:rPr>
              <w:t>兼容性</w:t>
            </w:r>
          </w:p>
        </w:tc>
        <w:tc>
          <w:tcPr>
            <w:tcW w:w="2550" w:type="pct"/>
            <w:vAlign w:val="center"/>
          </w:tcPr>
          <w:p>
            <w:pPr>
              <w:rPr>
                <w:rFonts w:ascii="仿宋_GB2312" w:hAnsi="仿宋_GB2312" w:eastAsia="仿宋_GB2312" w:cs="仿宋_GB2312"/>
                <w:bCs/>
                <w:kern w:val="2"/>
                <w:sz w:val="21"/>
                <w:szCs w:val="21"/>
                <w:lang w:eastAsia="zh-CN"/>
              </w:rPr>
            </w:pPr>
            <w:r>
              <w:rPr>
                <w:rFonts w:hint="eastAsia" w:ascii="仿宋_GB2312" w:hAnsi="仿宋_GB2312" w:eastAsia="仿宋_GB2312" w:cs="仿宋_GB2312"/>
                <w:bCs/>
                <w:kern w:val="2"/>
                <w:sz w:val="21"/>
                <w:szCs w:val="21"/>
                <w:lang w:eastAsia="zh-CN"/>
              </w:rPr>
              <w:t>完全兼容DELL</w:t>
            </w:r>
            <w:r>
              <w:rPr>
                <w:rFonts w:ascii="仿宋_GB2312" w:hAnsi="仿宋_GB2312" w:eastAsia="仿宋_GB2312" w:cs="仿宋_GB2312"/>
                <w:bCs/>
                <w:kern w:val="2"/>
                <w:sz w:val="21"/>
                <w:szCs w:val="21"/>
                <w:lang w:eastAsia="zh-CN"/>
              </w:rPr>
              <w:t xml:space="preserve"> </w:t>
            </w:r>
            <w:r>
              <w:rPr>
                <w:rFonts w:hint="eastAsia" w:ascii="仿宋_GB2312" w:hAnsi="仿宋_GB2312" w:eastAsia="仿宋_GB2312" w:cs="仿宋_GB2312"/>
                <w:bCs/>
                <w:kern w:val="2"/>
                <w:sz w:val="21"/>
                <w:szCs w:val="21"/>
                <w:lang w:eastAsia="zh-CN"/>
              </w:rPr>
              <w:t>R930服务器，并且为统一批次产品</w:t>
            </w:r>
          </w:p>
        </w:tc>
        <w:tc>
          <w:tcPr>
            <w:tcW w:w="684"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w:t>
            </w:r>
          </w:p>
        </w:tc>
        <w:tc>
          <w:tcPr>
            <w:tcW w:w="603" w:type="pct"/>
            <w:vAlign w:val="center"/>
          </w:tcPr>
          <w:p>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否</w:t>
            </w:r>
          </w:p>
        </w:tc>
      </w:tr>
    </w:tbl>
    <w:p>
      <w:pPr>
        <w:pStyle w:val="3"/>
        <w:keepNext w:val="0"/>
        <w:spacing w:before="0" w:after="0" w:line="540" w:lineRule="exact"/>
        <w:rPr>
          <w:rFonts w:ascii="仿宋_GB2312" w:hAnsi="仿宋_GB2312" w:eastAsia="仿宋_GB2312" w:cs="仿宋_GB2312"/>
          <w:i w:val="0"/>
          <w:iCs w:val="0"/>
        </w:rPr>
      </w:pPr>
    </w:p>
    <w:p>
      <w:pPr>
        <w:pStyle w:val="3"/>
        <w:keepNext w:val="0"/>
        <w:spacing w:before="0" w:after="0" w:line="540" w:lineRule="exact"/>
        <w:rPr>
          <w:rFonts w:ascii="仿宋_GB2312" w:hAnsi="仿宋_GB2312" w:eastAsia="仿宋_GB2312" w:cs="仿宋_GB2312"/>
        </w:rPr>
      </w:pPr>
      <w:bookmarkStart w:id="29" w:name="_Toc195778316"/>
      <w:r>
        <w:rPr>
          <w:rFonts w:hint="eastAsia" w:ascii="仿宋_GB2312" w:hAnsi="仿宋_GB2312" w:eastAsia="仿宋_GB2312" w:cs="仿宋_GB2312"/>
          <w:i w:val="0"/>
          <w:iCs w:val="0"/>
        </w:rPr>
        <w:t>3.4服务要求</w:t>
      </w:r>
      <w:bookmarkEnd w:id="29"/>
    </w:p>
    <w:p>
      <w:pPr>
        <w:shd w:val="clear" w:color="auto" w:fill="FFFFFF"/>
        <w:spacing w:line="540" w:lineRule="exact"/>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3.4.1系统集成服务</w:t>
      </w:r>
    </w:p>
    <w:p>
      <w:pPr>
        <w:shd w:val="clear" w:color="auto" w:fill="FFFFFF"/>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中标供应商须提供集成服务，提供所有硬件设备的到货、安装、配置、调试等全部系统集成服务。</w:t>
      </w:r>
    </w:p>
    <w:p>
      <w:pPr>
        <w:pStyle w:val="18"/>
        <w:numPr>
          <w:ilvl w:val="4"/>
          <w:numId w:val="0"/>
        </w:numPr>
        <w:spacing w:before="0" w:after="0" w:line="540" w:lineRule="exact"/>
        <w:rPr>
          <w:rFonts w:ascii="仿宋_GB2312" w:hAnsi="仿宋_GB2312" w:eastAsia="仿宋_GB2312" w:cs="仿宋_GB2312"/>
          <w:b/>
          <w:bCs w:val="0"/>
          <w:sz w:val="28"/>
          <w:lang w:eastAsia="zh-CN"/>
        </w:rPr>
      </w:pPr>
      <w:r>
        <w:rPr>
          <w:rFonts w:hint="eastAsia" w:ascii="仿宋_GB2312" w:hAnsi="仿宋_GB2312" w:eastAsia="仿宋_GB2312" w:cs="仿宋_GB2312"/>
          <w:b/>
          <w:bCs w:val="0"/>
          <w:sz w:val="28"/>
          <w:lang w:eastAsia="zh-CN"/>
        </w:rPr>
        <w:t>3.4.2售后服务要求</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中标供应商必须向采购人承诺技术后援支持。为用户设备提供1年免费技术支持，中标供应商在应答时应详细阐述免费技术支持的内容与范围。</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1.设备质保</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（1）设备质保期为1年，质保期自项目终验合格之日起之日起计算，只换不修。</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（2）设备运行过程中如果出现技术故障，投标供应商应保证48小时内解决问题。</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2.系统维护服务保证</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投标供应商必须向项目单位说明并承诺下列系统维护服务内容：</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（1）1年内免费系统故障处理。诊断、解决系统故障，对其错误及缺陷进行排错。接到采购人请求后，0.5小时内给出实质性响应，需要现场维护的，2小时内到达现场，并提供7×24小时的电话技术支持。</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（2）中标供应商书面承诺在接到采购人保修电话后2个小时内维修人员到达现场提供售后服务。</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3.备品与备件</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3"/>
        <w:keepNext w:val="0"/>
        <w:spacing w:before="0" w:after="0" w:line="540" w:lineRule="exact"/>
        <w:rPr>
          <w:rFonts w:ascii="仿宋_GB2312" w:hAnsi="仿宋_GB2312" w:eastAsia="仿宋_GB2312" w:cs="仿宋_GB2312"/>
          <w:lang w:eastAsia="zh-CN"/>
        </w:rPr>
      </w:pPr>
      <w:bookmarkStart w:id="30" w:name="_Toc195778317"/>
      <w:r>
        <w:rPr>
          <w:rFonts w:hint="eastAsia" w:ascii="仿宋_GB2312" w:hAnsi="仿宋_GB2312" w:eastAsia="仿宋_GB2312" w:cs="仿宋_GB2312"/>
          <w:i w:val="0"/>
          <w:iCs w:val="0"/>
          <w:lang w:eastAsia="zh-CN"/>
        </w:rPr>
        <w:t>3.5其他要求</w:t>
      </w:r>
      <w:bookmarkEnd w:id="30"/>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2"/>
        <w:keepNext w:val="0"/>
        <w:spacing w:before="0" w:after="0" w:line="540" w:lineRule="exact"/>
        <w:jc w:val="center"/>
        <w:rPr>
          <w:rFonts w:ascii="仿宋_GB2312" w:hAnsi="仿宋_GB2312" w:eastAsia="仿宋_GB2312" w:cs="仿宋_GB2312"/>
          <w:sz w:val="32"/>
          <w:szCs w:val="32"/>
          <w:lang w:eastAsia="zh-CN"/>
        </w:rPr>
      </w:pPr>
      <w:bookmarkStart w:id="31" w:name="_Toc195778318"/>
      <w:r>
        <w:rPr>
          <w:rFonts w:hint="eastAsia" w:ascii="仿宋_GB2312" w:hAnsi="仿宋_GB2312" w:eastAsia="仿宋_GB2312" w:cs="仿宋_GB2312"/>
          <w:kern w:val="36"/>
          <w:sz w:val="32"/>
          <w:szCs w:val="32"/>
          <w:lang w:eastAsia="zh-CN"/>
        </w:rPr>
        <w:t>4人员要求</w:t>
      </w:r>
      <w:bookmarkEnd w:id="31"/>
    </w:p>
    <w:p>
      <w:pPr>
        <w:pStyle w:val="4"/>
        <w:keepNext w:val="0"/>
        <w:spacing w:before="0" w:after="0" w:line="540" w:lineRule="exact"/>
        <w:rPr>
          <w:rFonts w:ascii="仿宋_GB2312" w:hAnsi="仿宋_GB2312" w:eastAsia="仿宋_GB2312" w:cs="仿宋_GB2312"/>
          <w:sz w:val="28"/>
          <w:szCs w:val="28"/>
          <w:lang w:eastAsia="zh-CN"/>
        </w:rPr>
      </w:pPr>
      <w:bookmarkStart w:id="32" w:name="_Toc195778319"/>
      <w:r>
        <w:rPr>
          <w:rFonts w:hint="eastAsia" w:ascii="仿宋_GB2312" w:hAnsi="仿宋_GB2312" w:eastAsia="仿宋_GB2312" w:cs="仿宋_GB2312"/>
          <w:sz w:val="28"/>
          <w:szCs w:val="28"/>
          <w:lang w:eastAsia="zh-CN"/>
        </w:rPr>
        <w:t>4.1团队要求</w:t>
      </w:r>
      <w:bookmarkEnd w:id="32"/>
    </w:p>
    <w:p>
      <w:pPr>
        <w:pStyle w:val="4"/>
        <w:keepNext w:val="0"/>
        <w:spacing w:before="0" w:after="0" w:line="540" w:lineRule="exact"/>
        <w:rPr>
          <w:rFonts w:ascii="仿宋_GB2312" w:hAnsi="仿宋_GB2312" w:eastAsia="仿宋_GB2312" w:cs="仿宋_GB2312"/>
          <w:sz w:val="28"/>
          <w:szCs w:val="28"/>
          <w:lang w:eastAsia="zh-CN"/>
        </w:rPr>
      </w:pPr>
      <w:bookmarkStart w:id="33" w:name="_Toc195778320"/>
      <w:r>
        <w:rPr>
          <w:rFonts w:hint="eastAsia" w:ascii="仿宋_GB2312" w:hAnsi="仿宋_GB2312" w:eastAsia="仿宋_GB2312" w:cs="仿宋_GB2312"/>
          <w:sz w:val="28"/>
          <w:szCs w:val="28"/>
          <w:lang w:eastAsia="zh-CN"/>
        </w:rPr>
        <w:t>4.1.1基本要求</w:t>
      </w:r>
      <w:bookmarkEnd w:id="33"/>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4"/>
        <w:keepNext w:val="0"/>
        <w:keepLines w:val="0"/>
        <w:pageBreakBefore w:val="0"/>
        <w:widowControl/>
        <w:kinsoku/>
        <w:wordWrap/>
        <w:overflowPunct/>
        <w:topLinePunct w:val="0"/>
        <w:autoSpaceDE/>
        <w:autoSpaceDN/>
        <w:bidi w:val="0"/>
        <w:adjustRightInd/>
        <w:snapToGrid/>
        <w:spacing w:before="0" w:after="0" w:line="540" w:lineRule="exact"/>
        <w:textAlignment w:val="auto"/>
        <w:rPr>
          <w:rFonts w:ascii="仿宋_GB2312" w:hAnsi="仿宋_GB2312" w:eastAsia="仿宋_GB2312" w:cs="仿宋_GB2312"/>
          <w:sz w:val="28"/>
          <w:szCs w:val="28"/>
          <w:lang w:eastAsia="zh-CN"/>
        </w:rPr>
      </w:pPr>
      <w:bookmarkStart w:id="34" w:name="_Toc195778321"/>
      <w:r>
        <w:rPr>
          <w:rFonts w:hint="eastAsia" w:ascii="仿宋_GB2312" w:hAnsi="仿宋_GB2312" w:eastAsia="仿宋_GB2312" w:cs="仿宋_GB2312"/>
          <w:sz w:val="28"/>
          <w:szCs w:val="28"/>
          <w:lang w:eastAsia="zh-CN"/>
        </w:rPr>
        <w:t>4.1.2优选资质/优选指标</w:t>
      </w:r>
      <w:bookmarkEnd w:id="34"/>
    </w:p>
    <w:tbl>
      <w:tblPr>
        <w:tblStyle w:val="14"/>
        <w:tblW w:w="5000" w:type="pct"/>
        <w:tblInd w:w="30" w:type="dxa"/>
        <w:shd w:val="clear" w:color="auto" w:fill="auto"/>
        <w:tblLayout w:type="autofit"/>
        <w:tblCellMar>
          <w:top w:w="15" w:type="dxa"/>
          <w:left w:w="15" w:type="dxa"/>
          <w:bottom w:w="15" w:type="dxa"/>
          <w:right w:w="15" w:type="dxa"/>
        </w:tblCellMar>
      </w:tblPr>
      <w:tblGrid>
        <w:gridCol w:w="1007"/>
        <w:gridCol w:w="2015"/>
        <w:gridCol w:w="2016"/>
        <w:gridCol w:w="2016"/>
        <w:gridCol w:w="2016"/>
      </w:tblGrid>
      <w:tr>
        <w:tblPrEx>
          <w:shd w:val="clear" w:color="auto" w:fill="auto"/>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人员类别</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人员岗位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人员要求</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是否作为加分项</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w:t>
            </w:r>
          </w:p>
        </w:tc>
      </w:tr>
    </w:tbl>
    <w:p>
      <w:pPr>
        <w:pStyle w:val="2"/>
        <w:keepNext w:val="0"/>
        <w:spacing w:before="0" w:after="0" w:line="540" w:lineRule="exact"/>
        <w:jc w:val="center"/>
        <w:rPr>
          <w:rFonts w:ascii="仿宋_GB2312" w:hAnsi="仿宋_GB2312" w:eastAsia="仿宋_GB2312" w:cs="仿宋_GB2312"/>
          <w:sz w:val="32"/>
          <w:szCs w:val="32"/>
        </w:rPr>
      </w:pPr>
      <w:bookmarkStart w:id="35" w:name="_Toc195778322"/>
      <w:r>
        <w:rPr>
          <w:rFonts w:hint="eastAsia" w:ascii="仿宋_GB2312" w:hAnsi="仿宋_GB2312" w:eastAsia="仿宋_GB2312" w:cs="仿宋_GB2312"/>
          <w:kern w:val="36"/>
          <w:sz w:val="32"/>
          <w:szCs w:val="32"/>
        </w:rPr>
        <w:t>5管理实施要求</w:t>
      </w:r>
      <w:bookmarkEnd w:id="35"/>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1.供应商负责项目所有设备的上架、安装，协助做好系统安装</w:t>
      </w:r>
      <w:r>
        <w:rPr>
          <w:rFonts w:ascii="仿宋_GB2312" w:hAnsi="仿宋_GB2312" w:eastAsia="仿宋_GB2312" w:cs="仿宋_GB2312"/>
          <w:sz w:val="28"/>
          <w:szCs w:val="28"/>
          <w:lang w:eastAsia="zh-CN"/>
        </w:rPr>
        <w:t xml:space="preserve"> </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2.供应商负责项目文档资料管理，对于项目施工过程中的施工方案、验收报告等所有资料进行归类整理并装订成册，提交用户留存。</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货物清单中未列出但项目中必须的设备材料，以及系统运行和验收需要的所有费用都须包含在投标报价中。供应商在投标报价中的错算或漏算，由供应商承担全部损失。供应商应能保证系统使用运行所需的备件和具备相关技术保障机制，如出现设备故障，需更换设备或配件，供应商应在4小时内提供并更换设备或备件，备件要保证为新品，不能因为设备停产而拒绝提供设备、备品备件。供应商派专业技术人员对采购人方的技术人员免费进行使用操作、维护等技术的现场培训，直至采购人方的技术人员能独立工作；供应商免费指导所投产品所有部分的使用和维护。供应商能够根据客户的需求，对设备进行安装、迁移、配置、优化，对系统打补丁、升级，保证采购人的扩展需求。</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4.供应商在项目实施过程中，如出现以下情形须承担相应的违约责任。</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中标人逾期交付货物的，中标人应按合同全款每日6‰向招标人支付违约金，由招标人从待付货款中扣除。逾期超过约定日期五个工作日不能交货的，招标人可解除本合同。中标人因逾期交货或因其他违约行为导致招标方解除合同的，中标人应向招标人支付合同全款5%的违约金，如造成招标人损失超过违约金的，超出部分由中标人继续承担赔偿责任。</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中标人所交的货物品种、型号、规格、技术参数、质量不符合合同规定及招标文件规定标准的，招标人有权拒收该货物，中标人愿意更换货物但逾期交货的，按中标人逾期交货处理。中标人拒绝更换货物的，招标人可单方面解除合同。</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（3）中标人未在规定时间内完成故障处理、更换配件等后续维保服务的，对投标人造成的损失应由中标人承担，每次扣除履约保证金20%。</w:t>
      </w:r>
    </w:p>
    <w:p>
      <w:pPr>
        <w:pStyle w:val="2"/>
        <w:keepNext w:val="0"/>
        <w:spacing w:before="0" w:after="0" w:line="540" w:lineRule="exact"/>
        <w:jc w:val="center"/>
        <w:rPr>
          <w:rFonts w:ascii="仿宋_GB2312" w:hAnsi="仿宋_GB2312" w:eastAsia="仿宋_GB2312" w:cs="仿宋_GB2312"/>
          <w:sz w:val="32"/>
          <w:szCs w:val="32"/>
          <w:lang w:eastAsia="zh-CN"/>
        </w:rPr>
      </w:pPr>
      <w:bookmarkStart w:id="36" w:name="_Toc195778323"/>
      <w:r>
        <w:rPr>
          <w:rFonts w:hint="eastAsia" w:ascii="仿宋_GB2312" w:hAnsi="仿宋_GB2312" w:eastAsia="仿宋_GB2312" w:cs="仿宋_GB2312"/>
          <w:kern w:val="36"/>
          <w:sz w:val="32"/>
          <w:szCs w:val="32"/>
          <w:lang w:eastAsia="zh-CN"/>
        </w:rPr>
        <w:t>6风险管控要求</w:t>
      </w:r>
      <w:bookmarkEnd w:id="36"/>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2"/>
        <w:keepNext w:val="0"/>
        <w:spacing w:before="0" w:after="0" w:line="540" w:lineRule="exact"/>
        <w:jc w:val="center"/>
        <w:rPr>
          <w:rFonts w:ascii="仿宋_GB2312" w:hAnsi="仿宋_GB2312" w:eastAsia="仿宋_GB2312" w:cs="仿宋_GB2312"/>
          <w:sz w:val="32"/>
          <w:szCs w:val="32"/>
          <w:lang w:eastAsia="zh-CN"/>
        </w:rPr>
      </w:pPr>
      <w:bookmarkStart w:id="37" w:name="_Toc195778324"/>
      <w:r>
        <w:rPr>
          <w:rFonts w:hint="eastAsia" w:ascii="仿宋_GB2312" w:hAnsi="仿宋_GB2312" w:eastAsia="仿宋_GB2312" w:cs="仿宋_GB2312"/>
          <w:kern w:val="36"/>
          <w:sz w:val="32"/>
          <w:szCs w:val="32"/>
          <w:lang w:eastAsia="zh-CN"/>
        </w:rPr>
        <w:t>7履约验收要求</w:t>
      </w:r>
      <w:bookmarkEnd w:id="37"/>
    </w:p>
    <w:p>
      <w:pPr>
        <w:pStyle w:val="3"/>
        <w:keepNext w:val="0"/>
        <w:spacing w:before="0" w:after="0" w:line="540" w:lineRule="exact"/>
        <w:rPr>
          <w:rFonts w:ascii="仿宋_GB2312" w:hAnsi="仿宋_GB2312" w:eastAsia="仿宋_GB2312" w:cs="仿宋_GB2312"/>
        </w:rPr>
      </w:pPr>
      <w:bookmarkStart w:id="38" w:name="_Toc195778325"/>
      <w:r>
        <w:rPr>
          <w:rFonts w:hint="eastAsia" w:ascii="仿宋_GB2312" w:hAnsi="仿宋_GB2312" w:eastAsia="仿宋_GB2312" w:cs="仿宋_GB2312"/>
          <w:i w:val="0"/>
          <w:iCs w:val="0"/>
        </w:rPr>
        <w:t>7.1总体要求</w:t>
      </w:r>
      <w:bookmarkEnd w:id="38"/>
    </w:p>
    <w:tbl>
      <w:tblPr>
        <w:tblStyle w:val="14"/>
        <w:tblW w:w="5000" w:type="pct"/>
        <w:tblInd w:w="30" w:type="dxa"/>
        <w:shd w:val="clear" w:color="auto" w:fill="auto"/>
        <w:tblLayout w:type="autofit"/>
        <w:tblCellMar>
          <w:top w:w="15" w:type="dxa"/>
          <w:left w:w="15" w:type="dxa"/>
          <w:bottom w:w="15" w:type="dxa"/>
          <w:right w:w="15" w:type="dxa"/>
        </w:tblCellMar>
      </w:tblPr>
      <w:tblGrid>
        <w:gridCol w:w="4535"/>
        <w:gridCol w:w="4535"/>
      </w:tblGrid>
      <w:tr>
        <w:tblPrEx>
          <w:shd w:val="clear" w:color="auto" w:fill="auto"/>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第1次验收</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rPr>
              <w:t>到货验收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w:t>
            </w:r>
            <w:r>
              <w:rPr>
                <w:rFonts w:hint="eastAsia" w:ascii="仿宋_GB2312" w:hAnsi="仿宋_GB2312" w:eastAsia="仿宋_GB2312" w:cs="仿宋_GB2312"/>
                <w:color w:val="000000"/>
                <w:sz w:val="21"/>
                <w:szCs w:val="21"/>
                <w:lang w:eastAsia="zh-CN"/>
              </w:rPr>
              <w:t>2</w:t>
            </w:r>
            <w:r>
              <w:rPr>
                <w:rFonts w:hint="eastAsia" w:ascii="仿宋_GB2312" w:hAnsi="仿宋_GB2312" w:eastAsia="仿宋_GB2312" w:cs="仿宋_GB2312"/>
                <w:color w:val="000000"/>
                <w:sz w:val="21"/>
                <w:szCs w:val="21"/>
              </w:rPr>
              <w:t>次验收</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最终验收</w:t>
            </w:r>
          </w:p>
        </w:tc>
      </w:tr>
    </w:tbl>
    <w:p>
      <w:pPr>
        <w:pStyle w:val="4"/>
        <w:keepNext w:val="0"/>
        <w:spacing w:before="0" w:after="0" w:line="540" w:lineRule="exact"/>
        <w:rPr>
          <w:rFonts w:ascii="仿宋_GB2312" w:hAnsi="仿宋_GB2312" w:eastAsia="仿宋_GB2312" w:cs="仿宋_GB2312"/>
          <w:sz w:val="28"/>
          <w:szCs w:val="28"/>
          <w:lang w:eastAsia="zh-CN"/>
        </w:rPr>
      </w:pPr>
      <w:bookmarkStart w:id="39" w:name="_Toc195778326"/>
      <w:r>
        <w:rPr>
          <w:rFonts w:hint="eastAsia" w:ascii="仿宋_GB2312" w:hAnsi="仿宋_GB2312" w:eastAsia="仿宋_GB2312" w:cs="仿宋_GB2312"/>
          <w:sz w:val="28"/>
          <w:szCs w:val="28"/>
        </w:rPr>
        <w:t>7.2具体要求</w:t>
      </w:r>
      <w:bookmarkEnd w:id="39"/>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（一）到货验收</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合同硬件产品到达采购人指定的地点后，供应商与采购人共同开箱验货，依标书要求对全部产品的型号、规格、数量、外形、包装及资料、文件进行验收。当出现损坏、数量不全或产品不符等问题时，由供应商负责解决；同时按标书技术部分要求对其产品的性能和配置进行测试检查，确保设备正常运行，并达到标书要求的性能和产品指标中规定的性能。</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供应商保证所提供设备必须是全新产品。</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（二）最终验收</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完成配件安装，系统稳定运行1个月后，供应商提供验收测试计划，按采购人要求对设备进行现场验收测试，对硬件技术指标总体性能进行验收。</w:t>
      </w:r>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系统验收后，签署系统终验文件。</w:t>
      </w:r>
    </w:p>
    <w:p>
      <w:pPr>
        <w:pStyle w:val="2"/>
        <w:keepNext w:val="0"/>
        <w:spacing w:before="0" w:after="0" w:line="540" w:lineRule="exact"/>
        <w:jc w:val="center"/>
        <w:rPr>
          <w:rFonts w:ascii="仿宋_GB2312" w:hAnsi="仿宋_GB2312" w:eastAsia="仿宋_GB2312" w:cs="仿宋_GB2312"/>
          <w:sz w:val="28"/>
          <w:szCs w:val="28"/>
          <w:lang w:eastAsia="zh-CN"/>
        </w:rPr>
      </w:pPr>
      <w:bookmarkStart w:id="40" w:name="_Toc195778327"/>
      <w:r>
        <w:rPr>
          <w:rFonts w:hint="eastAsia" w:ascii="仿宋_GB2312" w:hAnsi="仿宋_GB2312" w:eastAsia="仿宋_GB2312" w:cs="仿宋_GB2312"/>
          <w:b/>
          <w:bCs/>
          <w:kern w:val="36"/>
          <w:sz w:val="32"/>
          <w:szCs w:val="32"/>
          <w:lang w:eastAsia="zh-CN"/>
        </w:rPr>
        <w:t>8其他要求</w:t>
      </w:r>
      <w:bookmarkEnd w:id="40"/>
    </w:p>
    <w:p>
      <w:pPr>
        <w:pStyle w:val="3"/>
        <w:keepNext w:val="0"/>
        <w:spacing w:before="0" w:after="0" w:line="540" w:lineRule="exact"/>
        <w:rPr>
          <w:rFonts w:ascii="仿宋_GB2312" w:hAnsi="仿宋_GB2312" w:eastAsia="仿宋_GB2312" w:cs="仿宋_GB2312"/>
          <w:lang w:eastAsia="zh-CN"/>
        </w:rPr>
      </w:pPr>
      <w:bookmarkStart w:id="41" w:name="_Toc195778328"/>
      <w:r>
        <w:rPr>
          <w:rFonts w:hint="eastAsia" w:ascii="仿宋_GB2312" w:hAnsi="仿宋_GB2312" w:eastAsia="仿宋_GB2312" w:cs="仿宋_GB2312"/>
          <w:i w:val="0"/>
          <w:iCs w:val="0"/>
          <w:lang w:eastAsia="zh-CN"/>
        </w:rPr>
        <w:t>8.1必备要求</w:t>
      </w:r>
      <w:bookmarkEnd w:id="41"/>
    </w:p>
    <w:p>
      <w:pPr>
        <w:pStyle w:val="3"/>
        <w:keepNext w:val="0"/>
        <w:spacing w:before="0" w:after="0" w:line="540" w:lineRule="exact"/>
        <w:rPr>
          <w:rFonts w:ascii="仿宋_GB2312" w:hAnsi="仿宋_GB2312" w:eastAsia="仿宋_GB2312" w:cs="仿宋_GB2312"/>
          <w:lang w:eastAsia="zh-CN"/>
        </w:rPr>
      </w:pPr>
      <w:bookmarkStart w:id="42" w:name="_Toc195778329"/>
      <w:r>
        <w:rPr>
          <w:rFonts w:hint="eastAsia" w:ascii="仿宋_GB2312" w:hAnsi="仿宋_GB2312" w:eastAsia="仿宋_GB2312" w:cs="仿宋_GB2312"/>
          <w:i w:val="0"/>
          <w:iCs w:val="0"/>
          <w:lang w:eastAsia="zh-CN"/>
        </w:rPr>
        <w:t>8.1.1通用必备要求</w:t>
      </w:r>
      <w:bookmarkEnd w:id="42"/>
      <w:bookmarkStart w:id="53" w:name="_GoBack"/>
      <w:bookmarkEnd w:id="53"/>
    </w:p>
    <w:p>
      <w:pPr>
        <w:spacing w:line="540" w:lineRule="exact"/>
        <w:ind w:firstLine="561"/>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spacing w:line="540" w:lineRule="exact"/>
        <w:ind w:firstLine="561"/>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spacing w:line="540" w:lineRule="exact"/>
        <w:ind w:firstLine="561"/>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3.本项目中如涉及国家强制性产品认证证书（CCC 认证证书）、电信设备进网许可证、无线电发射设备核准证等市场准入类资质的，应严格执行国家相关法律法规的要求。 </w:t>
      </w:r>
    </w:p>
    <w:p>
      <w:pPr>
        <w:spacing w:line="540" w:lineRule="exact"/>
        <w:ind w:firstLine="561"/>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3"/>
        <w:keepNext w:val="0"/>
        <w:spacing w:before="0" w:after="0" w:line="540" w:lineRule="exact"/>
        <w:rPr>
          <w:rFonts w:hint="eastAsia" w:ascii="仿宋_GB2312" w:hAnsi="仿宋_GB2312" w:eastAsia="仿宋_GB2312" w:cs="仿宋_GB2312"/>
          <w:i w:val="0"/>
          <w:iCs w:val="0"/>
        </w:rPr>
      </w:pPr>
      <w:bookmarkStart w:id="43" w:name="_Toc195778330"/>
      <w:r>
        <w:rPr>
          <w:rFonts w:hint="eastAsia" w:ascii="仿宋_GB2312" w:hAnsi="仿宋_GB2312" w:eastAsia="仿宋_GB2312" w:cs="仿宋_GB2312"/>
          <w:i w:val="0"/>
          <w:iCs w:val="0"/>
        </w:rPr>
        <w:t>8.2付款安排建议</w:t>
      </w:r>
      <w:bookmarkEnd w:id="43"/>
    </w:p>
    <w:p>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lang w:eastAsia="zh-CN"/>
        </w:rPr>
      </w:pPr>
      <w:r>
        <w:rPr>
          <w:rFonts w:hint="eastAsia" w:ascii="仿宋_GB2312" w:hAnsi="宋体" w:eastAsia="仿宋_GB2312" w:cs="Arial"/>
          <w:b w:val="0"/>
          <w:bCs/>
          <w:i w:val="0"/>
          <w:iCs/>
          <w:color w:val="000000" w:themeColor="text1"/>
          <w:sz w:val="28"/>
          <w:szCs w:val="28"/>
          <w:lang w:val="en-US" w:eastAsia="zh-CN" w:bidi="ar-SA"/>
          <w14:textFill>
            <w14:solidFill>
              <w14:schemeClr w14:val="tx1"/>
            </w14:solidFill>
          </w14:textFill>
        </w:rPr>
        <w:t>如因上级部门政策变化、重大技术变化等导致服务内容需要调整的，根据实际发生额支付费用。根据付款进度安排，供应商及时向采购人提供发票及相关资料，交采购人审核后10个工作日内支付服务费（节假日顺延）。</w:t>
      </w:r>
    </w:p>
    <w:tbl>
      <w:tblPr>
        <w:tblStyle w:val="14"/>
        <w:tblW w:w="5000" w:type="pct"/>
        <w:tblInd w:w="30" w:type="dxa"/>
        <w:shd w:val="clear" w:color="auto" w:fill="auto"/>
        <w:tblLayout w:type="autofit"/>
        <w:tblCellMar>
          <w:top w:w="15" w:type="dxa"/>
          <w:left w:w="15" w:type="dxa"/>
          <w:bottom w:w="15" w:type="dxa"/>
          <w:right w:w="15" w:type="dxa"/>
        </w:tblCellMar>
      </w:tblPr>
      <w:tblGrid>
        <w:gridCol w:w="1814"/>
        <w:gridCol w:w="5442"/>
        <w:gridCol w:w="1814"/>
      </w:tblGrid>
      <w:tr>
        <w:tblPrEx>
          <w:shd w:val="clear" w:color="auto" w:fill="auto"/>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到货验收合格</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6</w:t>
            </w:r>
            <w:r>
              <w:rPr>
                <w:rFonts w:hint="eastAsia" w:ascii="仿宋_GB2312" w:hAnsi="仿宋_GB2312" w:eastAsia="仿宋_GB2312" w:cs="仿宋_GB2312"/>
                <w:color w:val="000000"/>
                <w:sz w:val="21"/>
                <w:szCs w:val="21"/>
              </w:rPr>
              <w:t>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w:t>
            </w:r>
            <w:r>
              <w:rPr>
                <w:rFonts w:hint="eastAsia" w:ascii="仿宋_GB2312" w:hAnsi="仿宋_GB2312" w:eastAsia="仿宋_GB2312" w:cs="仿宋_GB2312"/>
                <w:color w:val="000000"/>
                <w:sz w:val="21"/>
                <w:szCs w:val="21"/>
                <w:lang w:eastAsia="zh-CN"/>
              </w:rPr>
              <w:t>2</w:t>
            </w:r>
            <w:r>
              <w:rPr>
                <w:rFonts w:hint="eastAsia" w:ascii="仿宋_GB2312" w:hAnsi="仿宋_GB2312" w:eastAsia="仿宋_GB2312" w:cs="仿宋_GB2312"/>
                <w:color w:val="000000"/>
                <w:sz w:val="21"/>
                <w:szCs w:val="21"/>
              </w:rPr>
              <w:t>次付款</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终验合格</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22" w:type="dxa"/>
              <w:left w:w="22" w:type="dxa"/>
              <w:bottom w:w="22" w:type="dxa"/>
              <w:right w:w="22" w:type="dxa"/>
            </w:tcMar>
            <w:vAlign w:val="center"/>
          </w:tcPr>
          <w:p>
            <w:pPr>
              <w:spacing w:line="540" w:lineRule="exact"/>
              <w:jc w:val="center"/>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40</w:t>
            </w:r>
          </w:p>
        </w:tc>
      </w:tr>
    </w:tbl>
    <w:p>
      <w:pPr>
        <w:pStyle w:val="3"/>
        <w:keepNext w:val="0"/>
        <w:spacing w:before="0" w:after="0" w:line="540" w:lineRule="exact"/>
        <w:rPr>
          <w:rFonts w:ascii="仿宋_GB2312" w:hAnsi="仿宋_GB2312" w:eastAsia="仿宋_GB2312" w:cs="仿宋_GB2312"/>
          <w:i w:val="0"/>
          <w:iCs w:val="0"/>
          <w:lang w:eastAsia="zh-CN"/>
        </w:rPr>
      </w:pPr>
      <w:bookmarkStart w:id="44" w:name="_Toc195778331"/>
      <w:r>
        <w:rPr>
          <w:rFonts w:hint="eastAsia" w:ascii="仿宋_GB2312" w:hAnsi="仿宋_GB2312" w:eastAsia="仿宋_GB2312" w:cs="仿宋_GB2312"/>
          <w:i w:val="0"/>
          <w:iCs w:val="0"/>
        </w:rPr>
        <w:t>8.3其他要求</w:t>
      </w:r>
      <w:bookmarkEnd w:id="44"/>
    </w:p>
    <w:p>
      <w:pPr>
        <w:pStyle w:val="4"/>
        <w:keepNext w:val="0"/>
        <w:spacing w:before="0" w:after="0" w:line="540" w:lineRule="exact"/>
        <w:rPr>
          <w:rFonts w:ascii="仿宋_GB2312" w:hAnsi="仿宋_GB2312" w:eastAsia="仿宋_GB2312" w:cs="仿宋_GB2312"/>
          <w:sz w:val="28"/>
          <w:szCs w:val="28"/>
        </w:rPr>
      </w:pPr>
      <w:bookmarkStart w:id="45" w:name="_Toc195778332"/>
      <w:r>
        <w:rPr>
          <w:rFonts w:hint="eastAsia" w:ascii="仿宋_GB2312" w:hAnsi="仿宋_GB2312" w:eastAsia="仿宋_GB2312" w:cs="仿宋_GB2312"/>
          <w:sz w:val="28"/>
          <w:szCs w:val="28"/>
        </w:rPr>
        <w:t>8.3.1保密要求</w:t>
      </w:r>
      <w:bookmarkEnd w:id="45"/>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严格恪守对项目及技术的保密责任：</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1．所有项目相关人员不得以任何形式向任何第三方透露本合同项目合作计划及相关内容。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2．所有项目相关人员，不得以任何方式向任何第三方透露与本项目有关的任何技术资料。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3．供应商不得以任何方式向第三方泄露采购人的业务数据、业务实务及相关信息及文档。</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4.供应商需签订保密协议，相关运维人员签订保密承诺书，承担保密义务，对出现的泄密事件负有法律责任。</w:t>
      </w:r>
    </w:p>
    <w:p>
      <w:pPr>
        <w:pStyle w:val="4"/>
        <w:keepNext w:val="0"/>
        <w:spacing w:before="0" w:after="0" w:line="540" w:lineRule="exact"/>
        <w:rPr>
          <w:rFonts w:ascii="仿宋_GB2312" w:hAnsi="仿宋_GB2312" w:eastAsia="仿宋_GB2312" w:cs="仿宋_GB2312"/>
          <w:sz w:val="28"/>
          <w:szCs w:val="28"/>
          <w:lang w:eastAsia="zh-CN"/>
        </w:rPr>
      </w:pPr>
      <w:bookmarkStart w:id="46" w:name="_Toc195778333"/>
      <w:r>
        <w:rPr>
          <w:rFonts w:hint="eastAsia" w:ascii="仿宋_GB2312" w:hAnsi="仿宋_GB2312" w:eastAsia="仿宋_GB2312" w:cs="仿宋_GB2312"/>
          <w:sz w:val="28"/>
          <w:szCs w:val="28"/>
          <w:lang w:eastAsia="zh-CN"/>
        </w:rPr>
        <w:t>8.3.2知识产权要求</w:t>
      </w:r>
      <w:bookmarkEnd w:id="46"/>
    </w:p>
    <w:p>
      <w:pPr>
        <w:spacing w:line="540" w:lineRule="exact"/>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pPr>
        <w:pStyle w:val="4"/>
        <w:keepNext w:val="0"/>
        <w:spacing w:before="0" w:after="0" w:line="540" w:lineRule="exact"/>
        <w:rPr>
          <w:rFonts w:ascii="仿宋_GB2312" w:hAnsi="仿宋_GB2312" w:eastAsia="仿宋_GB2312" w:cs="仿宋_GB2312"/>
          <w:sz w:val="28"/>
          <w:szCs w:val="28"/>
          <w:lang w:eastAsia="zh-CN"/>
        </w:rPr>
      </w:pPr>
      <w:bookmarkStart w:id="47" w:name="_Toc256000042"/>
      <w:bookmarkStart w:id="48" w:name="_Toc195778334"/>
      <w:r>
        <w:rPr>
          <w:rFonts w:hint="eastAsia" w:ascii="仿宋_GB2312" w:hAnsi="仿宋_GB2312" w:eastAsia="仿宋_GB2312" w:cs="仿宋_GB2312"/>
          <w:sz w:val="28"/>
          <w:szCs w:val="28"/>
          <w:lang w:eastAsia="zh-CN"/>
        </w:rPr>
        <w:t>8</w:t>
      </w:r>
      <w:r>
        <w:rPr>
          <w:rFonts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3</w:t>
      </w:r>
      <w:r>
        <w:rPr>
          <w:rFonts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3</w:t>
      </w:r>
      <w:r>
        <w:rPr>
          <w:rFonts w:ascii="仿宋_GB2312" w:hAnsi="仿宋_GB2312" w:eastAsia="仿宋_GB2312" w:cs="仿宋_GB2312"/>
          <w:sz w:val="28"/>
          <w:szCs w:val="28"/>
          <w:lang w:eastAsia="zh-CN"/>
        </w:rPr>
        <w:t>★供应链安全管理要求</w:t>
      </w:r>
      <w:bookmarkEnd w:id="47"/>
      <w:bookmarkEnd w:id="48"/>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1、人员资格要求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（1）签订承诺书。供应商应严格落实国家税务总局网络安全和保密管理要求，承担技术支持人员的网络安全和保密管理责任，按采购人要求签订协议和承诺书。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（2）开展背景审查。供应商承担技术支持人员背景审查工作，提供其身份证明、履历、家庭成员及主要社会关系、无犯罪记录证明等材料，并提交采购人进行备案。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3）设置网络安全负责人（由驻场运维人员兼任）。供应商为本项目配备一名网络安全负责人，该负责人具备独立决策能力并保持相对稳定，在项目实施的全过程负责网络安全工作，组织落实各项网络安全要求。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2、日常行为规范要求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（2）教育培训要求。供应商负责对技术支持人员进行网络和数据安全法律法规、网络安全意识、网络安全管理、网络安全技能、保密意识以及网络安全警示教育等培训，上岗前对其进行考核。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 xml:space="preserve">3、违约惩戒措施 </w:t>
      </w:r>
    </w:p>
    <w:p>
      <w:pPr>
        <w:spacing w:line="540" w:lineRule="exact"/>
        <w:ind w:firstLine="561"/>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供应商对供应链安全管理责任落实不到位，造成安全事件或产生不良影响的，采购人按照《税务系统信息化服务商失信行为记录名单制度（试行）》（税总办征科发〔2022〕1号）要求，组织对供应商进行失信行为认定，并采取相应的处置措施。</w:t>
      </w:r>
    </w:p>
    <w:p>
      <w:pPr>
        <w:pStyle w:val="4"/>
        <w:keepNext w:val="0"/>
        <w:spacing w:before="0" w:after="0" w:line="540" w:lineRule="exact"/>
        <w:rPr>
          <w:rFonts w:ascii="仿宋_GB2312" w:hAnsi="仿宋_GB2312" w:eastAsia="仿宋_GB2312" w:cs="仿宋_GB2312"/>
          <w:sz w:val="28"/>
          <w:szCs w:val="28"/>
          <w:lang w:eastAsia="zh-CN"/>
        </w:rPr>
      </w:pPr>
      <w:bookmarkStart w:id="49" w:name="_Toc12060"/>
      <w:bookmarkStart w:id="50" w:name="_Toc195778335"/>
      <w:r>
        <w:rPr>
          <w:rFonts w:hint="eastAsia" w:ascii="仿宋_GB2312" w:hAnsi="仿宋_GB2312" w:eastAsia="仿宋_GB2312" w:cs="仿宋_GB2312"/>
          <w:sz w:val="28"/>
          <w:szCs w:val="28"/>
          <w:lang w:eastAsia="zh-CN"/>
        </w:rPr>
        <w:t>8.3.4税务信息化服务商廉政相关要求</w:t>
      </w:r>
      <w:bookmarkEnd w:id="49"/>
      <w:bookmarkEnd w:id="50"/>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进一步落实全面从严治党要求，构建亲清新型政商关系，加强税务信息化项目建设过程中的党风廉政建设和反腐败工作，确保项目建设规范、廉洁推进，中标人在参与税务部门信息化项目工作过程中，需严格遵守法律法规、规范履行合同，积极协助税务部门开展廉政风险防控工作。请严格遵守并落实如下要求：</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1.积极发挥廉政风险防控正向作用。中标人有义务配合税务部门在信息化项目工作中加强廉政风险防控，执行有关措施。</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健全廉政风险防控机制。中标人有责任在项目管理机制中健全内部廉政防控措施，包括但不限于：对参与本项目的员工提出廉洁行为规范；指定专人对项目实施各环节进行廉政监督；在项目验收过程中提交本项目廉政情况报告等。</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3.杜绝违纪违法行为。中标人及相关项目人员必须严格遵守党纪国法，坚守职业道德，杜绝任何形式的利益输送、权力寻租等违纪违法行为，对甲方工作人员不得实施以下行为：</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（1）以各种形式和名义提供礼品、礼金、电子红包、支付凭证、商业预付卡、名贵特产、有价证券、股权、其他金融产品等财物。</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（2）以各种形式和名义提供宴请、旅游、健身、娱乐、私人会所等活动安排；代付加班餐费、打车费等。</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（3）以讲课费、咨询费等名义，提供或变相提供报酬。</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（4）借款、借房、借车，报销应由个人负担的费用。</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（5）以无偿、象征性地收取费用等方式提供家政、司机等服务劳务。</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（6）其他通过任何形式行贿或输送利益的行为。</w:t>
      </w:r>
    </w:p>
    <w:p>
      <w:pPr>
        <w:spacing w:line="540" w:lineRule="exact"/>
        <w:ind w:firstLine="560" w:firstLineChars="200"/>
        <w:jc w:val="both"/>
        <w:rPr>
          <w:rFonts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4.信守承诺。中标人应承诺在项目实施过程中，严格遵守国家法律法规合法、诚信经营，杜绝商业贿赂、规范经营活动、公开透明合作、严格内部管理，并签订《税务信息化项目服务商廉洁承诺书》提交甲方负责项目实施的单位。《税务信息化项目服务商廉洁承诺书》可参考以下内容：</w:t>
      </w:r>
    </w:p>
    <w:p>
      <w:pPr>
        <w:spacing w:line="540" w:lineRule="exact"/>
        <w:jc w:val="center"/>
        <w:rPr>
          <w:rFonts w:ascii="仿宋_GB2312" w:hAnsi="仿宋_GB2312" w:eastAsia="仿宋_GB2312" w:cs="仿宋_GB2312"/>
          <w:sz w:val="28"/>
          <w:szCs w:val="28"/>
          <w:lang w:eastAsia="zh-CN"/>
        </w:rPr>
      </w:pPr>
      <w:bookmarkStart w:id="51" w:name="_Toc6660"/>
      <w:bookmarkStart w:id="52" w:name="_Toc32004"/>
      <w:r>
        <w:rPr>
          <w:rFonts w:hint="eastAsia" w:ascii="仿宋_GB2312" w:hAnsi="仿宋_GB2312" w:eastAsia="仿宋_GB2312" w:cs="仿宋_GB2312"/>
          <w:b/>
          <w:bCs/>
          <w:sz w:val="28"/>
          <w:szCs w:val="28"/>
          <w:lang w:eastAsia="zh-CN"/>
        </w:rPr>
        <w:t>税务信息化服务商廉洁承诺书</w:t>
      </w:r>
      <w:bookmarkEnd w:id="51"/>
      <w:bookmarkEnd w:id="52"/>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为深入贯彻落实党中央关于全面从严治党的决策部署，进一步加强税务信息化项目合作中的廉政建设，防范廉政风险发生，确保项目公开、公平、公正推进，我司郑重承诺如下：</w:t>
      </w:r>
    </w:p>
    <w:p>
      <w:pPr>
        <w:spacing w:line="54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一、合法合规经营。</w:t>
      </w:r>
      <w:r>
        <w:rPr>
          <w:rFonts w:hint="eastAsia" w:ascii="仿宋_GB2312" w:hAnsi="仿宋_GB2312" w:eastAsia="仿宋_GB2312" w:cs="仿宋_GB2312"/>
          <w:sz w:val="28"/>
          <w:szCs w:val="28"/>
          <w:lang w:eastAsia="zh-CN"/>
        </w:rPr>
        <w:t>严格遵守国家法律法规及税务部门的相关规定，坚持廉洁从业、诚信经营的原则。在合作过程中不以任何形式进行利益输送，维护良好的政商关系。</w:t>
      </w:r>
    </w:p>
    <w:p>
      <w:pPr>
        <w:spacing w:line="54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二、杜绝商业贿赂。</w:t>
      </w:r>
      <w:r>
        <w:rPr>
          <w:rFonts w:hint="eastAsia" w:ascii="仿宋_GB2312" w:hAnsi="仿宋_GB2312" w:eastAsia="仿宋_GB2312" w:cs="仿宋_GB2312"/>
          <w:sz w:val="28"/>
          <w:szCs w:val="28"/>
          <w:lang w:eastAsia="zh-CN"/>
        </w:rPr>
        <w:t>加强内部管理，我司及我司员工均不对甲方工作人员实施以下行为：</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（一）以各种形式和名义提供礼品、礼金、电子红包、支付凭证、商业预付卡、名贵特产、有价证券、股权、其他金融产品等财物。</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（二）以各种形式和名义提供宴请、旅游、健身、娱乐、私人会所等活动安排；代付加班餐费、打车费等。</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（三）以讲课费、咨询费等名义，提供或变相提供报酬。</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（四）借款、借房、借车，报销应由个人负担的费用。</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（五）以无偿、象征性地收取费用等方式提供家政、司机等服务劳务。</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（六）其他通过任何形式行贿或输送利益的行为。</w:t>
      </w:r>
    </w:p>
    <w:p>
      <w:pPr>
        <w:spacing w:line="54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三、规范经营活动。</w:t>
      </w:r>
      <w:r>
        <w:rPr>
          <w:rFonts w:hint="eastAsia" w:ascii="仿宋_GB2312" w:hAnsi="仿宋_GB2312" w:eastAsia="仿宋_GB2312" w:cs="仿宋_GB2312"/>
          <w:sz w:val="28"/>
          <w:szCs w:val="28"/>
          <w:lang w:eastAsia="zh-CN"/>
        </w:rPr>
        <w:t>严格按照合同约定履行义务，保证项目质量，按时完成建设任务；在合作过程中不以任何借口拖延工期、虚报成本或谋取私利。</w:t>
      </w:r>
    </w:p>
    <w:p>
      <w:pPr>
        <w:spacing w:line="54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四、公开透明合作。</w:t>
      </w:r>
      <w:r>
        <w:rPr>
          <w:rFonts w:hint="eastAsia" w:ascii="仿宋_GB2312" w:hAnsi="仿宋_GB2312" w:eastAsia="仿宋_GB2312" w:cs="仿宋_GB2312"/>
          <w:sz w:val="28"/>
          <w:szCs w:val="28"/>
          <w:lang w:eastAsia="zh-CN"/>
        </w:rPr>
        <w:t>我司承诺在项目实施过程中保持公开透明，主动接受税务部门及纪检监察机构的全程监督，并积极配合任何有关廉洁从业的调查工作。</w:t>
      </w:r>
    </w:p>
    <w:p>
      <w:pPr>
        <w:spacing w:line="540" w:lineRule="exact"/>
        <w:ind w:firstLine="56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五、严格内部管理。</w:t>
      </w:r>
      <w:r>
        <w:rPr>
          <w:rFonts w:hint="eastAsia" w:ascii="仿宋_GB2312" w:hAnsi="仿宋_GB2312" w:eastAsia="仿宋_GB2312" w:cs="仿宋_GB2312"/>
          <w:sz w:val="28"/>
          <w:szCs w:val="28"/>
          <w:lang w:eastAsia="zh-CN"/>
        </w:rPr>
        <w:t>加强企业内部廉洁教育，确保员工知晓并遵守相关法律法规及廉洁要求；加强项目实施全过程廉洁监督；对于违反廉洁承诺的员工，将严肃处理，并承担相应责任。</w:t>
      </w:r>
    </w:p>
    <w:p>
      <w:pPr>
        <w:spacing w:line="540" w:lineRule="exact"/>
        <w:ind w:firstLine="562" w:firstLineChars="200"/>
        <w:rPr>
          <w:rFonts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六、积极参与监督。</w:t>
      </w:r>
      <w:r>
        <w:rPr>
          <w:rFonts w:hint="eastAsia" w:ascii="仿宋_GB2312" w:hAnsi="仿宋_GB2312" w:eastAsia="仿宋_GB2312" w:cs="仿宋_GB2312"/>
          <w:sz w:val="28"/>
          <w:szCs w:val="28"/>
          <w:lang w:eastAsia="zh-CN"/>
        </w:rPr>
        <w:t xml:space="preserve">在税务信息化项目实施过程中，如发现任何违纪违法行为，将如实反馈问题和意见。  </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承诺单位（盖章）：_________________________</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法定代表人或授权代表签字：________________</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日期：XX年XX月XX日</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自觉接受监管。中标人有义务配合税务机关的正常业务监管以及纪检监察、外部审计、督察内审等监督机构对税务信息化项目全过程的监督检查工作，如实提供相关资料和信息，不得隐瞒、篡改或销毁与项目建设有关的文件、数据等资料。</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举报和反馈意见。项目执行过程中，中标人有权举报、反馈甲方索贿受贿、吃拿卡要、违反中央八项规定精神等违纪违法行为。项目验收前，应填写《税务信息化项目服务商廉政反馈书》，提交甲方税务机关网络安全和信息化领导小组办公室。</w:t>
      </w:r>
    </w:p>
    <w:p>
      <w:pPr>
        <w:spacing w:line="540" w:lineRule="exact"/>
        <w:ind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让我们在廉洁、诚信、公平、公正的基础上开展合作，共同为高水平建设效能税务、高质量推进中国式现代化税务实践贡献力量。</w:t>
      </w:r>
    </w:p>
    <w:p>
      <w:pPr>
        <w:spacing w:line="360" w:lineRule="auto"/>
        <w:rPr>
          <w:lang w:eastAsia="zh-CN"/>
        </w:rPr>
      </w:pPr>
    </w:p>
    <w:sectPr>
      <w:footerReference r:id="rId4" w:type="default"/>
      <w:pgSz w:w="11906" w:h="16838"/>
      <w:pgMar w:top="1440" w:right="1440" w:bottom="1440" w:left="144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pStyle w:val="28"/>
      <w:lvlText w:val="%1."/>
      <w:lvlJc w:val="left"/>
      <w:pPr>
        <w:tabs>
          <w:tab w:val="left" w:pos="780"/>
        </w:tabs>
        <w:ind w:left="78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18"/>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B53F8"/>
    <w:rsid w:val="005C0FC2"/>
    <w:rsid w:val="00620F92"/>
    <w:rsid w:val="006D48DC"/>
    <w:rsid w:val="006F5767"/>
    <w:rsid w:val="00915DBC"/>
    <w:rsid w:val="009B11AC"/>
    <w:rsid w:val="00A77B3E"/>
    <w:rsid w:val="00CA2A55"/>
    <w:rsid w:val="00D43DBA"/>
    <w:rsid w:val="00E26B6D"/>
    <w:rsid w:val="00FC1E14"/>
    <w:rsid w:val="00FD6DA0"/>
    <w:rsid w:val="01293743"/>
    <w:rsid w:val="016F63D5"/>
    <w:rsid w:val="040D189B"/>
    <w:rsid w:val="051A5E16"/>
    <w:rsid w:val="077B2AE9"/>
    <w:rsid w:val="07B4260F"/>
    <w:rsid w:val="08053FE3"/>
    <w:rsid w:val="08AD72E3"/>
    <w:rsid w:val="09034E89"/>
    <w:rsid w:val="092839C1"/>
    <w:rsid w:val="0A912EF8"/>
    <w:rsid w:val="0AF26FAA"/>
    <w:rsid w:val="0B4A0E50"/>
    <w:rsid w:val="0E2156F9"/>
    <w:rsid w:val="0E887DD8"/>
    <w:rsid w:val="0E8959EB"/>
    <w:rsid w:val="0F951B43"/>
    <w:rsid w:val="118D13C2"/>
    <w:rsid w:val="1222481B"/>
    <w:rsid w:val="14A2350C"/>
    <w:rsid w:val="14C235EF"/>
    <w:rsid w:val="162C5631"/>
    <w:rsid w:val="17292CEF"/>
    <w:rsid w:val="17D22FF3"/>
    <w:rsid w:val="17F70BB9"/>
    <w:rsid w:val="1D6A75E6"/>
    <w:rsid w:val="1DA7078F"/>
    <w:rsid w:val="1EFF09A9"/>
    <w:rsid w:val="1F1B6CDF"/>
    <w:rsid w:val="1F385AF7"/>
    <w:rsid w:val="1FEA26C2"/>
    <w:rsid w:val="21EB6A3F"/>
    <w:rsid w:val="21F23A2E"/>
    <w:rsid w:val="21F26724"/>
    <w:rsid w:val="22656A6E"/>
    <w:rsid w:val="23D3288E"/>
    <w:rsid w:val="241A6446"/>
    <w:rsid w:val="242A795A"/>
    <w:rsid w:val="24CD0C92"/>
    <w:rsid w:val="2509589F"/>
    <w:rsid w:val="250F47BA"/>
    <w:rsid w:val="267107D4"/>
    <w:rsid w:val="268233C8"/>
    <w:rsid w:val="279121EF"/>
    <w:rsid w:val="27BA5C02"/>
    <w:rsid w:val="2923005A"/>
    <w:rsid w:val="2A13354D"/>
    <w:rsid w:val="2A60253E"/>
    <w:rsid w:val="2BC317D6"/>
    <w:rsid w:val="2CAE727B"/>
    <w:rsid w:val="2ECD0C3C"/>
    <w:rsid w:val="2FFA5262"/>
    <w:rsid w:val="31BC14A9"/>
    <w:rsid w:val="32473D85"/>
    <w:rsid w:val="33BD283C"/>
    <w:rsid w:val="33D153D5"/>
    <w:rsid w:val="34F9096D"/>
    <w:rsid w:val="37AF2595"/>
    <w:rsid w:val="38520FAF"/>
    <w:rsid w:val="39975998"/>
    <w:rsid w:val="3A1C67DE"/>
    <w:rsid w:val="3D21349B"/>
    <w:rsid w:val="3DF01840"/>
    <w:rsid w:val="3F7B0651"/>
    <w:rsid w:val="403C6D09"/>
    <w:rsid w:val="418409DF"/>
    <w:rsid w:val="42925E1E"/>
    <w:rsid w:val="439E2E5B"/>
    <w:rsid w:val="43C17039"/>
    <w:rsid w:val="43FF77BC"/>
    <w:rsid w:val="447E70F2"/>
    <w:rsid w:val="448440BA"/>
    <w:rsid w:val="45226627"/>
    <w:rsid w:val="45262693"/>
    <w:rsid w:val="45DA2A97"/>
    <w:rsid w:val="470F4251"/>
    <w:rsid w:val="47FA6527"/>
    <w:rsid w:val="4AD4665F"/>
    <w:rsid w:val="4B211467"/>
    <w:rsid w:val="4B5D4212"/>
    <w:rsid w:val="4B930272"/>
    <w:rsid w:val="4C034B21"/>
    <w:rsid w:val="4DE82D96"/>
    <w:rsid w:val="4E2466F3"/>
    <w:rsid w:val="4E2D71A1"/>
    <w:rsid w:val="4EAE19F1"/>
    <w:rsid w:val="4F234B8B"/>
    <w:rsid w:val="4FCB6E22"/>
    <w:rsid w:val="50DB1C2E"/>
    <w:rsid w:val="50FB4919"/>
    <w:rsid w:val="520C36B4"/>
    <w:rsid w:val="523B03EB"/>
    <w:rsid w:val="52827499"/>
    <w:rsid w:val="52CA76D3"/>
    <w:rsid w:val="53052E3C"/>
    <w:rsid w:val="54CE36FB"/>
    <w:rsid w:val="55646C49"/>
    <w:rsid w:val="55F3456C"/>
    <w:rsid w:val="57214270"/>
    <w:rsid w:val="580F2613"/>
    <w:rsid w:val="581F716B"/>
    <w:rsid w:val="5A005388"/>
    <w:rsid w:val="5AF06A31"/>
    <w:rsid w:val="5B075425"/>
    <w:rsid w:val="5B244BD7"/>
    <w:rsid w:val="5BB57309"/>
    <w:rsid w:val="5C26186F"/>
    <w:rsid w:val="5CFF01A3"/>
    <w:rsid w:val="5DC679AA"/>
    <w:rsid w:val="5E312442"/>
    <w:rsid w:val="5F2C5B9E"/>
    <w:rsid w:val="5F3C2FE1"/>
    <w:rsid w:val="5FBB584F"/>
    <w:rsid w:val="64E25B6E"/>
    <w:rsid w:val="64E713E9"/>
    <w:rsid w:val="65124A90"/>
    <w:rsid w:val="65937F1C"/>
    <w:rsid w:val="65FF47EC"/>
    <w:rsid w:val="67625B53"/>
    <w:rsid w:val="679420B2"/>
    <w:rsid w:val="68B37F19"/>
    <w:rsid w:val="69285FDB"/>
    <w:rsid w:val="69F22FB2"/>
    <w:rsid w:val="6A74111B"/>
    <w:rsid w:val="6B2F47D3"/>
    <w:rsid w:val="6D9C3560"/>
    <w:rsid w:val="6F7174CC"/>
    <w:rsid w:val="6F9C1919"/>
    <w:rsid w:val="70D016B4"/>
    <w:rsid w:val="71E06EA9"/>
    <w:rsid w:val="725A68A1"/>
    <w:rsid w:val="73D13AED"/>
    <w:rsid w:val="757A7008"/>
    <w:rsid w:val="760E25D3"/>
    <w:rsid w:val="7743749F"/>
    <w:rsid w:val="77A37783"/>
    <w:rsid w:val="77E63551"/>
    <w:rsid w:val="78243670"/>
    <w:rsid w:val="7A8324D2"/>
    <w:rsid w:val="7AB50435"/>
    <w:rsid w:val="7AF64650"/>
    <w:rsid w:val="7B9B2139"/>
    <w:rsid w:val="7E1F14BE"/>
    <w:rsid w:val="7EE94D58"/>
    <w:rsid w:val="7F00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218"/>
    </w:pPr>
  </w:style>
  <w:style w:type="paragraph" w:styleId="7">
    <w:name w:val="Body Text Indent"/>
    <w:basedOn w:val="1"/>
    <w:qFormat/>
    <w:uiPriority w:val="0"/>
    <w:pPr>
      <w:ind w:firstLine="480"/>
    </w:pPr>
    <w:rPr>
      <w:rFonts w:ascii="宋体" w:hAnsi="宋体"/>
    </w:rPr>
  </w:style>
  <w:style w:type="paragraph" w:styleId="8">
    <w:name w:val="toc 3"/>
    <w:basedOn w:val="1"/>
    <w:next w:val="1"/>
    <w:qFormat/>
    <w:uiPriority w:val="39"/>
    <w:pPr>
      <w:ind w:left="480"/>
    </w:pPr>
  </w:style>
  <w:style w:type="paragraph" w:styleId="9">
    <w:name w:val="footer"/>
    <w:basedOn w:val="1"/>
    <w:link w:val="31"/>
    <w:qFormat/>
    <w:uiPriority w:val="0"/>
    <w:pPr>
      <w:tabs>
        <w:tab w:val="center" w:pos="4153"/>
        <w:tab w:val="right" w:pos="8306"/>
      </w:tabs>
      <w:snapToGrid w:val="0"/>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240"/>
    </w:p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99"/>
    <w:rPr>
      <w:color w:val="0000FF"/>
      <w:u w:val="single"/>
    </w:rPr>
  </w:style>
  <w:style w:type="paragraph" w:customStyle="1" w:styleId="18">
    <w:name w:val="标题 5（有编号）（绿盟科技）"/>
    <w:basedOn w:val="1"/>
    <w:next w:val="19"/>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标准小四"/>
    <w:basedOn w:val="1"/>
    <w:qFormat/>
    <w:uiPriority w:val="0"/>
    <w:pPr>
      <w:ind w:firstLine="480" w:firstLineChars="200"/>
    </w:pPr>
    <w:rPr>
      <w:rFonts w:eastAsia="微软雅黑"/>
    </w:rPr>
  </w:style>
  <w:style w:type="character" w:customStyle="1" w:styleId="21">
    <w:name w:val="font41"/>
    <w:basedOn w:val="16"/>
    <w:qFormat/>
    <w:uiPriority w:val="0"/>
    <w:rPr>
      <w:rFonts w:hint="eastAsia" w:ascii="宋体" w:hAnsi="宋体" w:eastAsia="宋体" w:cs="宋体"/>
      <w:color w:val="FF0000"/>
      <w:sz w:val="21"/>
      <w:szCs w:val="21"/>
      <w:u w:val="none"/>
    </w:rPr>
  </w:style>
  <w:style w:type="character" w:customStyle="1" w:styleId="22">
    <w:name w:val="font71"/>
    <w:basedOn w:val="16"/>
    <w:uiPriority w:val="0"/>
    <w:rPr>
      <w:rFonts w:hint="eastAsia" w:ascii="宋体" w:hAnsi="宋体" w:eastAsia="宋体" w:cs="宋体"/>
      <w:color w:val="000000"/>
      <w:sz w:val="21"/>
      <w:szCs w:val="21"/>
      <w:u w:val="none"/>
    </w:rPr>
  </w:style>
  <w:style w:type="character" w:customStyle="1" w:styleId="23">
    <w:name w:val="font11"/>
    <w:basedOn w:val="16"/>
    <w:qFormat/>
    <w:uiPriority w:val="0"/>
    <w:rPr>
      <w:rFonts w:hint="eastAsia" w:ascii="宋体" w:hAnsi="宋体" w:eastAsia="宋体" w:cs="宋体"/>
      <w:color w:val="000000"/>
      <w:sz w:val="22"/>
      <w:szCs w:val="22"/>
      <w:u w:val="none"/>
    </w:rPr>
  </w:style>
  <w:style w:type="character" w:customStyle="1" w:styleId="24">
    <w:name w:val="font91"/>
    <w:basedOn w:val="16"/>
    <w:qFormat/>
    <w:uiPriority w:val="0"/>
    <w:rPr>
      <w:rFonts w:hint="eastAsia" w:ascii="宋体" w:hAnsi="宋体" w:eastAsia="宋体" w:cs="宋体"/>
      <w:color w:val="FF0000"/>
      <w:sz w:val="22"/>
      <w:szCs w:val="22"/>
      <w:u w:val="none"/>
    </w:rPr>
  </w:style>
  <w:style w:type="paragraph" w:customStyle="1" w:styleId="25">
    <w:name w:val="列出段落1"/>
    <w:basedOn w:val="1"/>
    <w:qFormat/>
    <w:uiPriority w:val="0"/>
    <w:pPr>
      <w:ind w:firstLine="420" w:firstLineChars="200"/>
    </w:pPr>
    <w:rPr>
      <w:rFonts w:eastAsia="宋体"/>
      <w:sz w:val="21"/>
    </w:rPr>
  </w:style>
  <w:style w:type="paragraph" w:styleId="26">
    <w:name w:val="List Paragraph"/>
    <w:basedOn w:val="1"/>
    <w:qFormat/>
    <w:uiPriority w:val="34"/>
    <w:pPr>
      <w:ind w:firstLine="420" w:firstLineChars="200"/>
    </w:pPr>
    <w:rPr>
      <w:rFonts w:ascii="Calibri" w:hAnsi="Calibri" w:eastAsia="宋体" w:cs="宋体"/>
      <w:sz w:val="21"/>
      <w:szCs w:val="22"/>
    </w:rPr>
  </w:style>
  <w:style w:type="paragraph" w:customStyle="1" w:styleId="27">
    <w:name w:val="标题 51"/>
    <w:basedOn w:val="28"/>
    <w:next w:val="29"/>
    <w:qFormat/>
    <w:uiPriority w:val="0"/>
    <w:pPr>
      <w:keepNext/>
      <w:tabs>
        <w:tab w:val="left" w:pos="780"/>
      </w:tabs>
      <w:outlineLvl w:val="4"/>
    </w:pPr>
    <w:rPr>
      <w:rFonts w:ascii="宋体" w:eastAsia="宋体"/>
      <w:color w:val="000000"/>
      <w:sz w:val="28"/>
      <w:szCs w:val="28"/>
    </w:rPr>
  </w:style>
  <w:style w:type="paragraph" w:customStyle="1" w:styleId="28">
    <w:name w:val="列表编号 21"/>
    <w:basedOn w:val="1"/>
    <w:unhideWhenUsed/>
    <w:qFormat/>
    <w:uiPriority w:val="99"/>
    <w:pPr>
      <w:numPr>
        <w:ilvl w:val="0"/>
        <w:numId w:val="2"/>
      </w:numPr>
    </w:pPr>
  </w:style>
  <w:style w:type="paragraph" w:customStyle="1" w:styleId="29">
    <w:name w:val="普通(网站)1"/>
    <w:basedOn w:val="1"/>
    <w:qFormat/>
    <w:uiPriority w:val="99"/>
    <w:pPr>
      <w:spacing w:before="100" w:beforeAutospacing="1" w:after="100" w:afterAutospacing="1"/>
    </w:pPr>
    <w:rPr>
      <w:rFonts w:ascii="宋体" w:hAnsi="宋体" w:eastAsia="宋体" w:cs="宋体"/>
    </w:rPr>
  </w:style>
  <w:style w:type="character" w:customStyle="1" w:styleId="30">
    <w:name w:val="页眉 字符"/>
    <w:basedOn w:val="16"/>
    <w:link w:val="10"/>
    <w:qFormat/>
    <w:uiPriority w:val="0"/>
    <w:rPr>
      <w:rFonts w:eastAsia="Times New Roman"/>
      <w:sz w:val="18"/>
      <w:szCs w:val="18"/>
      <w:lang w:eastAsia="en-US"/>
    </w:rPr>
  </w:style>
  <w:style w:type="character" w:customStyle="1" w:styleId="31">
    <w:name w:val="页脚 字符"/>
    <w:basedOn w:val="16"/>
    <w:link w:val="9"/>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1488</Words>
  <Characters>8482</Characters>
  <Lines>70</Lines>
  <Paragraphs>19</Paragraphs>
  <TotalTime>24</TotalTime>
  <ScaleCrop>false</ScaleCrop>
  <LinksUpToDate>false</LinksUpToDate>
  <CharactersWithSpaces>9951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2025-04-17T02:36:00Z</dcterms:created>
  <dc:creator>Administrator</dc:creator>
  <cp:lastModifiedBy>王哲</cp:lastModifiedBy>
  <dcterms:modified xsi:type="dcterms:W3CDTF">2025-05-15T10:37:08Z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7AE2B242259F4C6D82FBD8345FEDBF80</vt:lpwstr>
  </property>
</Properties>
</file>