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2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国家税务总局新疆维吾尔自治区税务局</w:t>
      </w:r>
    </w:p>
    <w:p>
      <w:pPr>
        <w:snapToGrid w:val="0"/>
        <w:spacing w:line="62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12366购买专业化社会服务</w:t>
      </w:r>
      <w:r>
        <w:rPr>
          <w:rFonts w:hint="eastAsia" w:ascii="方正小标宋简体" w:hAnsi="方正小标宋简体" w:eastAsia="方正小标宋简体" w:cs="方正小标宋简体"/>
          <w:sz w:val="36"/>
          <w:szCs w:val="36"/>
        </w:rPr>
        <w:t>项目</w:t>
      </w:r>
    </w:p>
    <w:p>
      <w:pPr>
        <w:widowControl/>
        <w:overflowPunct w:val="0"/>
        <w:autoSpaceDE w:val="0"/>
        <w:autoSpaceDN w:val="0"/>
        <w:adjustRightInd w:val="0"/>
        <w:spacing w:line="620" w:lineRule="exact"/>
        <w:jc w:val="center"/>
        <w:textAlignment w:val="baseline"/>
        <w:rPr>
          <w:rFonts w:hint="eastAsia"/>
        </w:rPr>
      </w:pPr>
      <w:r>
        <w:rPr>
          <w:rFonts w:hint="eastAsia" w:asciiTheme="majorEastAsia" w:hAnsiTheme="majorEastAsia" w:eastAsiaTheme="majorEastAsia" w:cstheme="majorEastAsia"/>
          <w:b/>
          <w:bCs/>
          <w:kern w:val="0"/>
          <w:sz w:val="32"/>
          <w:szCs w:val="32"/>
        </w:rPr>
        <w:t>采购需求前附表</w:t>
      </w:r>
    </w:p>
    <w:tbl>
      <w:tblPr>
        <w:tblStyle w:val="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907"/>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项目立项</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项目立项时间：</w:t>
            </w:r>
            <w:r>
              <w:rPr>
                <w:rFonts w:hint="eastAsia" w:ascii="仿宋_GB2312" w:hAnsi="仿宋_GB2312" w:eastAsia="仿宋_GB2312" w:cs="仿宋_GB2312"/>
                <w:color w:val="auto"/>
                <w:sz w:val="28"/>
                <w:szCs w:val="28"/>
                <w:lang w:val="en-US" w:eastAsia="zh-CN"/>
              </w:rPr>
              <w:t>202</w:t>
            </w:r>
            <w:r>
              <w:rPr>
                <w:rFonts w:hint="default" w:ascii="仿宋_GB2312" w:hAnsi="仿宋_GB2312" w:eastAsia="仿宋_GB2312" w:cs="仿宋_GB2312"/>
                <w:color w:val="auto"/>
                <w:sz w:val="28"/>
                <w:szCs w:val="28"/>
                <w:lang w:val="en"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 xml:space="preserve"> 5</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 xml:space="preserve">23 </w:t>
            </w:r>
            <w:r>
              <w:rPr>
                <w:rFonts w:hint="eastAsia" w:ascii="仿宋_GB2312" w:hAnsi="仿宋_GB2312" w:eastAsia="仿宋_GB2312" w:cs="仿宋_GB2312"/>
                <w:color w:val="auto"/>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color w:val="auto"/>
                <w:sz w:val="28"/>
                <w:szCs w:val="28"/>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color w:val="auto"/>
                <w:sz w:val="28"/>
                <w:szCs w:val="28"/>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项目立项证明文件：</w:t>
            </w:r>
            <w:r>
              <w:rPr>
                <w:rFonts w:hint="eastAsia" w:ascii="仿宋_GB2312" w:hAnsi="仿宋_GB2312" w:eastAsia="仿宋_GB2312" w:cs="仿宋_GB2312"/>
                <w:color w:val="auto"/>
                <w:sz w:val="28"/>
                <w:szCs w:val="28"/>
              </w:rPr>
              <w:sym w:font="Wingdings 2" w:char="0052"/>
            </w:r>
            <w:r>
              <w:rPr>
                <w:rFonts w:hint="eastAsia" w:ascii="仿宋_GB2312" w:hAnsi="仿宋_GB2312" w:eastAsia="仿宋_GB2312" w:cs="仿宋_GB2312"/>
                <w:color w:val="auto"/>
                <w:sz w:val="28"/>
                <w:szCs w:val="28"/>
              </w:rPr>
              <w:t xml:space="preserve">有    </w:t>
            </w:r>
            <w:r>
              <w:rPr>
                <w:rFonts w:hint="eastAsia" w:ascii="仿宋_GB2312" w:hAnsi="仿宋_GB2312" w:eastAsia="仿宋_GB2312" w:cs="仿宋_GB2312"/>
                <w:color w:val="auto"/>
                <w:sz w:val="28"/>
                <w:szCs w:val="28"/>
              </w:rPr>
              <w:sym w:font="Wingdings 2" w:char="00A3"/>
            </w:r>
            <w:r>
              <w:rPr>
                <w:rFonts w:hint="eastAsia" w:ascii="仿宋_GB2312" w:hAnsi="仿宋_GB2312" w:eastAsia="仿宋_GB2312" w:cs="仿宋_GB2312"/>
                <w:color w:val="auto"/>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项目预算安排</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总预算金额（万元）：</w:t>
            </w:r>
            <w:r>
              <w:rPr>
                <w:rFonts w:hint="eastAsia" w:ascii="仿宋_GB2312" w:hAnsi="仿宋_GB2312" w:eastAsia="仿宋_GB2312" w:cs="仿宋_GB2312"/>
                <w:color w:val="auto"/>
                <w:sz w:val="28"/>
                <w:szCs w:val="28"/>
                <w:lang w:val="en-US" w:eastAsia="zh-CN"/>
              </w:rPr>
              <w:t>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color w:val="auto"/>
                <w:sz w:val="28"/>
                <w:szCs w:val="28"/>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color w:val="auto"/>
                <w:sz w:val="28"/>
                <w:szCs w:val="28"/>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当年预算安排金额（万元）：</w:t>
            </w:r>
            <w:r>
              <w:rPr>
                <w:rFonts w:hint="eastAsia" w:ascii="仿宋_GB2312" w:hAnsi="仿宋_GB2312" w:eastAsia="仿宋_GB2312" w:cs="仿宋_GB2312"/>
                <w:color w:val="auto"/>
                <w:sz w:val="28"/>
                <w:szCs w:val="28"/>
                <w:lang w:val="en-US" w:eastAsia="zh-CN"/>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color w:val="auto"/>
                <w:sz w:val="28"/>
                <w:szCs w:val="28"/>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color w:val="auto"/>
                <w:sz w:val="28"/>
                <w:szCs w:val="28"/>
              </w:rPr>
            </w:pPr>
          </w:p>
        </w:tc>
        <w:tc>
          <w:tcPr>
            <w:tcW w:w="6540" w:type="dxa"/>
            <w:noWrap w:val="0"/>
            <w:vAlign w:val="center"/>
          </w:tcPr>
          <w:p>
            <w:pPr>
              <w:keepNext w:val="0"/>
              <w:keepLines w:val="0"/>
              <w:pageBreakBefore w:val="0"/>
              <w:widowControl w:val="0"/>
              <w:tabs>
                <w:tab w:val="left" w:pos="705"/>
              </w:tabs>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项目资金来源：</w:t>
            </w:r>
            <w:r>
              <w:rPr>
                <w:rFonts w:hint="eastAsia" w:ascii="仿宋_GB2312" w:hAnsi="仿宋_GB2312" w:eastAsia="仿宋_GB2312" w:cs="仿宋_GB2312"/>
                <w:color w:val="auto"/>
                <w:sz w:val="28"/>
                <w:szCs w:val="28"/>
                <w:lang w:eastAsia="zh-CN"/>
              </w:rPr>
              <w:t>税收业务</w:t>
            </w:r>
            <w:r>
              <w:rPr>
                <w:rFonts w:hint="eastAsia" w:ascii="仿宋_GB2312" w:hAnsi="仿宋_GB2312" w:eastAsia="仿宋_GB2312" w:cs="仿宋_GB2312"/>
                <w:b w:val="0"/>
                <w:bCs w:val="0"/>
                <w:color w:val="000000" w:themeColor="text1"/>
                <w:sz w:val="28"/>
                <w:szCs w:val="28"/>
                <w:highlight w:val="none"/>
                <w:lang w:eastAsia="zh-CN"/>
                <w14:textFill>
                  <w14:solidFill>
                    <w14:schemeClr w14:val="tx1"/>
                  </w14:solidFill>
                </w14:textFill>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sz w:val="28"/>
                <w:szCs w:val="28"/>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sz w:val="28"/>
                <w:szCs w:val="28"/>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kern w:val="0"/>
                <w:sz w:val="28"/>
                <w:szCs w:val="28"/>
              </w:rPr>
              <w:t>服务内容：严格按照</w:t>
            </w:r>
            <w:r>
              <w:rPr>
                <w:rFonts w:hint="eastAsia" w:ascii="仿宋_GB2312" w:hAnsi="仿宋_GB2312" w:eastAsia="仿宋_GB2312" w:cs="仿宋_GB2312"/>
                <w:kern w:val="0"/>
                <w:sz w:val="28"/>
                <w:szCs w:val="28"/>
                <w:lang w:eastAsia="zh-CN"/>
              </w:rPr>
              <w:t>税务机关</w:t>
            </w:r>
            <w:r>
              <w:rPr>
                <w:rFonts w:hint="eastAsia" w:ascii="仿宋_GB2312" w:hAnsi="仿宋_GB2312" w:eastAsia="仿宋_GB2312" w:cs="仿宋_GB2312"/>
                <w:kern w:val="0"/>
                <w:sz w:val="28"/>
                <w:szCs w:val="28"/>
              </w:rPr>
              <w:t>各项服务规范标准，除承担热线年均一百万人次左右</w:t>
            </w:r>
            <w:r>
              <w:rPr>
                <w:rFonts w:hint="eastAsia" w:ascii="仿宋_GB2312" w:hAnsi="仿宋_GB2312" w:eastAsia="仿宋_GB2312" w:cs="仿宋_GB2312"/>
                <w:kern w:val="0"/>
                <w:sz w:val="28"/>
                <w:szCs w:val="28"/>
                <w:lang w:eastAsia="zh-CN"/>
              </w:rPr>
              <w:t>的话务</w:t>
            </w:r>
            <w:r>
              <w:rPr>
                <w:rFonts w:hint="eastAsia" w:ascii="仿宋_GB2312" w:hAnsi="仿宋_GB2312" w:eastAsia="仿宋_GB2312" w:cs="仿宋_GB2312"/>
                <w:kern w:val="0"/>
                <w:sz w:val="28"/>
                <w:szCs w:val="28"/>
              </w:rPr>
              <w:t>量</w:t>
            </w:r>
            <w:r>
              <w:rPr>
                <w:rFonts w:hint="eastAsia" w:ascii="仿宋_GB2312" w:hAnsi="仿宋_GB2312" w:eastAsia="仿宋_GB2312" w:cs="仿宋_GB2312"/>
                <w:kern w:val="0"/>
                <w:sz w:val="28"/>
                <w:szCs w:val="28"/>
                <w:lang w:val="en-US" w:eastAsia="zh-CN"/>
              </w:rPr>
              <w:t>提供7*24小时全天候人工服务</w:t>
            </w:r>
            <w:r>
              <w:rPr>
                <w:rFonts w:hint="eastAsia" w:ascii="仿宋_GB2312" w:hAnsi="仿宋_GB2312" w:eastAsia="仿宋_GB2312" w:cs="仿宋_GB2312"/>
                <w:kern w:val="0"/>
                <w:sz w:val="28"/>
                <w:szCs w:val="28"/>
              </w:rPr>
              <w:t>外，还需承担网线、无线等服务渠道的税费咨询受理、举报投诉接收、智能咨询运维、纳税需求收集、数据统计分析、远程坐席监测等工作，保证热线、网线、无线等服务渠道前后台业务的正常运行，满足纳税人缴费人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项目实施时间</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rPr>
              <w:t>服务期限：</w:t>
            </w:r>
            <w:r>
              <w:rPr>
                <w:rFonts w:hint="eastAsia" w:ascii="仿宋_GB2312" w:hAnsi="仿宋_GB2312" w:eastAsia="仿宋_GB2312" w:cs="仿宋_GB2312"/>
                <w:color w:val="auto"/>
                <w:kern w:val="0"/>
                <w:sz w:val="28"/>
                <w:szCs w:val="28"/>
                <w:highlight w:val="none"/>
                <w:lang w:val="en-US" w:eastAsia="zh-CN"/>
              </w:rPr>
              <w:t>合同签订之日起1年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项目实施地点</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国家税务总局新疆维吾尔自治区税务局及采购人指定地点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07"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项目实施范围</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国家税务总局新疆维吾尔自治区税务局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项目相关单位</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需求部门：</w:t>
            </w:r>
            <w:r>
              <w:rPr>
                <w:rFonts w:hint="eastAsia" w:ascii="仿宋_GB2312" w:hAnsi="仿宋_GB2312" w:eastAsia="仿宋_GB2312" w:cs="仿宋_GB2312"/>
                <w:sz w:val="28"/>
                <w:szCs w:val="28"/>
                <w:lang w:eastAsia="zh-CN"/>
              </w:rPr>
              <w:t>新疆税务局纳税服务和宣传中心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sz w:val="28"/>
                <w:szCs w:val="28"/>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sz w:val="28"/>
                <w:szCs w:val="28"/>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验收部门：</w:t>
            </w:r>
            <w:r>
              <w:rPr>
                <w:rFonts w:hint="eastAsia" w:ascii="仿宋_GB2312" w:hAnsi="仿宋_GB2312" w:eastAsia="仿宋_GB2312" w:cs="仿宋_GB2312"/>
                <w:sz w:val="28"/>
                <w:szCs w:val="28"/>
                <w:lang w:eastAsia="zh-CN"/>
              </w:rPr>
              <w:t>新疆税务局纳税服务和宣传中心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采购意向公开</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sym w:font="Wingdings 2" w:char="0052"/>
            </w:r>
            <w:r>
              <w:rPr>
                <w:rFonts w:hint="eastAsia" w:ascii="仿宋_GB2312" w:hAnsi="仿宋_GB2312" w:eastAsia="仿宋_GB2312" w:cs="仿宋_GB2312"/>
                <w:color w:val="auto"/>
                <w:sz w:val="28"/>
                <w:szCs w:val="28"/>
              </w:rPr>
              <w:t>本项目已于</w:t>
            </w:r>
            <w:r>
              <w:rPr>
                <w:rFonts w:hint="eastAsia"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single"/>
                <w:lang w:val="en"/>
              </w:rPr>
              <w:t>2024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single"/>
                <w:lang w:val="en"/>
              </w:rPr>
              <w:t>5</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u w:val="single"/>
              </w:rPr>
              <w:t xml:space="preserve"> </w:t>
            </w:r>
            <w:r>
              <w:rPr>
                <w:rFonts w:hint="default" w:ascii="仿宋_GB2312" w:hAnsi="仿宋_GB2312" w:eastAsia="仿宋_GB2312" w:cs="仿宋_GB2312"/>
                <w:color w:val="auto"/>
                <w:sz w:val="28"/>
                <w:szCs w:val="28"/>
                <w:u w:val="single"/>
                <w:lang w:val="en"/>
              </w:rPr>
              <w:t>1</w:t>
            </w:r>
            <w:r>
              <w:rPr>
                <w:rFonts w:hint="eastAsia" w:ascii="仿宋_GB2312" w:hAnsi="仿宋_GB2312" w:eastAsia="仿宋_GB2312" w:cs="仿宋_GB2312"/>
                <w:color w:val="auto"/>
                <w:sz w:val="28"/>
                <w:szCs w:val="28"/>
                <w:u w:val="single"/>
                <w:lang w:val="en-US" w:eastAsia="zh-CN"/>
              </w:rPr>
              <w:t>6</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日公开采购意向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color w:val="auto"/>
                <w:sz w:val="28"/>
                <w:szCs w:val="28"/>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color w:val="auto"/>
                <w:sz w:val="28"/>
                <w:szCs w:val="28"/>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sym w:font="Wingdings 2" w:char="00A3"/>
            </w:r>
            <w:r>
              <w:rPr>
                <w:rFonts w:hint="eastAsia" w:ascii="仿宋_GB2312" w:hAnsi="仿宋_GB2312" w:eastAsia="仿宋_GB2312" w:cs="仿宋_GB2312"/>
                <w:color w:val="auto"/>
                <w:sz w:val="28"/>
                <w:szCs w:val="28"/>
              </w:rPr>
              <w:t>本项目经立项审批不公开采购意向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9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Cs/>
                <w:color w:val="000000"/>
                <w:sz w:val="28"/>
                <w:szCs w:val="28"/>
              </w:rPr>
              <w:t>支持中小企业</w:t>
            </w: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sym w:font="Wingdings 2" w:char="00A3"/>
            </w:r>
            <w:r>
              <w:rPr>
                <w:rFonts w:hint="eastAsia" w:ascii="仿宋_GB2312" w:hAnsi="仿宋_GB2312" w:eastAsia="仿宋_GB2312" w:cs="仿宋_GB2312"/>
                <w:color w:val="000000"/>
                <w:sz w:val="28"/>
                <w:szCs w:val="28"/>
              </w:rPr>
              <w:t>本项目（第</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包）专门面向中小企业采购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sz w:val="28"/>
                <w:szCs w:val="28"/>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color w:val="000000"/>
                <w:sz w:val="28"/>
                <w:szCs w:val="28"/>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sym w:font="Wingdings 2" w:char="00A3"/>
            </w:r>
            <w:r>
              <w:rPr>
                <w:rFonts w:hint="eastAsia" w:ascii="仿宋_GB2312" w:hAnsi="仿宋_GB2312" w:eastAsia="仿宋_GB2312" w:cs="仿宋_GB2312"/>
                <w:color w:val="000000"/>
                <w:sz w:val="28"/>
                <w:szCs w:val="28"/>
              </w:rPr>
              <w:t>本项目预留预算金额的</w:t>
            </w:r>
            <w:r>
              <w:rPr>
                <w:rFonts w:hint="eastAsia" w:ascii="仿宋_GB2312" w:hAnsi="仿宋_GB2312" w:eastAsia="仿宋_GB2312" w:cs="仿宋_GB2312"/>
                <w:color w:val="000000"/>
                <w:sz w:val="28"/>
                <w:szCs w:val="28"/>
                <w:u w:val="single"/>
                <w:lang w:val="en-US" w:eastAsia="zh-CN"/>
              </w:rPr>
              <w:t>X</w:t>
            </w:r>
            <w:r>
              <w:rPr>
                <w:rFonts w:hint="eastAsia" w:ascii="仿宋_GB2312" w:hAnsi="仿宋_GB2312" w:eastAsia="仿宋_GB2312" w:cs="仿宋_GB2312"/>
                <w:color w:val="000000"/>
                <w:sz w:val="28"/>
                <w:szCs w:val="28"/>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sz w:val="28"/>
                <w:szCs w:val="28"/>
              </w:rPr>
            </w:pPr>
          </w:p>
        </w:tc>
        <w:tc>
          <w:tcPr>
            <w:tcW w:w="19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rPr>
                <w:rFonts w:ascii="仿宋_GB2312" w:hAnsi="仿宋_GB2312" w:eastAsia="仿宋_GB2312" w:cs="仿宋_GB2312"/>
                <w:sz w:val="28"/>
                <w:szCs w:val="28"/>
              </w:rPr>
            </w:pPr>
          </w:p>
        </w:tc>
        <w:tc>
          <w:tcPr>
            <w:tcW w:w="6540" w:type="dxa"/>
            <w:noWrap w:val="0"/>
            <w:vAlign w:val="center"/>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本项目不适宜由中小企业提供，且已履行报批手续。</w:t>
            </w:r>
          </w:p>
        </w:tc>
      </w:tr>
    </w:tbl>
    <w:p>
      <w:pPr>
        <w:pStyle w:val="3"/>
        <w:keepNext w:val="0"/>
        <w:widowControl/>
        <w:numPr>
          <w:ilvl w:val="0"/>
          <w:numId w:val="0"/>
        </w:numPr>
        <w:spacing w:before="156" w:beforeLines="50" w:after="156" w:afterLines="50" w:line="360" w:lineRule="auto"/>
        <w:ind w:firstLine="640" w:firstLineChars="200"/>
        <w:contextualSpacing/>
        <w:rPr>
          <w:rFonts w:hint="eastAsia"/>
        </w:rPr>
      </w:pPr>
      <w:bookmarkStart w:id="0" w:name="_Toc513653634"/>
      <w:bookmarkEnd w:id="0"/>
      <w:bookmarkStart w:id="1" w:name="_Toc513626365"/>
      <w:bookmarkEnd w:id="1"/>
      <w:bookmarkStart w:id="2" w:name="_Toc513453829"/>
      <w:bookmarkEnd w:id="2"/>
      <w:bookmarkStart w:id="3" w:name="_Toc513652421"/>
      <w:bookmarkEnd w:id="3"/>
      <w:bookmarkStart w:id="4" w:name="_Toc513654456"/>
      <w:bookmarkEnd w:id="4"/>
      <w:bookmarkStart w:id="5" w:name="_Toc535358538"/>
      <w:r>
        <w:rPr>
          <w:rFonts w:hint="eastAsia" w:ascii="黑体" w:hAnsi="黑体" w:eastAsia="黑体" w:cs="黑体"/>
          <w:b w:val="0"/>
          <w:bCs w:val="0"/>
          <w:lang w:eastAsia="zh-CN"/>
        </w:rPr>
        <w:t>一、</w:t>
      </w:r>
      <w:r>
        <w:rPr>
          <w:rFonts w:hint="eastAsia" w:ascii="黑体" w:hAnsi="黑体" w:eastAsia="黑体" w:cs="黑体"/>
          <w:b w:val="0"/>
          <w:bCs w:val="0"/>
        </w:rPr>
        <w:t>项目概述</w:t>
      </w:r>
    </w:p>
    <w:p>
      <w:pPr>
        <w:numPr>
          <w:ilvl w:val="0"/>
          <w:numId w:val="0"/>
        </w:numPr>
        <w:ind w:firstLine="640" w:firstLineChars="200"/>
        <w:rPr>
          <w:rFonts w:hint="eastAsia" w:ascii="楷体_GB2312" w:hAnsi="楷体_GB2312" w:eastAsia="楷体_GB2312" w:cs="楷体_GB2312"/>
          <w:kern w:val="32"/>
          <w:sz w:val="32"/>
          <w:szCs w:val="32"/>
        </w:rPr>
      </w:pPr>
      <w:r>
        <w:rPr>
          <w:rFonts w:hint="eastAsia" w:ascii="楷体_GB2312" w:hAnsi="楷体_GB2312" w:eastAsia="楷体_GB2312" w:cs="楷体_GB2312"/>
          <w:kern w:val="32"/>
          <w:sz w:val="32"/>
          <w:szCs w:val="32"/>
          <w:lang w:eastAsia="zh-CN"/>
        </w:rPr>
        <w:t>（一）</w:t>
      </w:r>
      <w:r>
        <w:rPr>
          <w:rFonts w:hint="eastAsia" w:ascii="楷体_GB2312" w:hAnsi="楷体_GB2312" w:eastAsia="楷体_GB2312" w:cs="楷体_GB2312"/>
          <w:kern w:val="32"/>
          <w:sz w:val="32"/>
          <w:szCs w:val="32"/>
        </w:rPr>
        <w:t>项目背景</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新疆税务</w:t>
      </w:r>
      <w:r>
        <w:rPr>
          <w:rFonts w:hint="default" w:ascii="仿宋_GB2312" w:hAnsi="仿宋_GB2312" w:eastAsia="仿宋_GB2312" w:cs="仿宋_GB2312"/>
          <w:color w:val="auto"/>
          <w:kern w:val="0"/>
          <w:sz w:val="32"/>
          <w:szCs w:val="32"/>
          <w:highlight w:val="none"/>
          <w:lang w:val="en" w:eastAsia="zh-CN" w:bidi="ar"/>
        </w:rPr>
        <w:t>局</w:t>
      </w:r>
      <w:r>
        <w:rPr>
          <w:rFonts w:hint="eastAsia" w:ascii="仿宋_GB2312" w:hAnsi="仿宋_GB2312" w:eastAsia="仿宋_GB2312" w:cs="仿宋_GB2312"/>
          <w:color w:val="auto"/>
          <w:kern w:val="0"/>
          <w:sz w:val="32"/>
          <w:szCs w:val="32"/>
          <w:highlight w:val="none"/>
          <w:lang w:val="en-US" w:eastAsia="zh-CN" w:bidi="ar"/>
        </w:rPr>
        <w:t>根据国家税务总局关于12366热线的总体部署和工作要求，依托12366热线等电话、网络、移动端渠道向纳税人缴费人提供7*24小时规范、标准、高效、便捷的全天候人工税费咨询服务，确保及时响应税费服务诉求，同时持续强化智能咨询运维、大数据运营分析，全面提升纳税人缴费人的服务感知，持续优化税收营商环境，服务新疆经济社会高质量发展。目前，新疆税务</w:t>
      </w:r>
      <w:r>
        <w:rPr>
          <w:rFonts w:hint="default" w:ascii="仿宋_GB2312" w:hAnsi="仿宋_GB2312" w:eastAsia="仿宋_GB2312" w:cs="仿宋_GB2312"/>
          <w:color w:val="auto"/>
          <w:kern w:val="0"/>
          <w:sz w:val="32"/>
          <w:szCs w:val="32"/>
          <w:highlight w:val="none"/>
          <w:lang w:val="en" w:eastAsia="zh-CN" w:bidi="ar"/>
        </w:rPr>
        <w:t>局通过</w:t>
      </w:r>
      <w:r>
        <w:rPr>
          <w:rFonts w:hint="eastAsia" w:ascii="仿宋_GB2312" w:hAnsi="仿宋_GB2312" w:eastAsia="仿宋_GB2312" w:cs="仿宋_GB2312"/>
          <w:color w:val="auto"/>
          <w:kern w:val="0"/>
          <w:sz w:val="32"/>
          <w:szCs w:val="32"/>
          <w:highlight w:val="none"/>
          <w:lang w:val="en-US" w:eastAsia="zh-CN" w:bidi="ar"/>
        </w:rPr>
        <w:t>12366</w:t>
      </w:r>
      <w:r>
        <w:rPr>
          <w:rFonts w:hint="default" w:ascii="仿宋_GB2312" w:hAnsi="仿宋_GB2312" w:eastAsia="仿宋_GB2312" w:cs="仿宋_GB2312"/>
          <w:color w:val="auto"/>
          <w:kern w:val="0"/>
          <w:sz w:val="32"/>
          <w:szCs w:val="32"/>
          <w:highlight w:val="none"/>
          <w:lang w:val="en" w:eastAsia="zh-CN" w:bidi="ar"/>
        </w:rPr>
        <w:t>热线等平台</w:t>
      </w:r>
      <w:r>
        <w:rPr>
          <w:rFonts w:hint="eastAsia" w:ascii="仿宋_GB2312" w:hAnsi="仿宋_GB2312" w:eastAsia="仿宋_GB2312" w:cs="仿宋_GB2312"/>
          <w:color w:val="auto"/>
          <w:kern w:val="0"/>
          <w:sz w:val="32"/>
          <w:szCs w:val="32"/>
          <w:highlight w:val="none"/>
          <w:lang w:val="en-US" w:eastAsia="zh-CN" w:bidi="ar"/>
        </w:rPr>
        <w:t>提供税费咨询、税费信息查询、举报投诉、意见建议等税费服务，现有工号席位100个，年均人工服务量逾百万人次。</w:t>
      </w:r>
    </w:p>
    <w:p>
      <w:pPr>
        <w:numPr>
          <w:ilvl w:val="0"/>
          <w:numId w:val="0"/>
        </w:numPr>
        <w:ind w:firstLine="640" w:firstLineChars="200"/>
        <w:rPr>
          <w:rFonts w:hint="eastAsia" w:ascii="楷体_GB2312" w:hAnsi="楷体_GB2312" w:eastAsia="楷体_GB2312" w:cs="楷体_GB2312"/>
          <w:color w:val="auto"/>
          <w:kern w:val="32"/>
          <w:sz w:val="32"/>
          <w:szCs w:val="32"/>
          <w:highlight w:val="none"/>
          <w:lang w:val="en-US" w:eastAsia="zh-CN"/>
        </w:rPr>
      </w:pPr>
      <w:r>
        <w:rPr>
          <w:rFonts w:hint="eastAsia" w:ascii="楷体_GB2312" w:hAnsi="楷体_GB2312" w:eastAsia="楷体_GB2312" w:cs="楷体_GB2312"/>
          <w:color w:val="auto"/>
          <w:kern w:val="32"/>
          <w:sz w:val="32"/>
          <w:szCs w:val="32"/>
          <w:highlight w:val="none"/>
          <w:lang w:val="en-US" w:eastAsia="zh-CN"/>
        </w:rPr>
        <w:t>（二）项目要求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以建设全国一流税费服务平台为目标，以强化组织保障、制度保障、业务保障为支撑，面向全区纳税人缴费人提供专业化、规范化、标准化税费咨询服务。新疆税务局除委派部分业务专家支持，提供工作场地、办公家具及电脑设备（不包括低值易耗品）外，其他运行事宜，包括人员团队管理、业务运行质量等均有供应商负责。</w:t>
      </w:r>
    </w:p>
    <w:p>
      <w:pPr>
        <w:ind w:firstLine="640" w:firstLineChars="200"/>
        <w:rPr>
          <w:rFonts w:hint="eastAsia" w:ascii="楷体_GB2312" w:hAnsi="楷体_GB2312" w:eastAsia="楷体_GB2312" w:cs="楷体_GB2312"/>
          <w:color w:val="auto"/>
          <w:kern w:val="32"/>
          <w:sz w:val="32"/>
          <w:szCs w:val="32"/>
          <w:highlight w:val="none"/>
        </w:rPr>
      </w:pPr>
      <w:r>
        <w:rPr>
          <w:rFonts w:hint="eastAsia" w:ascii="楷体_GB2312" w:hAnsi="楷体_GB2312" w:eastAsia="楷体_GB2312" w:cs="楷体_GB2312"/>
          <w:color w:val="auto"/>
          <w:kern w:val="32"/>
          <w:sz w:val="32"/>
          <w:szCs w:val="32"/>
          <w:highlight w:val="none"/>
          <w:lang w:eastAsia="zh-CN"/>
        </w:rPr>
        <w:t>（三）</w:t>
      </w:r>
      <w:r>
        <w:rPr>
          <w:rFonts w:hint="eastAsia" w:ascii="楷体_GB2312" w:hAnsi="楷体_GB2312" w:eastAsia="楷体_GB2312" w:cs="楷体_GB2312"/>
          <w:color w:val="auto"/>
          <w:kern w:val="32"/>
          <w:sz w:val="32"/>
          <w:szCs w:val="32"/>
          <w:highlight w:val="none"/>
        </w:rPr>
        <w:t>项目内容</w:t>
      </w:r>
    </w:p>
    <w:p>
      <w:pPr>
        <w:pStyle w:val="10"/>
        <w:spacing w:line="580" w:lineRule="exact"/>
        <w:ind w:left="0" w:firstLine="640" w:firstLineChars="200"/>
        <w:rPr>
          <w:rFonts w:hint="eastAsia" w:ascii="仿宋_GB2312" w:hAnsi="仿宋_GB2312" w:eastAsia="仿宋_GB2312" w:cs="仿宋_GB2312"/>
          <w:iCs/>
          <w:color w:val="auto"/>
          <w:sz w:val="32"/>
          <w:szCs w:val="32"/>
          <w:highlight w:val="none"/>
          <w:lang w:eastAsia="zh-CN"/>
        </w:rPr>
      </w:pPr>
      <w:r>
        <w:rPr>
          <w:rFonts w:hint="eastAsia" w:ascii="仿宋_GB2312" w:hAnsi="仿宋_GB2312" w:eastAsia="仿宋_GB2312" w:cs="仿宋_GB2312"/>
          <w:iCs/>
          <w:color w:val="auto"/>
          <w:sz w:val="32"/>
          <w:szCs w:val="32"/>
          <w:highlight w:val="none"/>
        </w:rPr>
        <w:t>实施地点：</w:t>
      </w:r>
      <w:r>
        <w:rPr>
          <w:rFonts w:hint="eastAsia" w:ascii="仿宋_GB2312" w:hAnsi="仿宋_GB2312" w:eastAsia="仿宋_GB2312" w:cs="仿宋_GB2312"/>
          <w:iCs/>
          <w:color w:val="auto"/>
          <w:sz w:val="32"/>
          <w:szCs w:val="32"/>
          <w:highlight w:val="none"/>
          <w:lang w:eastAsia="zh-CN"/>
        </w:rPr>
        <w:t>新疆税务局人民路办公区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iCs/>
          <w:color w:val="auto"/>
          <w:sz w:val="32"/>
          <w:szCs w:val="32"/>
          <w:highlight w:val="none"/>
        </w:rPr>
        <w:t>服务期限：</w:t>
      </w:r>
      <w:r>
        <w:rPr>
          <w:rFonts w:hint="eastAsia" w:ascii="仿宋_GB2312" w:hAnsi="仿宋_GB2312" w:eastAsia="仿宋_GB2312" w:cs="仿宋_GB2312"/>
          <w:color w:val="auto"/>
          <w:kern w:val="0"/>
          <w:sz w:val="32"/>
          <w:szCs w:val="32"/>
          <w:highlight w:val="none"/>
          <w:lang w:val="en-US" w:eastAsia="zh-CN" w:bidi="ar"/>
        </w:rPr>
        <w:t>合同签订之日起1年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Cs/>
          <w:sz w:val="32"/>
          <w:szCs w:val="32"/>
        </w:rPr>
      </w:pPr>
      <w:r>
        <w:rPr>
          <w:rFonts w:hint="eastAsia" w:ascii="仿宋_GB2312" w:hAnsi="仿宋_GB2312" w:eastAsia="仿宋_GB2312" w:cs="仿宋_GB2312"/>
          <w:color w:val="auto"/>
          <w:kern w:val="0"/>
          <w:sz w:val="32"/>
          <w:szCs w:val="32"/>
          <w:highlight w:val="none"/>
          <w:lang w:val="en-US" w:eastAsia="zh-CN" w:bidi="ar"/>
        </w:rPr>
        <w:t>服务标准：本项目须符合《全国税务系统12366纳税服务热线工作规范》《12366纳税服务热线基本工作流程和作业标准》等要求。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Cs/>
          <w:sz w:val="32"/>
          <w:szCs w:val="32"/>
        </w:rPr>
      </w:pPr>
      <w:r>
        <w:rPr>
          <w:rFonts w:hint="eastAsia" w:ascii="仿宋_GB2312" w:hAnsi="仿宋_GB2312" w:eastAsia="仿宋_GB2312" w:cs="仿宋_GB2312"/>
          <w:iCs/>
          <w:sz w:val="32"/>
          <w:szCs w:val="32"/>
        </w:rPr>
        <w:t>付款方式：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1.预付款：</w:t>
      </w:r>
      <w:r>
        <w:rPr>
          <w:rFonts w:hint="eastAsia" w:ascii="仿宋_GB2312" w:hAnsi="仿宋_GB2312" w:eastAsia="仿宋_GB2312" w:cs="仿宋_GB2312"/>
          <w:color w:val="auto"/>
          <w:kern w:val="0"/>
          <w:sz w:val="32"/>
          <w:szCs w:val="32"/>
          <w:highlight w:val="none"/>
          <w:lang w:val="zh-CN" w:eastAsia="zh-CN" w:bidi="ar"/>
        </w:rPr>
        <w:t>合同签订后</w:t>
      </w:r>
      <w:r>
        <w:rPr>
          <w:rFonts w:hint="eastAsia" w:ascii="仿宋_GB2312" w:hAnsi="仿宋_GB2312" w:eastAsia="仿宋_GB2312" w:cs="仿宋_GB2312"/>
          <w:color w:val="auto"/>
          <w:kern w:val="0"/>
          <w:sz w:val="32"/>
          <w:szCs w:val="32"/>
          <w:highlight w:val="none"/>
          <w:lang w:val="en-US" w:eastAsia="zh-CN" w:bidi="ar"/>
        </w:rPr>
        <w:t>三十日内，供应商将履约保证金（合同总金额的6%）转入采购人指定账户后，</w:t>
      </w:r>
      <w:r>
        <w:rPr>
          <w:rFonts w:hint="eastAsia" w:ascii="仿宋_GB2312" w:hAnsi="仿宋_GB2312" w:eastAsia="仿宋_GB2312" w:cs="仿宋_GB2312"/>
          <w:color w:val="auto"/>
          <w:kern w:val="0"/>
          <w:sz w:val="32"/>
          <w:szCs w:val="32"/>
          <w:highlight w:val="none"/>
          <w:lang w:val="zh-CN" w:eastAsia="zh-CN" w:bidi="ar"/>
        </w:rPr>
        <w:t>采购人</w:t>
      </w:r>
      <w:r>
        <w:rPr>
          <w:rFonts w:hint="eastAsia" w:ascii="仿宋_GB2312" w:hAnsi="仿宋_GB2312" w:eastAsia="仿宋_GB2312" w:cs="仿宋_GB2312"/>
          <w:color w:val="auto"/>
          <w:kern w:val="0"/>
          <w:sz w:val="32"/>
          <w:szCs w:val="32"/>
          <w:highlight w:val="none"/>
          <w:lang w:val="en-US" w:eastAsia="zh-CN" w:bidi="ar"/>
        </w:rPr>
        <w:t>向其支付合同总金额的40</w:t>
      </w:r>
      <w:r>
        <w:rPr>
          <w:rFonts w:hint="eastAsia" w:ascii="仿宋_GB2312" w:hAnsi="仿宋_GB2312" w:eastAsia="仿宋_GB2312" w:cs="仿宋_GB2312"/>
          <w:color w:val="auto"/>
          <w:kern w:val="0"/>
          <w:sz w:val="32"/>
          <w:szCs w:val="32"/>
          <w:highlight w:val="none"/>
          <w:lang w:val="zh-CN" w:eastAsia="zh-CN" w:bidi="ar"/>
        </w:rPr>
        <w:t>%作为预付合同款；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2.费用支付：合同执行第三个月，采购人根据供应商的履约情况并验收合格后，支付合同总金额的10%；合同执行第十个月，采购人根据供应商履约情况并验收合格后，再行支付合同总金额的40%。</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color w:val="auto"/>
          <w:kern w:val="0"/>
          <w:sz w:val="32"/>
          <w:szCs w:val="32"/>
          <w:highlight w:val="none"/>
          <w:lang w:val="en-US" w:eastAsia="zh-CN" w:bidi="ar"/>
        </w:rPr>
        <w:t>3.尾款支付：待服务期满，采购人根据供应商的履约情况并验收合格后，支付剩余10%的合同款并无息退还履约保证金。</w:t>
      </w:r>
    </w:p>
    <w:p>
      <w:pPr>
        <w:spacing w:line="580" w:lineRule="exact"/>
        <w:ind w:firstLine="640" w:firstLineChars="200"/>
        <w:rPr>
          <w:rFonts w:hint="eastAsia" w:ascii="仿宋_GB2312" w:hAnsi="Times New Roman" w:eastAsia="仿宋_GB2312"/>
          <w:bCs/>
          <w:snapToGrid w:val="0"/>
          <w:sz w:val="32"/>
          <w:szCs w:val="32"/>
          <w:lang w:val="zh-CN"/>
        </w:rPr>
      </w:pPr>
      <w:r>
        <w:rPr>
          <w:rFonts w:hint="eastAsia" w:ascii="黑体" w:hAnsi="黑体" w:eastAsia="黑体" w:cs="仿宋_GB2312"/>
          <w:iCs/>
          <w:sz w:val="32"/>
          <w:szCs w:val="32"/>
        </w:rPr>
        <w:t>二、投标/</w:t>
      </w:r>
      <w:r>
        <w:rPr>
          <w:rFonts w:hint="eastAsia" w:ascii="黑体" w:hAnsi="黑体" w:eastAsia="黑体" w:cs="仿宋_GB2312"/>
          <w:iCs/>
          <w:sz w:val="32"/>
          <w:szCs w:val="32"/>
          <w:lang w:eastAsia="zh-CN"/>
        </w:rPr>
        <w:t>响应</w:t>
      </w:r>
      <w:r>
        <w:rPr>
          <w:rFonts w:hint="eastAsia" w:ascii="黑体" w:hAnsi="黑体" w:eastAsia="黑体" w:cs="仿宋_GB2312"/>
          <w:iCs/>
          <w:sz w:val="32"/>
          <w:szCs w:val="32"/>
        </w:rPr>
        <w:t>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 w:eastAsia="zh-CN" w:bidi="ar"/>
        </w:rPr>
      </w:pPr>
      <w:r>
        <w:rPr>
          <w:rFonts w:hint="eastAsia" w:ascii="仿宋_GB2312" w:hAnsi="仿宋_GB2312" w:eastAsia="仿宋_GB2312" w:cs="仿宋_GB2312"/>
          <w:color w:val="auto"/>
          <w:kern w:val="0"/>
          <w:sz w:val="32"/>
          <w:szCs w:val="32"/>
          <w:highlight w:val="none"/>
          <w:lang w:val="en-US" w:eastAsia="zh-CN" w:bidi="ar"/>
        </w:rPr>
        <w:t>投标人须满足</w:t>
      </w:r>
      <w:r>
        <w:rPr>
          <w:rFonts w:hint="default" w:ascii="仿宋_GB2312" w:hAnsi="仿宋_GB2312" w:eastAsia="仿宋_GB2312" w:cs="仿宋_GB2312"/>
          <w:color w:val="auto"/>
          <w:kern w:val="0"/>
          <w:sz w:val="32"/>
          <w:szCs w:val="32"/>
          <w:highlight w:val="none"/>
          <w:lang w:val="en" w:eastAsia="zh-CN" w:bidi="ar"/>
        </w:rPr>
        <w:t>《中华人民共和国政府采购法》第二十二条规定</w:t>
      </w:r>
      <w:r>
        <w:rPr>
          <w:rFonts w:hint="eastAsia" w:ascii="仿宋_GB2312" w:hAnsi="仿宋_GB2312" w:eastAsia="仿宋_GB2312" w:cs="仿宋_GB2312"/>
          <w:color w:val="auto"/>
          <w:kern w:val="0"/>
          <w:sz w:val="32"/>
          <w:szCs w:val="32"/>
          <w:highlight w:val="none"/>
          <w:lang w:val="en-US" w:eastAsia="zh-CN" w:bidi="ar"/>
        </w:rPr>
        <w:t>要求</w:t>
      </w:r>
      <w:r>
        <w:rPr>
          <w:rFonts w:hint="default" w:ascii="仿宋_GB2312" w:hAnsi="仿宋_GB2312" w:eastAsia="仿宋_GB2312" w:cs="仿宋_GB2312"/>
          <w:color w:val="auto"/>
          <w:kern w:val="0"/>
          <w:sz w:val="32"/>
          <w:szCs w:val="32"/>
          <w:highlight w:val="none"/>
          <w:lang w:val="en"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供应商参加政府采购活动应当具备下列条件：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（一）具有独立承担民事责任的能力；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（二）具有良好的商业信誉和健全的财务会计制度；</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（三）具有履行合同所必需的设备和专业技术能力；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（四）有依法缴纳税收和社会保障资金的良好记录；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lang w:val="en" w:eastAsia="zh-CN"/>
        </w:rPr>
      </w:pPr>
      <w:r>
        <w:rPr>
          <w:rFonts w:hint="eastAsia" w:ascii="仿宋_GB2312" w:hAnsi="仿宋_GB2312" w:eastAsia="仿宋_GB2312" w:cs="仿宋_GB2312"/>
          <w:color w:val="auto"/>
          <w:kern w:val="0"/>
          <w:sz w:val="32"/>
          <w:szCs w:val="32"/>
          <w:highlight w:val="none"/>
          <w:lang w:val="en-US" w:eastAsia="zh-CN" w:bidi="ar"/>
        </w:rPr>
        <w:t>（五）参加政府采购活动前三年内，在经营活动中没有重大违法记录；</w:t>
      </w:r>
    </w:p>
    <w:p>
      <w:pPr>
        <w:pStyle w:val="10"/>
        <w:spacing w:line="580" w:lineRule="exact"/>
        <w:ind w:left="0" w:firstLine="640" w:firstLineChars="200"/>
        <w:rPr>
          <w:rFonts w:hint="eastAsia" w:ascii="黑体" w:hAnsi="黑体" w:eastAsia="黑体"/>
          <w:kern w:val="44"/>
          <w:sz w:val="32"/>
          <w:szCs w:val="32"/>
        </w:rPr>
      </w:pPr>
      <w:r>
        <w:rPr>
          <w:rFonts w:hint="eastAsia" w:ascii="黑体" w:hAnsi="黑体" w:eastAsia="黑体"/>
          <w:kern w:val="44"/>
          <w:sz w:val="32"/>
          <w:szCs w:val="32"/>
        </w:rPr>
        <w:t>三、项目需求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（一）具有呼叫行业服务管理经验，熟悉政务服务类热线运营管理工作，熟知税费政策、税费征管、税费服务等与12366热线相关的业务知识。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东文宋体" w:hAnsi="东文宋体" w:eastAsia="东文宋体" w:cs="东文宋体"/>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二）全面承接12366热线业务功能，保证纳税人缴费人通过电话等各种渠道提出的税费服务诉求能够得到快速响应，除法律规定的不可抗力原因外，12366热线运行不得中断。如遇可能影响热线通信的情况，应在1个小时内通知新疆税务局（12366热线管理部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东文宋体" w:hAnsi="东文宋体" w:eastAsia="东文宋体" w:cs="东文宋体"/>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（三）全面承接与12366热线服务密切相关的网络咨询服务，包括但不限于：国家税务总局12366纳税服务平台网络咨询、新疆税务局官方网站等渠道，提供符合国家税务总局、新疆税务局要求的达标服务。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（四）12366热线目前已经分别以分中心形式归并到12345热线、96359热线，服务质效要求须达到国家税务总局、新疆维吾尔自治区人民政府、新疆生产建设兵团、新疆税务局的考核标准。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东文宋体" w:hAnsi="东文宋体" w:eastAsia="东文宋体" w:cs="东文宋体"/>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（五）按照国家税务总局和新疆税务局的要求开展工作，不得利用 12366热线从事超出业务范围的活动，</w:t>
      </w:r>
      <w:r>
        <w:rPr>
          <w:rFonts w:hint="default" w:ascii="仿宋_GB2312" w:hAnsi="仿宋_GB2312" w:eastAsia="仿宋_GB2312" w:cs="仿宋_GB2312"/>
          <w:color w:val="auto"/>
          <w:kern w:val="0"/>
          <w:sz w:val="32"/>
          <w:szCs w:val="32"/>
          <w:highlight w:val="none"/>
          <w:lang w:val="en" w:eastAsia="zh-CN" w:bidi="ar"/>
        </w:rPr>
        <w:t>需</w:t>
      </w:r>
      <w:r>
        <w:rPr>
          <w:rFonts w:hint="eastAsia" w:ascii="仿宋_GB2312" w:hAnsi="仿宋_GB2312" w:eastAsia="仿宋_GB2312" w:cs="仿宋_GB2312"/>
          <w:color w:val="auto"/>
          <w:kern w:val="0"/>
          <w:sz w:val="32"/>
          <w:szCs w:val="32"/>
          <w:highlight w:val="none"/>
          <w:lang w:val="en" w:eastAsia="zh-CN" w:bidi="ar"/>
        </w:rPr>
        <w:t>出具承诺函</w:t>
      </w:r>
      <w:r>
        <w:rPr>
          <w:rFonts w:hint="default" w:ascii="仿宋_GB2312" w:hAnsi="仿宋_GB2312" w:eastAsia="仿宋_GB2312" w:cs="仿宋_GB2312"/>
          <w:color w:val="auto"/>
          <w:kern w:val="0"/>
          <w:sz w:val="32"/>
          <w:szCs w:val="32"/>
          <w:highlight w:val="none"/>
          <w:lang w:val="en" w:eastAsia="zh-CN" w:bidi="ar"/>
        </w:rPr>
        <w:t>保证</w:t>
      </w:r>
      <w:r>
        <w:rPr>
          <w:rFonts w:hint="eastAsia" w:ascii="仿宋_GB2312" w:hAnsi="仿宋_GB2312" w:eastAsia="仿宋_GB2312" w:cs="仿宋_GB2312"/>
          <w:color w:val="auto"/>
          <w:kern w:val="0"/>
          <w:sz w:val="32"/>
          <w:szCs w:val="32"/>
          <w:highlight w:val="none"/>
          <w:lang w:val="en-US" w:eastAsia="zh-CN" w:bidi="ar"/>
        </w:rPr>
        <w:t>服务人员为专职人员，不得兼职。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东文宋体" w:hAnsi="东文宋体" w:eastAsia="东文宋体" w:cs="东文宋体"/>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（六）配备数量与工作量相匹配的相关人员（不低于100名坐席/月，其中须有</w:t>
      </w:r>
      <w:r>
        <w:rPr>
          <w:rFonts w:hint="eastAsia" w:ascii="仿宋_GB2312" w:hAnsi="仿宋_GB2312" w:eastAsia="仿宋_GB2312" w:cs="仿宋_GB2312"/>
          <w:color w:val="auto"/>
          <w:kern w:val="0"/>
          <w:sz w:val="32"/>
          <w:szCs w:val="32"/>
          <w:highlight w:val="none"/>
          <w:lang w:val="zh-CN" w:eastAsia="zh-CN" w:bidi="ar"/>
        </w:rPr>
        <w:t>政务服务热线工作经验的管理人员</w:t>
      </w:r>
      <w:r>
        <w:rPr>
          <w:rFonts w:hint="eastAsia" w:ascii="仿宋_GB2312" w:hAnsi="仿宋_GB2312" w:eastAsia="仿宋_GB2312" w:cs="仿宋_GB2312"/>
          <w:color w:val="auto"/>
          <w:kern w:val="0"/>
          <w:sz w:val="32"/>
          <w:szCs w:val="32"/>
          <w:highlight w:val="none"/>
          <w:lang w:val="en-US" w:eastAsia="zh-CN" w:bidi="ar"/>
        </w:rPr>
        <w:t>1名），提供“7×24 小时”全天候人工服务。服务</w:t>
      </w:r>
      <w:r>
        <w:rPr>
          <w:rFonts w:hint="eastAsia" w:ascii="仿宋_GB2312" w:hAnsi="仿宋_GB2312" w:eastAsia="仿宋_GB2312" w:cs="仿宋_GB2312"/>
          <w:color w:val="auto"/>
          <w:kern w:val="0"/>
          <w:sz w:val="32"/>
          <w:szCs w:val="32"/>
          <w:highlight w:val="none"/>
          <w:lang w:val="zh-CN" w:eastAsia="zh-CN" w:bidi="ar"/>
        </w:rPr>
        <w:t>人员须熟悉税费服务工作，具备税费专业知识和岗位胜任能力。</w:t>
      </w:r>
    </w:p>
    <w:p>
      <w:pPr>
        <w:widowControl/>
        <w:numPr>
          <w:ilvl w:val="0"/>
          <w:numId w:val="0"/>
        </w:numPr>
        <w:spacing w:line="600" w:lineRule="exact"/>
        <w:ind w:firstLine="640" w:firstLineChars="200"/>
        <w:rPr>
          <w:rFonts w:hint="eastAsia" w:ascii="黑体" w:hAnsi="黑体" w:eastAsia="黑体" w:cs="黑体"/>
          <w:b w:val="0"/>
          <w:bCs w:val="0"/>
          <w:kern w:val="2"/>
          <w:sz w:val="32"/>
          <w:szCs w:val="32"/>
          <w:highlight w:val="none"/>
          <w:lang w:val="en-US" w:eastAsia="zh-CN" w:bidi="ar"/>
        </w:rPr>
      </w:pPr>
      <w:r>
        <w:rPr>
          <w:rFonts w:hint="eastAsia" w:ascii="黑体" w:hAnsi="黑体" w:eastAsia="黑体" w:cs="黑体"/>
          <w:b w:val="0"/>
          <w:bCs w:val="0"/>
          <w:sz w:val="32"/>
          <w:szCs w:val="32"/>
        </w:rPr>
        <w:t>四、</w:t>
      </w:r>
      <w:r>
        <w:rPr>
          <w:rFonts w:hint="eastAsia" w:ascii="黑体" w:hAnsi="黑体" w:eastAsia="黑体" w:cs="黑体"/>
          <w:b w:val="0"/>
          <w:bCs w:val="0"/>
          <w:kern w:val="2"/>
          <w:sz w:val="32"/>
          <w:szCs w:val="32"/>
          <w:highlight w:val="none"/>
          <w:lang w:val="en-US" w:eastAsia="zh-CN" w:bidi="ar"/>
        </w:rPr>
        <w:t>项目服务内容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利用12366热线</w:t>
      </w:r>
      <w:r>
        <w:rPr>
          <w:rFonts w:hint="eastAsia" w:ascii="仿宋_GB2312" w:hAnsi="仿宋_GB2312" w:eastAsia="仿宋_GB2312" w:cs="仿宋_GB2312"/>
          <w:color w:val="auto"/>
          <w:kern w:val="0"/>
          <w:sz w:val="32"/>
          <w:szCs w:val="32"/>
          <w:highlight w:val="none"/>
          <w:lang w:val="en-US" w:eastAsia="zh-CN" w:bidi="ar"/>
        </w:rPr>
        <w:t>等渠道</w:t>
      </w:r>
      <w:r>
        <w:rPr>
          <w:rFonts w:hint="default" w:ascii="仿宋_GB2312" w:hAnsi="仿宋_GB2312" w:eastAsia="仿宋_GB2312" w:cs="仿宋_GB2312"/>
          <w:color w:val="auto"/>
          <w:kern w:val="0"/>
          <w:sz w:val="32"/>
          <w:szCs w:val="32"/>
          <w:highlight w:val="none"/>
          <w:lang w:val="en-US" w:eastAsia="zh-CN" w:bidi="ar"/>
        </w:rPr>
        <w:t>通过</w:t>
      </w:r>
      <w:r>
        <w:rPr>
          <w:rFonts w:hint="eastAsia" w:ascii="仿宋_GB2312" w:hAnsi="仿宋_GB2312" w:eastAsia="仿宋_GB2312" w:cs="仿宋_GB2312"/>
          <w:color w:val="auto"/>
          <w:kern w:val="0"/>
          <w:sz w:val="32"/>
          <w:szCs w:val="32"/>
          <w:highlight w:val="none"/>
          <w:lang w:val="en-US" w:eastAsia="zh-CN" w:bidi="ar"/>
        </w:rPr>
        <w:t>电话</w:t>
      </w:r>
      <w:r>
        <w:rPr>
          <w:rFonts w:hint="default" w:ascii="仿宋_GB2312" w:hAnsi="仿宋_GB2312" w:eastAsia="仿宋_GB2312" w:cs="仿宋_GB2312"/>
          <w:color w:val="auto"/>
          <w:kern w:val="0"/>
          <w:sz w:val="32"/>
          <w:szCs w:val="32"/>
          <w:highlight w:val="none"/>
          <w:lang w:val="en-US" w:eastAsia="zh-CN" w:bidi="ar"/>
        </w:rPr>
        <w:t>、网络等多种形式，向纳税人缴费人提供税费咨询、税费信息查询、举报投诉、意见建议等税费咨询服务</w:t>
      </w:r>
      <w:r>
        <w:rPr>
          <w:rFonts w:hint="eastAsia" w:ascii="仿宋_GB2312" w:hAnsi="仿宋_GB2312" w:eastAsia="仿宋_GB2312" w:cs="仿宋_GB2312"/>
          <w:color w:val="auto"/>
          <w:kern w:val="0"/>
          <w:sz w:val="32"/>
          <w:szCs w:val="32"/>
          <w:highlight w:val="none"/>
          <w:lang w:val="en-US" w:eastAsia="zh-CN" w:bidi="ar"/>
        </w:rPr>
        <w:t>，并协助开展智能咨询运维、涉税事项</w:t>
      </w:r>
      <w:r>
        <w:rPr>
          <w:rFonts w:hint="default" w:ascii="仿宋_GB2312" w:hAnsi="仿宋_GB2312" w:eastAsia="仿宋_GB2312" w:cs="仿宋_GB2312"/>
          <w:color w:val="auto"/>
          <w:kern w:val="0"/>
          <w:sz w:val="32"/>
          <w:szCs w:val="32"/>
          <w:highlight w:val="none"/>
          <w:lang w:val="en-US" w:eastAsia="zh-CN" w:bidi="ar"/>
        </w:rPr>
        <w:t>调查、税</w:t>
      </w:r>
      <w:r>
        <w:rPr>
          <w:rFonts w:hint="eastAsia" w:ascii="仿宋_GB2312" w:hAnsi="仿宋_GB2312" w:eastAsia="仿宋_GB2312" w:cs="仿宋_GB2312"/>
          <w:color w:val="auto"/>
          <w:kern w:val="0"/>
          <w:sz w:val="32"/>
          <w:szCs w:val="32"/>
          <w:highlight w:val="none"/>
          <w:lang w:val="en-US" w:eastAsia="zh-CN" w:bidi="ar"/>
        </w:rPr>
        <w:t>费</w:t>
      </w:r>
      <w:r>
        <w:rPr>
          <w:rFonts w:hint="default" w:ascii="仿宋_GB2312" w:hAnsi="仿宋_GB2312" w:eastAsia="仿宋_GB2312" w:cs="仿宋_GB2312"/>
          <w:color w:val="auto"/>
          <w:kern w:val="0"/>
          <w:sz w:val="32"/>
          <w:szCs w:val="32"/>
          <w:highlight w:val="none"/>
          <w:lang w:val="en-US" w:eastAsia="zh-CN" w:bidi="ar"/>
        </w:rPr>
        <w:t>宣传</w:t>
      </w:r>
      <w:r>
        <w:rPr>
          <w:rFonts w:hint="eastAsia" w:ascii="仿宋_GB2312" w:hAnsi="仿宋_GB2312" w:eastAsia="仿宋_GB2312" w:cs="仿宋_GB2312"/>
          <w:color w:val="auto"/>
          <w:kern w:val="0"/>
          <w:sz w:val="32"/>
          <w:szCs w:val="32"/>
          <w:highlight w:val="none"/>
          <w:lang w:val="en-US" w:eastAsia="zh-CN" w:bidi="ar"/>
        </w:rPr>
        <w:t>辅导</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诉求</w:t>
      </w:r>
      <w:r>
        <w:rPr>
          <w:rFonts w:hint="default" w:ascii="仿宋_GB2312" w:hAnsi="仿宋_GB2312" w:eastAsia="仿宋_GB2312" w:cs="仿宋_GB2312"/>
          <w:color w:val="auto"/>
          <w:kern w:val="0"/>
          <w:sz w:val="32"/>
          <w:szCs w:val="32"/>
          <w:highlight w:val="none"/>
          <w:lang w:val="en-US" w:eastAsia="zh-CN" w:bidi="ar"/>
        </w:rPr>
        <w:t>数据分析</w:t>
      </w:r>
      <w:r>
        <w:rPr>
          <w:rFonts w:hint="eastAsia" w:ascii="仿宋_GB2312" w:hAnsi="仿宋_GB2312" w:eastAsia="仿宋_GB2312" w:cs="仿宋_GB2312"/>
          <w:color w:val="auto"/>
          <w:kern w:val="0"/>
          <w:sz w:val="32"/>
          <w:szCs w:val="32"/>
          <w:highlight w:val="none"/>
          <w:lang w:val="en-US" w:eastAsia="zh-CN" w:bidi="ar"/>
        </w:rPr>
        <w:t>等工作</w:t>
      </w:r>
      <w:r>
        <w:rPr>
          <w:rFonts w:hint="default" w:ascii="仿宋_GB2312" w:hAnsi="仿宋_GB2312" w:eastAsia="仿宋_GB2312" w:cs="仿宋_GB2312"/>
          <w:color w:val="auto"/>
          <w:kern w:val="0"/>
          <w:sz w:val="32"/>
          <w:szCs w:val="32"/>
          <w:highlight w:val="none"/>
          <w:lang w:val="en-US" w:eastAsia="zh-CN" w:bidi="ar"/>
        </w:rPr>
        <w:t>。税费咨询服务具体如下：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一</w:t>
      </w:r>
      <w:r>
        <w:rPr>
          <w:rFonts w:hint="default" w:ascii="仿宋_GB2312" w:hAnsi="仿宋_GB2312" w:eastAsia="仿宋_GB2312" w:cs="仿宋_GB2312"/>
          <w:color w:val="auto"/>
          <w:kern w:val="0"/>
          <w:sz w:val="32"/>
          <w:szCs w:val="32"/>
          <w:highlight w:val="none"/>
          <w:lang w:val="en-US" w:eastAsia="zh-CN" w:bidi="ar"/>
        </w:rPr>
        <w:t>）税费咨询：解答纳税人缴费人及社会公众向12366热线提出的国家税收法律、行政法规、纳税程序、社会保险费和税务机关管辖的非税收入征管有关问题以及涉税费系统操作等各类税费业务咨询。</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二</w:t>
      </w:r>
      <w:r>
        <w:rPr>
          <w:rFonts w:hint="default" w:ascii="仿宋_GB2312" w:hAnsi="仿宋_GB2312" w:eastAsia="仿宋_GB2312" w:cs="仿宋_GB2312"/>
          <w:color w:val="auto"/>
          <w:kern w:val="0"/>
          <w:sz w:val="32"/>
          <w:szCs w:val="32"/>
          <w:highlight w:val="none"/>
          <w:lang w:val="en-US" w:eastAsia="zh-CN" w:bidi="ar"/>
        </w:rPr>
        <w:t>）税费信息查询：为纳税人缴费人及社会公众提供国家税收法律法规、发票信息等相关税费信息查询。</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三</w:t>
      </w:r>
      <w:r>
        <w:rPr>
          <w:rFonts w:hint="default" w:ascii="仿宋_GB2312" w:hAnsi="仿宋_GB2312" w:eastAsia="仿宋_GB2312" w:cs="仿宋_GB2312"/>
          <w:color w:val="auto"/>
          <w:kern w:val="0"/>
          <w:sz w:val="32"/>
          <w:szCs w:val="32"/>
          <w:highlight w:val="none"/>
          <w:lang w:val="en-US" w:eastAsia="zh-CN" w:bidi="ar"/>
        </w:rPr>
        <w:t>）举报投诉：接收对纳税人偷逃骗税、发票违法等税收违法行为的举报；接收纳税人缴费人对税务机关和税务人员工作作风及服务质量的投诉以及违法违纪行为的举报。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四</w:t>
      </w:r>
      <w:r>
        <w:rPr>
          <w:rFonts w:hint="default" w:ascii="仿宋_GB2312" w:hAnsi="仿宋_GB2312" w:eastAsia="仿宋_GB2312" w:cs="仿宋_GB2312"/>
          <w:color w:val="auto"/>
          <w:kern w:val="0"/>
          <w:sz w:val="32"/>
          <w:szCs w:val="32"/>
          <w:highlight w:val="none"/>
          <w:lang w:val="en-US" w:eastAsia="zh-CN" w:bidi="ar"/>
        </w:rPr>
        <w:t>）意见建议：接收纳税人缴费人对税收工作、社会保险费和税务机关负责的非税收入征管工作的意见与建议。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五</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知识库运维：负责12366知识库（地方知识）以及征纳互动平台智能知识库系统各栏目内容的日常更新维护等。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六</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智能咨询运维：配合提升12366智能服务能力，做好12366纳税服务平台“小慧”、征纳互动平台“悦悦”、12366热线“疆小税”等智能咨询系统测试及知识运维等。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七</w:t>
      </w:r>
      <w:r>
        <w:rPr>
          <w:rFonts w:hint="default" w:ascii="仿宋_GB2312" w:hAnsi="仿宋_GB2312" w:eastAsia="仿宋_GB2312" w:cs="仿宋_GB2312"/>
          <w:color w:val="auto"/>
          <w:kern w:val="0"/>
          <w:sz w:val="32"/>
          <w:szCs w:val="32"/>
          <w:highlight w:val="none"/>
          <w:lang w:val="en-US" w:eastAsia="zh-CN" w:bidi="ar"/>
        </w:rPr>
        <w:t>）涉税</w:t>
      </w:r>
      <w:r>
        <w:rPr>
          <w:rFonts w:hint="eastAsia" w:ascii="仿宋_GB2312" w:hAnsi="仿宋_GB2312" w:eastAsia="仿宋_GB2312" w:cs="仿宋_GB2312"/>
          <w:color w:val="auto"/>
          <w:kern w:val="0"/>
          <w:sz w:val="32"/>
          <w:szCs w:val="32"/>
          <w:highlight w:val="none"/>
          <w:lang w:val="en-US" w:eastAsia="zh-CN" w:bidi="ar"/>
        </w:rPr>
        <w:t>事项</w:t>
      </w:r>
      <w:r>
        <w:rPr>
          <w:rFonts w:hint="default" w:ascii="仿宋_GB2312" w:hAnsi="仿宋_GB2312" w:eastAsia="仿宋_GB2312" w:cs="仿宋_GB2312"/>
          <w:color w:val="auto"/>
          <w:kern w:val="0"/>
          <w:sz w:val="32"/>
          <w:szCs w:val="32"/>
          <w:highlight w:val="none"/>
          <w:lang w:val="en-US" w:eastAsia="zh-CN" w:bidi="ar"/>
        </w:rPr>
        <w:t>调查：通过12366开展满意度调查、意见征集等活动，通过电话抽查回访、网上调查问卷等方式配合新疆税务局了解全区各级税务机关工作开展情况。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八</w:t>
      </w:r>
      <w:r>
        <w:rPr>
          <w:rFonts w:hint="default" w:ascii="仿宋_GB2312" w:hAnsi="仿宋_GB2312" w:eastAsia="仿宋_GB2312" w:cs="仿宋_GB2312"/>
          <w:color w:val="auto"/>
          <w:kern w:val="0"/>
          <w:sz w:val="32"/>
          <w:szCs w:val="32"/>
          <w:highlight w:val="none"/>
          <w:lang w:val="en-US" w:eastAsia="zh-CN" w:bidi="ar"/>
        </w:rPr>
        <w:t>）税法宣传</w:t>
      </w:r>
      <w:r>
        <w:rPr>
          <w:rFonts w:hint="eastAsia" w:ascii="仿宋_GB2312" w:hAnsi="仿宋_GB2312" w:eastAsia="仿宋_GB2312" w:cs="仿宋_GB2312"/>
          <w:color w:val="auto"/>
          <w:kern w:val="0"/>
          <w:sz w:val="32"/>
          <w:szCs w:val="32"/>
          <w:highlight w:val="none"/>
          <w:lang w:val="en-US" w:eastAsia="zh-CN" w:bidi="ar"/>
        </w:rPr>
        <w:t>辅导</w:t>
      </w:r>
      <w:r>
        <w:rPr>
          <w:rFonts w:hint="default" w:ascii="仿宋_GB2312" w:hAnsi="仿宋_GB2312" w:eastAsia="仿宋_GB2312" w:cs="仿宋_GB2312"/>
          <w:color w:val="auto"/>
          <w:kern w:val="0"/>
          <w:sz w:val="32"/>
          <w:szCs w:val="32"/>
          <w:highlight w:val="none"/>
          <w:lang w:val="en-US" w:eastAsia="zh-CN" w:bidi="ar"/>
        </w:rPr>
        <w:t>：通过国家税务总局12366纳税服务平台、新疆税务局门户网站等渠道发布税收政策、解读、热点问题及宣传视频等。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九</w:t>
      </w:r>
      <w:r>
        <w:rPr>
          <w:rFonts w:hint="default" w:ascii="仿宋_GB2312" w:hAnsi="仿宋_GB2312" w:eastAsia="仿宋_GB2312" w:cs="仿宋_GB2312"/>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诉求</w:t>
      </w:r>
      <w:r>
        <w:rPr>
          <w:rFonts w:hint="default" w:ascii="仿宋_GB2312" w:hAnsi="仿宋_GB2312" w:eastAsia="仿宋_GB2312" w:cs="仿宋_GB2312"/>
          <w:color w:val="auto"/>
          <w:kern w:val="0"/>
          <w:sz w:val="32"/>
          <w:szCs w:val="32"/>
          <w:highlight w:val="none"/>
          <w:lang w:val="en-US" w:eastAsia="zh-CN" w:bidi="ar"/>
        </w:rPr>
        <w:t>数据分析：</w:t>
      </w:r>
      <w:r>
        <w:rPr>
          <w:rFonts w:hint="eastAsia" w:ascii="仿宋_GB2312" w:hAnsi="仿宋_GB2312" w:eastAsia="仿宋_GB2312" w:cs="仿宋_GB2312"/>
          <w:color w:val="auto"/>
          <w:kern w:val="0"/>
          <w:sz w:val="32"/>
          <w:szCs w:val="32"/>
          <w:highlight w:val="none"/>
          <w:lang w:val="en-US" w:eastAsia="zh-CN" w:bidi="ar"/>
        </w:rPr>
        <w:t>开展12366热线等渠道税费诉求数据的统计分析，协助做好</w:t>
      </w:r>
      <w:r>
        <w:rPr>
          <w:rFonts w:hint="default" w:ascii="仿宋_GB2312" w:hAnsi="仿宋_GB2312" w:eastAsia="仿宋_GB2312" w:cs="仿宋_GB2312"/>
          <w:color w:val="auto"/>
          <w:kern w:val="0"/>
          <w:sz w:val="32"/>
          <w:szCs w:val="32"/>
          <w:highlight w:val="none"/>
          <w:lang w:val="en-US" w:eastAsia="zh-CN" w:bidi="ar"/>
        </w:rPr>
        <w:t>12366热线运行情况分析报告以及重点工作专题分析报告</w:t>
      </w:r>
      <w:r>
        <w:rPr>
          <w:rFonts w:hint="eastAsia" w:ascii="仿宋_GB2312" w:hAnsi="仿宋_GB2312" w:eastAsia="仿宋_GB2312" w:cs="仿宋_GB2312"/>
          <w:color w:val="auto"/>
          <w:kern w:val="0"/>
          <w:sz w:val="32"/>
          <w:szCs w:val="32"/>
          <w:highlight w:val="none"/>
          <w:lang w:val="en-US" w:eastAsia="zh-CN" w:bidi="ar"/>
        </w:rPr>
        <w:t>的</w:t>
      </w:r>
      <w:r>
        <w:rPr>
          <w:rFonts w:hint="default" w:ascii="仿宋_GB2312" w:hAnsi="仿宋_GB2312" w:eastAsia="仿宋_GB2312" w:cs="仿宋_GB2312"/>
          <w:color w:val="auto"/>
          <w:kern w:val="0"/>
          <w:sz w:val="32"/>
          <w:szCs w:val="32"/>
          <w:highlight w:val="none"/>
          <w:lang w:val="en-US" w:eastAsia="zh-CN" w:bidi="ar"/>
        </w:rPr>
        <w:t>编制</w:t>
      </w:r>
      <w:r>
        <w:rPr>
          <w:rFonts w:hint="eastAsia" w:ascii="仿宋_GB2312" w:hAnsi="仿宋_GB2312" w:eastAsia="仿宋_GB2312" w:cs="仿宋_GB2312"/>
          <w:color w:val="auto"/>
          <w:kern w:val="0"/>
          <w:sz w:val="32"/>
          <w:szCs w:val="32"/>
          <w:highlight w:val="none"/>
          <w:lang w:val="en-US" w:eastAsia="zh-CN" w:bidi="ar"/>
        </w:rPr>
        <w:t>工作</w:t>
      </w:r>
      <w:r>
        <w:rPr>
          <w:rFonts w:hint="default" w:ascii="仿宋_GB2312" w:hAnsi="仿宋_GB2312" w:eastAsia="仿宋_GB2312" w:cs="仿宋_GB2312"/>
          <w:color w:val="auto"/>
          <w:kern w:val="0"/>
          <w:sz w:val="32"/>
          <w:szCs w:val="32"/>
          <w:highlight w:val="none"/>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（十）税费诉</w:t>
      </w:r>
      <w:r>
        <w:rPr>
          <w:rFonts w:hint="default" w:ascii="仿宋_GB2312" w:hAnsi="仿宋_GB2312" w:eastAsia="仿宋_GB2312" w:cs="仿宋_GB2312"/>
          <w:color w:val="auto"/>
          <w:kern w:val="0"/>
          <w:sz w:val="32"/>
          <w:szCs w:val="32"/>
          <w:highlight w:val="none"/>
          <w:lang w:val="en-US" w:eastAsia="zh-CN" w:bidi="ar"/>
        </w:rPr>
        <w:t>求收集：</w:t>
      </w:r>
      <w:r>
        <w:rPr>
          <w:rFonts w:hint="eastAsia" w:ascii="仿宋_GB2312" w:hAnsi="仿宋_GB2312" w:eastAsia="仿宋_GB2312" w:cs="仿宋_GB2312"/>
          <w:color w:val="auto"/>
          <w:kern w:val="0"/>
          <w:sz w:val="32"/>
          <w:szCs w:val="32"/>
          <w:highlight w:val="none"/>
          <w:lang w:val="en-US" w:eastAsia="zh-CN" w:bidi="ar"/>
        </w:rPr>
        <w:t>按规定要求定期</w:t>
      </w:r>
      <w:r>
        <w:rPr>
          <w:rFonts w:hint="default" w:ascii="仿宋_GB2312" w:hAnsi="仿宋_GB2312" w:eastAsia="仿宋_GB2312" w:cs="仿宋_GB2312"/>
          <w:color w:val="auto"/>
          <w:kern w:val="0"/>
          <w:sz w:val="32"/>
          <w:szCs w:val="32"/>
          <w:highlight w:val="none"/>
          <w:lang w:val="en-US" w:eastAsia="zh-CN" w:bidi="ar"/>
        </w:rPr>
        <w:t>通过12366热线等渠道收集纳税人缴费人在办税缴费过程中提出的</w:t>
      </w:r>
      <w:r>
        <w:rPr>
          <w:rFonts w:hint="eastAsia" w:ascii="仿宋_GB2312" w:hAnsi="仿宋_GB2312" w:eastAsia="仿宋_GB2312" w:cs="仿宋_GB2312"/>
          <w:color w:val="auto"/>
          <w:kern w:val="0"/>
          <w:sz w:val="32"/>
          <w:szCs w:val="32"/>
          <w:highlight w:val="none"/>
          <w:lang w:val="en-US" w:eastAsia="zh-CN" w:bidi="ar"/>
        </w:rPr>
        <w:t>诉</w:t>
      </w:r>
      <w:r>
        <w:rPr>
          <w:rFonts w:hint="default" w:ascii="仿宋_GB2312" w:hAnsi="仿宋_GB2312" w:eastAsia="仿宋_GB2312" w:cs="仿宋_GB2312"/>
          <w:color w:val="auto"/>
          <w:kern w:val="0"/>
          <w:sz w:val="32"/>
          <w:szCs w:val="32"/>
          <w:highlight w:val="none"/>
          <w:lang w:val="en-US" w:eastAsia="zh-CN" w:bidi="ar"/>
        </w:rPr>
        <w:t>求，并按规定归集、分析、传递。</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（十一）</w:t>
      </w:r>
      <w:r>
        <w:rPr>
          <w:rFonts w:hint="default" w:ascii="仿宋_GB2312" w:hAnsi="仿宋_GB2312" w:eastAsia="仿宋_GB2312" w:cs="仿宋_GB2312"/>
          <w:color w:val="auto"/>
          <w:kern w:val="0"/>
          <w:sz w:val="32"/>
          <w:szCs w:val="32"/>
          <w:highlight w:val="none"/>
          <w:lang w:val="en-US" w:eastAsia="zh-CN" w:bidi="ar"/>
        </w:rPr>
        <w:t>协助完成国家税务总局、新疆维吾尔自治区人民政府、新疆生产建设兵团、新疆税务局交办的其他</w:t>
      </w:r>
      <w:r>
        <w:rPr>
          <w:rFonts w:hint="eastAsia" w:ascii="仿宋_GB2312" w:hAnsi="仿宋_GB2312" w:eastAsia="仿宋_GB2312" w:cs="仿宋_GB2312"/>
          <w:color w:val="auto"/>
          <w:kern w:val="0"/>
          <w:sz w:val="32"/>
          <w:szCs w:val="32"/>
          <w:highlight w:val="none"/>
          <w:lang w:val="en-US" w:eastAsia="zh-CN" w:bidi="ar"/>
        </w:rPr>
        <w:t>相关</w:t>
      </w:r>
      <w:r>
        <w:rPr>
          <w:rFonts w:hint="default" w:ascii="仿宋_GB2312" w:hAnsi="仿宋_GB2312" w:eastAsia="仿宋_GB2312" w:cs="仿宋_GB2312"/>
          <w:color w:val="auto"/>
          <w:kern w:val="0"/>
          <w:sz w:val="32"/>
          <w:szCs w:val="32"/>
          <w:highlight w:val="none"/>
          <w:lang w:val="en-US" w:eastAsia="zh-CN" w:bidi="ar"/>
        </w:rPr>
        <w:t>服务事项。</w:t>
      </w:r>
    </w:p>
    <w:p>
      <w:pPr>
        <w:pStyle w:val="7"/>
        <w:spacing w:before="0" w:after="0" w:line="580" w:lineRule="exact"/>
        <w:ind w:firstLine="640" w:firstLineChars="200"/>
        <w:contextualSpacing/>
        <w:jc w:val="both"/>
        <w:rPr>
          <w:rFonts w:hint="eastAsia" w:ascii="黑体" w:hAnsi="黑体" w:eastAsia="黑体"/>
          <w:b w:val="0"/>
        </w:rPr>
      </w:pPr>
      <w:r>
        <w:rPr>
          <w:rFonts w:hint="eastAsia" w:ascii="黑体" w:hAnsi="黑体" w:eastAsia="黑体"/>
          <w:b w:val="0"/>
          <w:lang w:eastAsia="zh-CN"/>
        </w:rPr>
        <w:t>五、</w:t>
      </w:r>
      <w:r>
        <w:rPr>
          <w:rFonts w:hint="eastAsia" w:ascii="黑体" w:hAnsi="黑体" w:eastAsia="黑体"/>
          <w:b w:val="0"/>
        </w:rPr>
        <w:t>项目实施要求</w:t>
      </w:r>
      <w:bookmarkEnd w:id="5"/>
      <w:bookmarkStart w:id="6" w:name="_Toc498687534"/>
      <w:bookmarkEnd w:id="6"/>
      <w:bookmarkStart w:id="7" w:name="_Toc504554365"/>
      <w:bookmarkEnd w:id="7"/>
      <w:bookmarkStart w:id="8" w:name="_Toc535358539"/>
      <w:bookmarkEnd w:id="8"/>
      <w:bookmarkStart w:id="9" w:name="_Toc504554367"/>
      <w:bookmarkEnd w:id="9"/>
      <w:bookmarkStart w:id="10" w:name="_Toc535358541"/>
      <w:bookmarkEnd w:id="10"/>
      <w:bookmarkStart w:id="11" w:name="_Toc504554257"/>
      <w:bookmarkEnd w:id="11"/>
      <w:bookmarkStart w:id="12" w:name="_Toc498526188"/>
      <w:bookmarkEnd w:id="12"/>
      <w:bookmarkStart w:id="13" w:name="_Toc504554258"/>
      <w:bookmarkEnd w:id="13"/>
      <w:bookmarkStart w:id="14" w:name="_Toc504561410"/>
      <w:bookmarkEnd w:id="14"/>
      <w:bookmarkStart w:id="15" w:name="_Toc498687535"/>
      <w:bookmarkEnd w:id="15"/>
      <w:bookmarkStart w:id="16" w:name="_Toc498688895"/>
      <w:bookmarkEnd w:id="16"/>
      <w:bookmarkStart w:id="17" w:name="_Toc535358540"/>
      <w:bookmarkEnd w:id="17"/>
      <w:bookmarkStart w:id="18" w:name="_Toc498691868"/>
      <w:bookmarkEnd w:id="18"/>
      <w:bookmarkStart w:id="19" w:name="_Toc504554256"/>
      <w:bookmarkEnd w:id="19"/>
      <w:bookmarkStart w:id="20" w:name="_Toc498932451"/>
      <w:bookmarkEnd w:id="20"/>
      <w:bookmarkStart w:id="21" w:name="_Toc498688897"/>
      <w:bookmarkEnd w:id="21"/>
      <w:bookmarkStart w:id="22" w:name="_Toc498688896"/>
      <w:bookmarkEnd w:id="22"/>
      <w:bookmarkStart w:id="23" w:name="_Toc504554366"/>
      <w:bookmarkEnd w:id="23"/>
      <w:bookmarkStart w:id="24" w:name="_Toc504561408"/>
      <w:bookmarkEnd w:id="24"/>
      <w:bookmarkStart w:id="25" w:name="_Toc504561409"/>
      <w:bookmarkEnd w:id="25"/>
      <w:bookmarkStart w:id="26" w:name="_Toc498687536"/>
      <w:bookmarkEnd w:id="26"/>
      <w:bookmarkStart w:id="27" w:name="_Toc498526189"/>
      <w:bookmarkEnd w:id="27"/>
      <w:bookmarkStart w:id="28" w:name="_Toc498526190"/>
      <w:bookmarkEnd w:id="28"/>
      <w:bookmarkStart w:id="29" w:name="_Toc498932450"/>
      <w:bookmarkEnd w:id="29"/>
      <w:bookmarkStart w:id="30" w:name="_Toc498691870"/>
      <w:bookmarkEnd w:id="30"/>
      <w:bookmarkStart w:id="31" w:name="_Toc498691869"/>
      <w:bookmarkEnd w:id="31"/>
      <w:bookmarkStart w:id="32" w:name="_Toc498932449"/>
      <w:bookmarkEnd w:id="32"/>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（一）围绕服务内容开展专业税费服务。对税费政策、非税业务、办税缴费流程、系统操作等的咨询应准确及时解答；举报投诉、意见建议等要规范接收传递；回访、调查等外呼业务须规范有序开展。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（二）提供满足条件的服务人员和现场管理人员，组建高质量的服务团队和管理团队，包括人员招聘、人员管理、现场管理、日常培训等，立足于为纳税人缴费人提供规范、标准、高效、便捷的专业化税费服务。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1.服务人员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东文宋体" w:hAnsi="东文宋体" w:eastAsia="东文宋体" w:cs="东文宋体"/>
          <w:color w:val="auto"/>
          <w:kern w:val="0"/>
          <w:sz w:val="32"/>
          <w:szCs w:val="32"/>
          <w:highlight w:val="none"/>
          <w:lang w:val="zh-CN" w:eastAsia="zh-CN" w:bidi="ar"/>
        </w:rPr>
        <w:t>▲</w:t>
      </w:r>
      <w:r>
        <w:rPr>
          <w:rFonts w:hint="eastAsia" w:ascii="仿宋_GB2312" w:hAnsi="仿宋_GB2312" w:eastAsia="仿宋_GB2312" w:cs="仿宋_GB2312"/>
          <w:color w:val="auto"/>
          <w:kern w:val="0"/>
          <w:sz w:val="32"/>
          <w:szCs w:val="32"/>
          <w:highlight w:val="none"/>
          <w:lang w:val="zh-CN" w:eastAsia="zh-CN" w:bidi="ar"/>
        </w:rPr>
        <w:t>（</w:t>
      </w:r>
      <w:r>
        <w:rPr>
          <w:rFonts w:hint="eastAsia" w:ascii="仿宋_GB2312" w:hAnsi="仿宋_GB2312" w:eastAsia="仿宋_GB2312" w:cs="仿宋_GB2312"/>
          <w:color w:val="auto"/>
          <w:kern w:val="0"/>
          <w:sz w:val="32"/>
          <w:szCs w:val="32"/>
          <w:highlight w:val="none"/>
          <w:lang w:val="en-US" w:eastAsia="zh-CN" w:bidi="ar"/>
        </w:rPr>
        <w:t>1</w:t>
      </w:r>
      <w:r>
        <w:rPr>
          <w:rFonts w:hint="eastAsia" w:ascii="仿宋_GB2312" w:hAnsi="仿宋_GB2312" w:eastAsia="仿宋_GB2312" w:cs="仿宋_GB2312"/>
          <w:color w:val="auto"/>
          <w:kern w:val="0"/>
          <w:sz w:val="32"/>
          <w:szCs w:val="32"/>
          <w:highlight w:val="none"/>
          <w:lang w:val="zh-CN" w:eastAsia="zh-CN" w:bidi="ar"/>
        </w:rPr>
        <w:t>）具有大专以上学历（其中本科比例不低于40%），要求财会、税收、经济、法律等专业人员不少于60%；</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w:t>
      </w:r>
      <w:r>
        <w:rPr>
          <w:rFonts w:hint="eastAsia" w:ascii="仿宋_GB2312" w:hAnsi="仿宋_GB2312" w:eastAsia="仿宋_GB2312" w:cs="仿宋_GB2312"/>
          <w:color w:val="auto"/>
          <w:kern w:val="0"/>
          <w:sz w:val="32"/>
          <w:szCs w:val="32"/>
          <w:highlight w:val="none"/>
          <w:lang w:val="en-US" w:eastAsia="zh-CN" w:bidi="ar"/>
        </w:rPr>
        <w:t>2</w:t>
      </w:r>
      <w:r>
        <w:rPr>
          <w:rFonts w:hint="eastAsia" w:ascii="仿宋_GB2312" w:hAnsi="仿宋_GB2312" w:eastAsia="仿宋_GB2312" w:cs="仿宋_GB2312"/>
          <w:color w:val="auto"/>
          <w:kern w:val="0"/>
          <w:sz w:val="32"/>
          <w:szCs w:val="32"/>
          <w:highlight w:val="none"/>
          <w:lang w:val="zh-CN" w:eastAsia="zh-CN" w:bidi="ar"/>
        </w:rPr>
        <w:t>）普通话达二级甲等以上；</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w:t>
      </w:r>
      <w:r>
        <w:rPr>
          <w:rFonts w:hint="eastAsia" w:ascii="仿宋_GB2312" w:hAnsi="仿宋_GB2312" w:eastAsia="仿宋_GB2312" w:cs="仿宋_GB2312"/>
          <w:color w:val="auto"/>
          <w:kern w:val="0"/>
          <w:sz w:val="32"/>
          <w:szCs w:val="32"/>
          <w:highlight w:val="none"/>
          <w:lang w:val="en-US" w:eastAsia="zh-CN" w:bidi="ar"/>
        </w:rPr>
        <w:t>3</w:t>
      </w:r>
      <w:r>
        <w:rPr>
          <w:rFonts w:hint="eastAsia" w:ascii="仿宋_GB2312" w:hAnsi="仿宋_GB2312" w:eastAsia="仿宋_GB2312" w:cs="仿宋_GB2312"/>
          <w:color w:val="auto"/>
          <w:kern w:val="0"/>
          <w:sz w:val="32"/>
          <w:szCs w:val="32"/>
          <w:highlight w:val="none"/>
          <w:lang w:val="zh-CN" w:eastAsia="zh-CN" w:bidi="ar"/>
        </w:rPr>
        <w:t>）汉字录入速度不低于80 字/分钟；</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w:t>
      </w:r>
      <w:r>
        <w:rPr>
          <w:rFonts w:hint="eastAsia" w:ascii="仿宋_GB2312" w:hAnsi="仿宋_GB2312" w:eastAsia="仿宋_GB2312" w:cs="仿宋_GB2312"/>
          <w:color w:val="auto"/>
          <w:kern w:val="0"/>
          <w:sz w:val="32"/>
          <w:szCs w:val="32"/>
          <w:highlight w:val="none"/>
          <w:lang w:val="en-US" w:eastAsia="zh-CN" w:bidi="ar"/>
        </w:rPr>
        <w:t>4</w:t>
      </w:r>
      <w:r>
        <w:rPr>
          <w:rFonts w:hint="eastAsia" w:ascii="仿宋_GB2312" w:hAnsi="仿宋_GB2312" w:eastAsia="仿宋_GB2312" w:cs="仿宋_GB2312"/>
          <w:color w:val="auto"/>
          <w:kern w:val="0"/>
          <w:sz w:val="32"/>
          <w:szCs w:val="32"/>
          <w:highlight w:val="none"/>
          <w:lang w:val="zh-CN" w:eastAsia="zh-CN" w:bidi="ar"/>
        </w:rPr>
        <w:t>）具有一定的税收基本业务知识；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w:t>
      </w:r>
      <w:r>
        <w:rPr>
          <w:rFonts w:hint="eastAsia" w:ascii="仿宋_GB2312" w:hAnsi="仿宋_GB2312" w:eastAsia="仿宋_GB2312" w:cs="仿宋_GB2312"/>
          <w:color w:val="auto"/>
          <w:kern w:val="0"/>
          <w:sz w:val="32"/>
          <w:szCs w:val="32"/>
          <w:highlight w:val="none"/>
          <w:lang w:val="en-US" w:eastAsia="zh-CN" w:bidi="ar"/>
        </w:rPr>
        <w:t>5</w:t>
      </w:r>
      <w:r>
        <w:rPr>
          <w:rFonts w:hint="eastAsia" w:ascii="仿宋_GB2312" w:hAnsi="仿宋_GB2312" w:eastAsia="仿宋_GB2312" w:cs="仿宋_GB2312"/>
          <w:color w:val="auto"/>
          <w:kern w:val="0"/>
          <w:sz w:val="32"/>
          <w:szCs w:val="32"/>
          <w:highlight w:val="none"/>
          <w:lang w:val="zh-CN" w:eastAsia="zh-CN" w:bidi="ar"/>
        </w:rPr>
        <w:t>）具备较强的服务意识和语言表达能力、良好的沟通能力、记忆能力、心理承受能力和学习能力；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w:t>
      </w:r>
      <w:r>
        <w:rPr>
          <w:rFonts w:hint="eastAsia" w:ascii="仿宋_GB2312" w:hAnsi="仿宋_GB2312" w:eastAsia="仿宋_GB2312" w:cs="仿宋_GB2312"/>
          <w:color w:val="auto"/>
          <w:kern w:val="0"/>
          <w:sz w:val="32"/>
          <w:szCs w:val="32"/>
          <w:highlight w:val="none"/>
          <w:lang w:val="en-US" w:eastAsia="zh-CN" w:bidi="ar"/>
        </w:rPr>
        <w:t>6</w:t>
      </w:r>
      <w:r>
        <w:rPr>
          <w:rFonts w:hint="eastAsia" w:ascii="仿宋_GB2312" w:hAnsi="仿宋_GB2312" w:eastAsia="仿宋_GB2312" w:cs="仿宋_GB2312"/>
          <w:color w:val="auto"/>
          <w:kern w:val="0"/>
          <w:sz w:val="32"/>
          <w:szCs w:val="32"/>
          <w:highlight w:val="none"/>
          <w:lang w:val="zh-CN" w:eastAsia="zh-CN" w:bidi="ar"/>
        </w:rPr>
        <w:t>）身体健康。</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2.管理人员</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管理人员除具备普通咨询人员的基本条件外，应具备以下条件：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15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w:t>
      </w:r>
      <w:r>
        <w:rPr>
          <w:rFonts w:hint="eastAsia" w:ascii="仿宋_GB2312" w:hAnsi="仿宋_GB2312" w:eastAsia="仿宋_GB2312" w:cs="仿宋_GB2312"/>
          <w:color w:val="auto"/>
          <w:kern w:val="0"/>
          <w:sz w:val="32"/>
          <w:szCs w:val="32"/>
          <w:highlight w:val="none"/>
          <w:lang w:val="en-US" w:eastAsia="zh-CN" w:bidi="ar"/>
        </w:rPr>
        <w:t>1</w:t>
      </w:r>
      <w:r>
        <w:rPr>
          <w:rFonts w:hint="eastAsia" w:ascii="仿宋_GB2312" w:hAnsi="仿宋_GB2312" w:eastAsia="仿宋_GB2312" w:cs="仿宋_GB2312"/>
          <w:color w:val="auto"/>
          <w:kern w:val="0"/>
          <w:sz w:val="32"/>
          <w:szCs w:val="32"/>
          <w:highlight w:val="none"/>
          <w:lang w:val="zh-CN" w:eastAsia="zh-CN" w:bidi="ar"/>
        </w:rPr>
        <w:t>）具有本科或以上学历；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东文宋体" w:hAnsi="东文宋体" w:eastAsia="东文宋体" w:cs="东文宋体"/>
          <w:color w:val="auto"/>
          <w:kern w:val="0"/>
          <w:sz w:val="32"/>
          <w:szCs w:val="32"/>
          <w:highlight w:val="none"/>
          <w:lang w:val="zh-CN" w:eastAsia="zh-CN" w:bidi="ar"/>
        </w:rPr>
        <w:t>▲</w:t>
      </w:r>
      <w:r>
        <w:rPr>
          <w:rFonts w:hint="eastAsia" w:ascii="仿宋_GB2312" w:hAnsi="仿宋_GB2312" w:eastAsia="仿宋_GB2312" w:cs="仿宋_GB2312"/>
          <w:color w:val="auto"/>
          <w:kern w:val="0"/>
          <w:sz w:val="32"/>
          <w:szCs w:val="32"/>
          <w:highlight w:val="none"/>
          <w:lang w:val="zh-CN" w:eastAsia="zh-CN" w:bidi="ar"/>
        </w:rPr>
        <w:t>（</w:t>
      </w:r>
      <w:r>
        <w:rPr>
          <w:rFonts w:hint="eastAsia" w:ascii="仿宋_GB2312" w:hAnsi="仿宋_GB2312" w:eastAsia="仿宋_GB2312" w:cs="仿宋_GB2312"/>
          <w:color w:val="auto"/>
          <w:kern w:val="0"/>
          <w:sz w:val="32"/>
          <w:szCs w:val="32"/>
          <w:highlight w:val="none"/>
          <w:lang w:val="en-US" w:eastAsia="zh-CN" w:bidi="ar"/>
        </w:rPr>
        <w:t>2</w:t>
      </w:r>
      <w:r>
        <w:rPr>
          <w:rFonts w:hint="eastAsia" w:ascii="仿宋_GB2312" w:hAnsi="仿宋_GB2312" w:eastAsia="仿宋_GB2312" w:cs="仿宋_GB2312"/>
          <w:color w:val="auto"/>
          <w:kern w:val="0"/>
          <w:sz w:val="32"/>
          <w:szCs w:val="32"/>
          <w:highlight w:val="none"/>
          <w:lang w:val="zh-CN" w:eastAsia="zh-CN" w:bidi="ar"/>
        </w:rPr>
        <w:t>）具有呼叫中心主要岗位（培训、质检、排班、运营分析、人员考核等）从业经历，应具有2 年以上呼叫中心现场管理经验和专业管理技能；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w:t>
      </w:r>
      <w:r>
        <w:rPr>
          <w:rFonts w:hint="eastAsia" w:ascii="仿宋_GB2312" w:hAnsi="仿宋_GB2312" w:eastAsia="仿宋_GB2312" w:cs="仿宋_GB2312"/>
          <w:color w:val="auto"/>
          <w:kern w:val="0"/>
          <w:sz w:val="32"/>
          <w:szCs w:val="32"/>
          <w:highlight w:val="none"/>
          <w:lang w:val="en-US" w:eastAsia="zh-CN" w:bidi="ar"/>
        </w:rPr>
        <w:t>3</w:t>
      </w:r>
      <w:r>
        <w:rPr>
          <w:rFonts w:hint="eastAsia" w:ascii="仿宋_GB2312" w:hAnsi="仿宋_GB2312" w:eastAsia="仿宋_GB2312" w:cs="仿宋_GB2312"/>
          <w:color w:val="auto"/>
          <w:kern w:val="0"/>
          <w:sz w:val="32"/>
          <w:szCs w:val="32"/>
          <w:highlight w:val="none"/>
          <w:lang w:val="zh-CN" w:eastAsia="zh-CN" w:bidi="ar"/>
        </w:rPr>
        <w:t>）有良好的沟通表达能力、辅导能力、领导能力及问题处理能力，有高度的承压力。</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3.人员储备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供应商应制定人员储备计划，针对本项目咨询人员需求的波动及正常的人员流失率等情况，按服务要求进行</w:t>
      </w:r>
      <w:r>
        <w:rPr>
          <w:rFonts w:hint="eastAsia" w:ascii="仿宋_GB2312" w:hAnsi="仿宋_GB2312" w:eastAsia="仿宋_GB2312" w:cs="仿宋_GB2312"/>
          <w:color w:val="auto"/>
          <w:kern w:val="0"/>
          <w:sz w:val="32"/>
          <w:szCs w:val="32"/>
          <w:highlight w:val="none"/>
          <w:lang w:val="en-US" w:eastAsia="zh-CN" w:bidi="ar"/>
        </w:rPr>
        <w:t>1：1.02的服务</w:t>
      </w:r>
      <w:r>
        <w:rPr>
          <w:rFonts w:hint="eastAsia" w:ascii="仿宋_GB2312" w:hAnsi="仿宋_GB2312" w:eastAsia="仿宋_GB2312" w:cs="仿宋_GB2312"/>
          <w:color w:val="auto"/>
          <w:kern w:val="0"/>
          <w:sz w:val="32"/>
          <w:szCs w:val="32"/>
          <w:highlight w:val="none"/>
          <w:lang w:val="zh-CN" w:eastAsia="zh-CN" w:bidi="ar"/>
        </w:rPr>
        <w:t>人员储备，配备满足工作需要的可以随时上线的冗余人员，及时顶替因特殊原因缺岗或离职人员，确保12366热线相关工作正常运转。</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供应商应按本项目要求，及时保障有充分的人员补充渠道，以满足项目用人需求，年员工流失率小于15%。</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en-US" w:eastAsia="zh-CN" w:bidi="ar"/>
        </w:rPr>
        <w:t>4.人员</w:t>
      </w:r>
      <w:r>
        <w:rPr>
          <w:rFonts w:hint="eastAsia" w:ascii="仿宋_GB2312" w:hAnsi="仿宋_GB2312" w:eastAsia="仿宋_GB2312" w:cs="仿宋_GB2312"/>
          <w:color w:val="auto"/>
          <w:kern w:val="0"/>
          <w:sz w:val="32"/>
          <w:szCs w:val="32"/>
          <w:highlight w:val="none"/>
          <w:lang w:val="zh-CN" w:eastAsia="zh-CN" w:bidi="ar"/>
        </w:rPr>
        <w:t>培训</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供应商应根据服务要求制定人员培训计划，建立标准化、专业化、模块化的培训体系，成立培训专业团队，为本项目实施提供培训支撑保障。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bookmarkStart w:id="33" w:name="_GoBack"/>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供应商招聘的服务人员上岗前须经采购人与供应商共同组织培训测试，经测试合格后方能上岗。对经培训合格上岗的服务人员，未经招标方同意投标方不得擅自调离、转岗或辞退。</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（三）根据项目目标制定内部管理规范，并开展内部管理，为建立一流服务团队，提供优质税费服务提供制度保障。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东文宋体" w:hAnsi="东文宋体" w:eastAsia="东文宋体" w:cs="东文宋体"/>
          <w:color w:val="000000" w:themeColor="text1"/>
          <w:kern w:val="0"/>
          <w:sz w:val="32"/>
          <w:szCs w:val="32"/>
          <w:highlight w:val="none"/>
          <w:lang w:val="zh-CN"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制定岗位职责说明书，建立12366热线组织架构，明确</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12366</w:t>
      </w:r>
      <w:r>
        <w:rPr>
          <w:rFonts w:hint="default" w:ascii="仿宋_GB2312" w:hAnsi="仿宋_GB2312" w:eastAsia="仿宋_GB2312" w:cs="仿宋_GB2312"/>
          <w:color w:val="000000" w:themeColor="text1"/>
          <w:kern w:val="0"/>
          <w:sz w:val="32"/>
          <w:szCs w:val="32"/>
          <w:highlight w:val="none"/>
          <w:lang w:val="en" w:eastAsia="zh-CN" w:bidi="ar"/>
          <w14:textFill>
            <w14:solidFill>
              <w14:schemeClr w14:val="tx1"/>
            </w14:solidFill>
          </w14:textFill>
        </w:rPr>
        <w:t>热线</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各岗位工作职责，</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确定岗位人员，并按照岗位职责开展工作。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800" w:firstLineChars="25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制定人员管理制度，包括薪酬管理制度、招聘辞退制度、出勤管理制度、排班值守制度、奖惩管理制度、培训学习制度、绩效激励制度以及人员流失应急预案等。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800" w:firstLineChars="25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3.</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制定现场管理制度，包括话务现场管理、现场环境规范、各类附属设施使用管理制度、防火防盗等安全管理制度、突发事件应急预案等。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东文宋体" w:hAnsi="东文宋体" w:eastAsia="东文宋体" w:cs="东文宋体"/>
          <w:color w:val="000000" w:themeColor="text1"/>
          <w:kern w:val="0"/>
          <w:sz w:val="32"/>
          <w:szCs w:val="32"/>
          <w:highlight w:val="none"/>
          <w:lang w:val="zh-CN"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制定各类工作规范，包括服务用语规范、应答流程规范、小结整理规范、工单流转规范、质量监控规范、话务应急规范等。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5.制定团队建设方案，包括结合12366热线工作特点，</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树立爱岗敬业的团队理念、营造积极向上的团队氛围、开展丰富多彩的团队活动以及配合采购人争创各类荣誉称号等。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四）供应商应遵守新疆税务局网络安全要求，执行相关网络与信息安全标准规范和保密规定，建立网络与信息安全和保密管理规章制度，确保不泄露税务部门及纳税人缴费人信息。供应商对设备使用安全状况负责，新疆税务局提供相应的技术支持。同时，供应商应按照新疆税务局的要求配合开展其他网络与信息安全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1.服务及管理人员使用计算机应符合以下网络与信息安全要求：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（1）严格遵守国家网络与信息安全相关法律、法规、规章。</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（2）严格遵守新疆税务局网络与信息安全各项制度和要求。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汉仪叶叶相思体简" w:hAnsi="汉仪叶叶相思体简" w:eastAsia="汉仪叶叶相思体简" w:cs="汉仪叶叶相思体简"/>
          <w:color w:val="000000" w:themeColor="text1"/>
          <w:kern w:val="0"/>
          <w:sz w:val="32"/>
          <w:szCs w:val="32"/>
          <w:highlight w:val="none"/>
          <w:lang w:val="zh-CN"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（3）内外网络必须物理隔离，禁止移动存储介质未经处理在内、外网之间交叉使用。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汉仪叶叶相思体简" w:hAnsi="汉仪叶叶相思体简" w:eastAsia="汉仪叶叶相思体简" w:cs="汉仪叶叶相思体简"/>
          <w:color w:val="000000" w:themeColor="text1"/>
          <w:kern w:val="0"/>
          <w:sz w:val="32"/>
          <w:szCs w:val="32"/>
          <w:highlight w:val="none"/>
          <w:lang w:val="zh-CN"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（4）内网电脑与新疆税务局内部网络进行安全规范连接，确保网络信息安全。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汉仪叶叶相思体简" w:hAnsi="汉仪叶叶相思体简" w:eastAsia="汉仪叶叶相思体简" w:cs="汉仪叶叶相思体简"/>
          <w:color w:val="000000" w:themeColor="text1"/>
          <w:kern w:val="0"/>
          <w:sz w:val="32"/>
          <w:szCs w:val="32"/>
          <w:highlight w:val="none"/>
          <w:lang w:val="zh-CN"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（5）内网电脑应安装符合新疆税务局要求的正版杀毒软件和防火墙，并随时保持最新版本。</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汉仪叶叶相思体简" w:hAnsi="汉仪叶叶相思体简" w:eastAsia="汉仪叶叶相思体简" w:cs="汉仪叶叶相思体简"/>
          <w:color w:val="000000" w:themeColor="text1"/>
          <w:kern w:val="0"/>
          <w:sz w:val="32"/>
          <w:szCs w:val="32"/>
          <w:highlight w:val="none"/>
          <w:lang w:val="zh-CN"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（6）内网电脑不能直接连通互联网或通过其他网络访问互联网，禁止连接手机和无线传输设备以及其他移动存储介质，除鼠标键盘等必须的接口外，</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USB口应物理封堵</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汉仪叶叶相思体简" w:hAnsi="汉仪叶叶相思体简" w:eastAsia="汉仪叶叶相思体简" w:cs="汉仪叶叶相思体简"/>
          <w:color w:val="000000" w:themeColor="text1"/>
          <w:kern w:val="0"/>
          <w:sz w:val="32"/>
          <w:szCs w:val="32"/>
          <w:highlight w:val="none"/>
          <w:lang w:val="zh-CN"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（7）内网电脑不得安装、运行、使用与工作无关的软件。不得自行卸载桌面管理系统、防病毒等安全防护软件。内网电脑在变更用途和维修时需由新疆税务局信息技术部门监督进行。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8</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）对电脑应设置开机口令，且不得使用弱口令，密码长度不得少于</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8位。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（9）重要信息要及时备份。</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2.纳税人缴费人信息保密要求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）服务及管理人员对使用新疆税务局各应用系统查询中知悉的任何纳税人缴费人信息不得泄露给第三方。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（2）服务及管理人员不得利用知悉的纳税人缴费人信息从事违法违规行为。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3.工作信息保密要求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东文宋体" w:hAnsi="东文宋体" w:eastAsia="东文宋体" w:cs="东文宋体"/>
          <w:color w:val="000000" w:themeColor="text1"/>
          <w:kern w:val="0"/>
          <w:sz w:val="32"/>
          <w:szCs w:val="32"/>
          <w:highlight w:val="none"/>
          <w:lang w:val="zh-CN"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供应商应与服务及管理人员签订网络与信息协议和保密协议，定期开展网络与信息安全培训和保密教育，确保不发生网络与信息安全和失泄密事件。通过使用新疆税务局内网接触到的所有文件资料信息均为税务工作信息，视同工作秘密，不得泄露给第三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（五）按照新疆税务局制定的工作方案，实施纳税人缴费人需求调查，并向新疆税务局提供调查数据。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（六）执行国家税务总局、</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新疆维吾尔自治区人民政府、新疆生产建设兵团、新疆税务局</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的服务质量运行标准，完成相应的绩效考核任务。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（七）定期收集、整理纳税人缴费人的热点、难点问题以及各种意见建议，并及时向新疆税务局反馈。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（八）做好衔接工作保证热线业务持续正常运行。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本项目业务较为复杂，对服务人员的业务能力和技巧要求较高，目前，</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12366热线处于正常运行中，</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为保证本项目在合同签订期间、合同完成后交接期间运营管理有序，供应商应确保做好衔接工作。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东文宋体" w:hAnsi="东文宋体" w:eastAsia="东文宋体" w:cs="东文宋体"/>
          <w:color w:val="000000" w:themeColor="text1"/>
          <w:kern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1.运行衔接。供应商须在10日之内与原项目供应商做好各项衔接准备工作，确保12366热线平稳运行，各类服务正常有序开展，不得出现服务中断、服务暂停及服务质效下降等情况。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东文宋体" w:hAnsi="东文宋体" w:eastAsia="东文宋体" w:cs="东文宋体"/>
          <w:color w:val="000000" w:themeColor="text1"/>
          <w:kern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2.制度衔接。供应商应按照项目需求建立和完善各项管理制度规范，并与原制度规范做好衔接，确保12366热线内部管理的稳定性和连续性。</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东文宋体" w:hAnsi="东文宋体" w:eastAsia="东文宋体" w:cs="东文宋体"/>
          <w:color w:val="000000" w:themeColor="text1"/>
          <w:kern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3.业务衔接。供应商应确保承接原项目供应商未完成的各项业务工作，与原项目供应商做好沟通协调，妥善处理遗留问题或未结事项，不得影响税务部门税费服务质量和对外形象。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pPr>
      <w:r>
        <w:rPr>
          <w:rFonts w:hint="eastAsia" w:ascii="东文宋体" w:hAnsi="东文宋体" w:eastAsia="东文宋体" w:cs="东文宋体"/>
          <w:color w:val="000000" w:themeColor="text1"/>
          <w:kern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4.待遇衔接。鉴于12366热线服务工作的特点，服务人员保持稳定非常重要，在服务水平达到标准的前提下，</w:t>
      </w:r>
      <w:r>
        <w:rPr>
          <w:rFonts w:hint="eastAsia" w:ascii="仿宋_GB2312" w:hAnsi="仿宋_GB2312" w:eastAsia="仿宋_GB2312" w:cs="仿宋_GB2312"/>
          <w:color w:val="000000" w:themeColor="text1"/>
          <w:kern w:val="0"/>
          <w:sz w:val="32"/>
          <w:szCs w:val="32"/>
          <w:highlight w:val="none"/>
          <w:lang w:val="zh-CN" w:eastAsia="zh-CN" w:bidi="ar"/>
          <w14:textFill>
            <w14:solidFill>
              <w14:schemeClr w14:val="tx1"/>
            </w14:solidFill>
          </w14:textFill>
        </w:rPr>
        <w:t>供应商应保证相应的薪酬待遇，保持服务人员队伍稳定和健康发展，其工资、保险、福利等待遇必须符合国家的有关规定，且不得低于原在岗正常服务人员（不含试用期人员）薪酬待遇。同时，供应商应采取合理合法的激励措施吸引12366热线原有优秀服务人员继续留用。</w:t>
      </w:r>
    </w:p>
    <w:bookmarkEnd w:id="33"/>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（九）后续主要工作要求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zh-CN" w:eastAsia="zh-CN" w:bidi="ar"/>
        </w:rPr>
        <w:t>新疆税务局将全面推广新电子税务局及上线征纳互动话务咨询功能，预计</w:t>
      </w:r>
      <w:r>
        <w:rPr>
          <w:rFonts w:hint="eastAsia" w:ascii="仿宋_GB2312" w:hAnsi="仿宋_GB2312" w:eastAsia="仿宋_GB2312" w:cs="仿宋_GB2312"/>
          <w:color w:val="auto"/>
          <w:kern w:val="0"/>
          <w:sz w:val="32"/>
          <w:szCs w:val="32"/>
          <w:highlight w:val="none"/>
          <w:lang w:val="en-US" w:eastAsia="zh-CN" w:bidi="ar"/>
        </w:rPr>
        <w:t>2024年9月开始相关咨询量会有所增加，供应商配合新疆税务局进一步推进在线咨询、远程帮办等多样化、个性化服务，做好问题的收集反馈，相关功能测试，运行数据统计等工作，确保税费服务顺畅高效。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（十）其他</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zh-CN" w:eastAsia="zh-CN" w:bidi="ar"/>
        </w:rPr>
      </w:pPr>
      <w:r>
        <w:rPr>
          <w:rFonts w:hint="eastAsia" w:ascii="仿宋_GB2312" w:hAnsi="仿宋_GB2312" w:eastAsia="仿宋_GB2312" w:cs="仿宋_GB2312"/>
          <w:color w:val="auto"/>
          <w:kern w:val="0"/>
          <w:sz w:val="32"/>
          <w:szCs w:val="32"/>
          <w:highlight w:val="none"/>
          <w:lang w:val="zh-CN" w:eastAsia="zh-CN" w:bidi="ar"/>
        </w:rPr>
        <w:t>供应商须按新疆税务局的要求为</w:t>
      </w:r>
      <w:r>
        <w:rPr>
          <w:rFonts w:hint="eastAsia" w:ascii="仿宋_GB2312" w:hAnsi="仿宋_GB2312" w:eastAsia="仿宋_GB2312" w:cs="仿宋_GB2312"/>
          <w:color w:val="auto"/>
          <w:kern w:val="0"/>
          <w:sz w:val="32"/>
          <w:szCs w:val="32"/>
          <w:highlight w:val="none"/>
          <w:lang w:val="en-US" w:eastAsia="zh-CN" w:bidi="ar"/>
        </w:rPr>
        <w:t>服务团队</w:t>
      </w:r>
      <w:r>
        <w:rPr>
          <w:rFonts w:hint="eastAsia" w:ascii="仿宋_GB2312" w:hAnsi="仿宋_GB2312" w:eastAsia="仿宋_GB2312" w:cs="仿宋_GB2312"/>
          <w:color w:val="auto"/>
          <w:kern w:val="0"/>
          <w:sz w:val="32"/>
          <w:szCs w:val="32"/>
          <w:highlight w:val="none"/>
          <w:lang w:val="zh-CN" w:eastAsia="zh-CN" w:bidi="ar"/>
        </w:rPr>
        <w:t>提供统一的工装、鞋帽及配饰，以上费用均包含在项目费用中。</w:t>
      </w:r>
    </w:p>
    <w:p>
      <w:pPr>
        <w:pStyle w:val="2"/>
        <w:ind w:firstLine="640" w:firstLineChars="200"/>
        <w:rPr>
          <w:rFonts w:hint="eastAsia" w:ascii="黑体" w:hAnsi="黑体" w:eastAsia="黑体" w:cs="黑体"/>
          <w:b w:val="0"/>
          <w:bCs w:val="0"/>
          <w:kern w:val="2"/>
          <w:sz w:val="32"/>
          <w:szCs w:val="32"/>
          <w:highlight w:val="none"/>
          <w:lang w:eastAsia="zh-CN" w:bidi="ar"/>
        </w:rPr>
      </w:pPr>
      <w:r>
        <w:rPr>
          <w:rFonts w:hint="eastAsia" w:ascii="黑体" w:hAnsi="黑体" w:eastAsia="黑体" w:cs="黑体"/>
          <w:b w:val="0"/>
          <w:bCs w:val="0"/>
          <w:color w:val="auto"/>
          <w:kern w:val="0"/>
          <w:sz w:val="32"/>
          <w:szCs w:val="32"/>
          <w:highlight w:val="none"/>
          <w:lang w:val="zh-CN" w:eastAsia="zh-CN" w:bidi="ar"/>
        </w:rPr>
        <w:t>六、</w:t>
      </w:r>
      <w:r>
        <w:rPr>
          <w:rFonts w:hint="eastAsia" w:ascii="黑体" w:hAnsi="黑体" w:eastAsia="黑体" w:cs="黑体"/>
          <w:b w:val="0"/>
          <w:bCs w:val="0"/>
          <w:kern w:val="2"/>
          <w:sz w:val="32"/>
          <w:szCs w:val="32"/>
          <w:highlight w:val="none"/>
          <w:lang w:eastAsia="zh-CN" w:bidi="ar"/>
        </w:rPr>
        <w:t>项</w:t>
      </w:r>
      <w:r>
        <w:rPr>
          <w:rFonts w:hint="eastAsia" w:ascii="黑体" w:hAnsi="黑体" w:eastAsia="黑体" w:cs="黑体"/>
          <w:b w:val="0"/>
          <w:bCs w:val="0"/>
          <w:color w:val="auto"/>
          <w:kern w:val="2"/>
          <w:sz w:val="32"/>
          <w:szCs w:val="32"/>
          <w:highlight w:val="none"/>
          <w:lang w:eastAsia="zh-CN" w:bidi="ar"/>
        </w:rPr>
        <w:t>目服务</w:t>
      </w:r>
      <w:r>
        <w:rPr>
          <w:rFonts w:hint="eastAsia" w:ascii="黑体" w:hAnsi="黑体" w:eastAsia="黑体" w:cs="黑体"/>
          <w:b w:val="0"/>
          <w:bCs w:val="0"/>
          <w:kern w:val="2"/>
          <w:sz w:val="32"/>
          <w:szCs w:val="32"/>
          <w:highlight w:val="none"/>
          <w:lang w:eastAsia="zh-CN" w:bidi="ar"/>
        </w:rPr>
        <w:t>指标</w:t>
      </w:r>
    </w:p>
    <w:tbl>
      <w:tblPr>
        <w:tblStyle w:val="8"/>
        <w:tblW w:w="9418" w:type="dxa"/>
        <w:tblInd w:w="-239" w:type="dxa"/>
        <w:tblLayout w:type="fixed"/>
        <w:tblCellMar>
          <w:top w:w="0" w:type="dxa"/>
          <w:left w:w="108" w:type="dxa"/>
          <w:bottom w:w="0" w:type="dxa"/>
          <w:right w:w="108" w:type="dxa"/>
        </w:tblCellMar>
      </w:tblPr>
      <w:tblGrid>
        <w:gridCol w:w="862"/>
        <w:gridCol w:w="975"/>
        <w:gridCol w:w="1550"/>
        <w:gridCol w:w="3175"/>
        <w:gridCol w:w="1332"/>
        <w:gridCol w:w="1524"/>
      </w:tblGrid>
      <w:tr>
        <w:tblPrEx>
          <w:tblCellMar>
            <w:top w:w="0" w:type="dxa"/>
            <w:left w:w="108" w:type="dxa"/>
            <w:bottom w:w="0" w:type="dxa"/>
            <w:right w:w="108" w:type="dxa"/>
          </w:tblCellMar>
        </w:tblPrEx>
        <w:trPr>
          <w:trHeight w:val="641" w:hRule="atLeast"/>
        </w:trPr>
        <w:tc>
          <w:tcPr>
            <w:tcW w:w="183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指标内容</w:t>
            </w:r>
          </w:p>
        </w:tc>
        <w:tc>
          <w:tcPr>
            <w:tcW w:w="15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指标名称</w:t>
            </w:r>
          </w:p>
        </w:tc>
        <w:tc>
          <w:tcPr>
            <w:tcW w:w="31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指标定义</w:t>
            </w:r>
          </w:p>
        </w:tc>
        <w:tc>
          <w:tcPr>
            <w:tcW w:w="133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质量标准</w:t>
            </w:r>
          </w:p>
        </w:tc>
        <w:tc>
          <w:tcPr>
            <w:tcW w:w="152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备注</w:t>
            </w:r>
          </w:p>
        </w:tc>
      </w:tr>
      <w:tr>
        <w:tblPrEx>
          <w:tblCellMar>
            <w:top w:w="0" w:type="dxa"/>
            <w:left w:w="108" w:type="dxa"/>
            <w:bottom w:w="0" w:type="dxa"/>
            <w:right w:w="108" w:type="dxa"/>
          </w:tblCellMar>
        </w:tblPrEx>
        <w:trPr>
          <w:trHeight w:val="641" w:hRule="atLeast"/>
        </w:trPr>
        <w:tc>
          <w:tcPr>
            <w:tcW w:w="862" w:type="dxa"/>
            <w:vMerge w:val="restart"/>
            <w:tcBorders>
              <w:top w:val="single" w:color="auto" w:sz="4" w:space="0"/>
              <w:left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热线</w:t>
            </w:r>
          </w:p>
        </w:tc>
        <w:tc>
          <w:tcPr>
            <w:tcW w:w="975" w:type="dxa"/>
            <w:vMerge w:val="restart"/>
            <w:tcBorders>
              <w:top w:val="nil"/>
              <w:left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畅通性</w:t>
            </w: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人工接通率</w:t>
            </w:r>
          </w:p>
        </w:tc>
        <w:tc>
          <w:tcPr>
            <w:tcW w:w="3175" w:type="dxa"/>
            <w:tcBorders>
              <w:top w:val="nil"/>
              <w:left w:val="nil"/>
              <w:bottom w:val="nil"/>
              <w:right w:val="single" w:color="auto" w:sz="4" w:space="0"/>
            </w:tcBorders>
            <w:shd w:val="clear" w:color="000000" w:fill="FFFFFF"/>
            <w:noWrap w:val="0"/>
            <w:vAlign w:val="center"/>
          </w:tcPr>
          <w:p>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人工接听量/转人工语音量的比例</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w:t>
            </w:r>
            <w:r>
              <w:rPr>
                <w:rFonts w:hint="eastAsia" w:ascii="仿宋" w:hAnsi="仿宋" w:eastAsia="仿宋" w:cs="仿宋"/>
                <w:kern w:val="0"/>
                <w:szCs w:val="21"/>
                <w:highlight w:val="none"/>
                <w:lang w:val="en-US" w:eastAsia="zh-CN"/>
              </w:rPr>
              <w:t>8</w:t>
            </w:r>
            <w:r>
              <w:rPr>
                <w:rFonts w:hint="eastAsia" w:ascii="仿宋" w:hAnsi="仿宋" w:eastAsia="仿宋" w:cs="仿宋"/>
                <w:kern w:val="0"/>
                <w:szCs w:val="21"/>
                <w:highlight w:val="none"/>
              </w:rPr>
              <w:t>%以上</w:t>
            </w:r>
          </w:p>
        </w:tc>
        <w:tc>
          <w:tcPr>
            <w:tcW w:w="152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641"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continue"/>
            <w:tcBorders>
              <w:left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排队等候时长</w:t>
            </w:r>
          </w:p>
        </w:tc>
        <w:tc>
          <w:tcPr>
            <w:tcW w:w="3175"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接通话务等待总时长/接通话务数</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1</w:t>
            </w:r>
            <w:r>
              <w:rPr>
                <w:rFonts w:hint="eastAsia" w:ascii="仿宋" w:hAnsi="仿宋" w:eastAsia="仿宋" w:cs="仿宋"/>
                <w:kern w:val="0"/>
                <w:szCs w:val="21"/>
                <w:highlight w:val="none"/>
              </w:rPr>
              <w:t>0秒</w:t>
            </w:r>
          </w:p>
        </w:tc>
        <w:tc>
          <w:tcPr>
            <w:tcW w:w="152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531"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continue"/>
            <w:tcBorders>
              <w:left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30秒接通率</w:t>
            </w:r>
          </w:p>
        </w:tc>
        <w:tc>
          <w:tcPr>
            <w:tcW w:w="3175"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zh-CN"/>
              </w:rPr>
              <w:t>0秒内接通量/人工接听量</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val="en-US" w:eastAsia="zh-CN"/>
              </w:rPr>
              <w:t>90</w:t>
            </w:r>
            <w:r>
              <w:rPr>
                <w:rFonts w:hint="eastAsia" w:ascii="仿宋" w:hAnsi="仿宋" w:eastAsia="仿宋" w:cs="仿宋"/>
                <w:kern w:val="0"/>
                <w:szCs w:val="21"/>
                <w:highlight w:val="none"/>
              </w:rPr>
              <w:t>%</w:t>
            </w:r>
          </w:p>
        </w:tc>
        <w:tc>
          <w:tcPr>
            <w:tcW w:w="152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r>
      <w:tr>
        <w:tblPrEx>
          <w:tblCellMar>
            <w:top w:w="0" w:type="dxa"/>
            <w:left w:w="108" w:type="dxa"/>
            <w:bottom w:w="0" w:type="dxa"/>
            <w:right w:w="108" w:type="dxa"/>
          </w:tblCellMar>
        </w:tblPrEx>
        <w:trPr>
          <w:trHeight w:val="531"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60秒接通率</w:t>
            </w:r>
          </w:p>
        </w:tc>
        <w:tc>
          <w:tcPr>
            <w:tcW w:w="3175" w:type="dxa"/>
            <w:tcBorders>
              <w:top w:val="single" w:color="auto" w:sz="4" w:space="0"/>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6</w:t>
            </w:r>
            <w:r>
              <w:rPr>
                <w:rFonts w:hint="eastAsia" w:ascii="仿宋" w:hAnsi="仿宋" w:eastAsia="仿宋" w:cs="仿宋"/>
                <w:kern w:val="0"/>
                <w:szCs w:val="21"/>
                <w:highlight w:val="none"/>
                <w:lang w:val="zh-CN"/>
              </w:rPr>
              <w:t>0秒内接通量/人工接听量</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w:t>
            </w:r>
            <w:r>
              <w:rPr>
                <w:rFonts w:hint="eastAsia" w:ascii="仿宋" w:hAnsi="仿宋" w:eastAsia="仿宋" w:cs="仿宋"/>
                <w:kern w:val="0"/>
                <w:szCs w:val="21"/>
                <w:highlight w:val="none"/>
                <w:lang w:val="en-US" w:eastAsia="zh-CN"/>
              </w:rPr>
              <w:t>3</w:t>
            </w:r>
            <w:r>
              <w:rPr>
                <w:rFonts w:hint="eastAsia" w:ascii="仿宋" w:hAnsi="仿宋" w:eastAsia="仿宋" w:cs="仿宋"/>
                <w:kern w:val="0"/>
                <w:szCs w:val="21"/>
                <w:highlight w:val="none"/>
              </w:rPr>
              <w:t>%</w:t>
            </w:r>
          </w:p>
        </w:tc>
        <w:tc>
          <w:tcPr>
            <w:tcW w:w="152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准确性</w:t>
            </w: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答复准确性</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测评样本数量总分100分-所有测评样本准确性扣分</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w:t>
            </w:r>
            <w:r>
              <w:rPr>
                <w:rFonts w:hint="eastAsia" w:ascii="仿宋" w:hAnsi="仿宋" w:eastAsia="仿宋" w:cs="仿宋"/>
                <w:kern w:val="0"/>
                <w:szCs w:val="21"/>
                <w:highlight w:val="none"/>
                <w:lang w:val="en-US" w:eastAsia="zh-CN"/>
              </w:rPr>
              <w:t>5</w:t>
            </w:r>
            <w:r>
              <w:rPr>
                <w:rFonts w:hint="eastAsia" w:ascii="仿宋" w:hAnsi="仿宋" w:eastAsia="仿宋" w:cs="仿宋"/>
                <w:kern w:val="0"/>
                <w:szCs w:val="21"/>
                <w:highlight w:val="none"/>
              </w:rPr>
              <w:t>分以上</w:t>
            </w:r>
          </w:p>
        </w:tc>
        <w:tc>
          <w:tcPr>
            <w:tcW w:w="1524"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20" w:lineRule="exact"/>
              <w:jc w:val="center"/>
              <w:rPr>
                <w:rFonts w:hint="eastAsia" w:ascii="仿宋" w:hAnsi="仿宋" w:eastAsia="仿宋" w:cs="仿宋"/>
                <w:kern w:val="0"/>
                <w:szCs w:val="21"/>
                <w:highlight w:val="none"/>
                <w:lang w:eastAsia="zh-CN"/>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restart"/>
            <w:tcBorders>
              <w:top w:val="nil"/>
              <w:left w:val="nil"/>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规范性</w:t>
            </w: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服务规范性</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测评样本数量总分100分-所有测评样本规范性扣分</w:t>
            </w:r>
          </w:p>
        </w:tc>
        <w:tc>
          <w:tcPr>
            <w:tcW w:w="1332" w:type="dxa"/>
            <w:tcBorders>
              <w:top w:val="single" w:color="auto" w:sz="4" w:space="0"/>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98分以上</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s="仿宋"/>
                <w:kern w:val="0"/>
                <w:szCs w:val="21"/>
                <w:highlight w:val="none"/>
                <w:lang w:eastAsia="zh-CN"/>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continue"/>
            <w:tcBorders>
              <w:left w:val="nil"/>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正确选择标签</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所有测评样本服务规范性得分之和/测评样本数量</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99%以上</w:t>
            </w:r>
          </w:p>
        </w:tc>
        <w:tc>
          <w:tcPr>
            <w:tcW w:w="1524" w:type="dxa"/>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 w:hAnsi="仿宋" w:eastAsia="仿宋" w:cs="仿宋"/>
                <w:kern w:val="0"/>
                <w:szCs w:val="21"/>
                <w:highlight w:val="none"/>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continue"/>
            <w:tcBorders>
              <w:left w:val="nil"/>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勾选热点问题</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所有测评样本服务规范性得分之和/测评样本数量</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99%以上</w:t>
            </w:r>
          </w:p>
        </w:tc>
        <w:tc>
          <w:tcPr>
            <w:tcW w:w="1524" w:type="dxa"/>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 w:hAnsi="仿宋" w:eastAsia="仿宋" w:cs="仿宋"/>
                <w:kern w:val="0"/>
                <w:szCs w:val="21"/>
                <w:highlight w:val="none"/>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continue"/>
            <w:tcBorders>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小结规范</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所有测评样本服务规范性得分之和/测评样本数量</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99%以上</w:t>
            </w:r>
          </w:p>
        </w:tc>
        <w:tc>
          <w:tcPr>
            <w:tcW w:w="1524" w:type="dxa"/>
            <w:tcBorders>
              <w:top w:val="nil"/>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 w:hAnsi="仿宋" w:eastAsia="仿宋" w:cs="仿宋"/>
                <w:kern w:val="0"/>
                <w:szCs w:val="21"/>
                <w:highlight w:val="none"/>
              </w:rPr>
            </w:pPr>
          </w:p>
        </w:tc>
      </w:tr>
      <w:tr>
        <w:tblPrEx>
          <w:tblCellMar>
            <w:top w:w="0" w:type="dxa"/>
            <w:left w:w="108" w:type="dxa"/>
            <w:bottom w:w="0" w:type="dxa"/>
            <w:right w:w="108" w:type="dxa"/>
          </w:tblCellMar>
        </w:tblPrEx>
        <w:trPr>
          <w:trHeight w:val="1026"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restart"/>
            <w:tcBorders>
              <w:top w:val="nil"/>
              <w:left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及时性</w:t>
            </w: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通话时长</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话务时长/接通话务总数</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平均3分钟内</w:t>
            </w:r>
          </w:p>
        </w:tc>
        <w:tc>
          <w:tcPr>
            <w:tcW w:w="1524" w:type="dxa"/>
            <w:tcBorders>
              <w:top w:val="nil"/>
              <w:left w:val="nil"/>
              <w:bottom w:val="single" w:color="auto" w:sz="4" w:space="0"/>
              <w:right w:val="single" w:color="auto" w:sz="4" w:space="0"/>
            </w:tcBorders>
            <w:shd w:val="clear" w:color="000000" w:fill="FFFFFF"/>
            <w:noWrap w:val="0"/>
            <w:vAlign w:val="center"/>
          </w:tcPr>
          <w:p>
            <w:pPr>
              <w:widowControl/>
              <w:spacing w:line="30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从开始通话到通话结束为止的时长。</w:t>
            </w:r>
          </w:p>
        </w:tc>
      </w:tr>
      <w:tr>
        <w:tblPrEx>
          <w:tblCellMar>
            <w:top w:w="0" w:type="dxa"/>
            <w:left w:w="108" w:type="dxa"/>
            <w:bottom w:w="0" w:type="dxa"/>
            <w:right w:w="108" w:type="dxa"/>
          </w:tblCellMar>
        </w:tblPrEx>
        <w:trPr>
          <w:trHeight w:val="1025"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continue"/>
            <w:tcBorders>
              <w:left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话后整理时长</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话后整理时长/接通话务总数</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平均1分30秒内</w:t>
            </w:r>
          </w:p>
        </w:tc>
        <w:tc>
          <w:tcPr>
            <w:tcW w:w="1524" w:type="dxa"/>
            <w:tcBorders>
              <w:top w:val="nil"/>
              <w:left w:val="nil"/>
              <w:bottom w:val="single" w:color="auto" w:sz="4" w:space="0"/>
              <w:right w:val="single" w:color="auto" w:sz="4" w:space="0"/>
            </w:tcBorders>
            <w:shd w:val="clear" w:color="000000" w:fill="FFFFFF"/>
            <w:noWrap w:val="0"/>
            <w:vAlign w:val="center"/>
          </w:tcPr>
          <w:p>
            <w:pPr>
              <w:widowControl/>
              <w:spacing w:line="30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从通话结束到做完电话小结为止的时长。</w:t>
            </w: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continue"/>
            <w:tcBorders>
              <w:left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按时转办</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各类工单实际转办数量/各类工单应转办工单数量</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100%</w:t>
            </w:r>
          </w:p>
        </w:tc>
        <w:tc>
          <w:tcPr>
            <w:tcW w:w="1524" w:type="dxa"/>
            <w:tcBorders>
              <w:top w:val="nil"/>
              <w:left w:val="nil"/>
              <w:bottom w:val="single" w:color="auto" w:sz="4" w:space="0"/>
              <w:right w:val="single" w:color="auto" w:sz="4" w:space="0"/>
            </w:tcBorders>
            <w:shd w:val="clear" w:color="000000" w:fill="FFFFFF"/>
            <w:noWrap w:val="0"/>
            <w:vAlign w:val="center"/>
          </w:tcPr>
          <w:p>
            <w:pPr>
              <w:widowControl/>
              <w:spacing w:line="300" w:lineRule="exact"/>
              <w:jc w:val="center"/>
              <w:rPr>
                <w:rFonts w:hint="eastAsia" w:ascii="仿宋" w:hAnsi="仿宋" w:eastAsia="仿宋" w:cs="仿宋"/>
                <w:kern w:val="0"/>
                <w:szCs w:val="21"/>
                <w:highlight w:val="none"/>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continue"/>
            <w:tcBorders>
              <w:left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咨询即时答复</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实际人工接听量中咨询直接办结数量/人工接听量中咨询类总量</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100%</w:t>
            </w:r>
          </w:p>
        </w:tc>
        <w:tc>
          <w:tcPr>
            <w:tcW w:w="1524" w:type="dxa"/>
            <w:tcBorders>
              <w:top w:val="nil"/>
              <w:left w:val="nil"/>
              <w:bottom w:val="single" w:color="auto" w:sz="4" w:space="0"/>
              <w:right w:val="single" w:color="auto" w:sz="4" w:space="0"/>
            </w:tcBorders>
            <w:shd w:val="clear" w:color="000000" w:fill="FFFFFF"/>
            <w:noWrap w:val="0"/>
            <w:vAlign w:val="center"/>
          </w:tcPr>
          <w:p>
            <w:pPr>
              <w:widowControl/>
              <w:spacing w:line="300" w:lineRule="exact"/>
              <w:jc w:val="center"/>
              <w:rPr>
                <w:rFonts w:hint="eastAsia" w:ascii="仿宋" w:hAnsi="仿宋" w:eastAsia="仿宋" w:cs="仿宋"/>
                <w:kern w:val="0"/>
                <w:szCs w:val="21"/>
                <w:highlight w:val="none"/>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咨询工单办结</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咨询工单实际办结数量/咨询工单应办结数量</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100%</w:t>
            </w:r>
          </w:p>
        </w:tc>
        <w:tc>
          <w:tcPr>
            <w:tcW w:w="1524" w:type="dxa"/>
            <w:tcBorders>
              <w:top w:val="nil"/>
              <w:left w:val="nil"/>
              <w:bottom w:val="single" w:color="auto" w:sz="4" w:space="0"/>
              <w:right w:val="single" w:color="auto" w:sz="4" w:space="0"/>
            </w:tcBorders>
            <w:shd w:val="clear" w:color="000000" w:fill="FFFFFF"/>
            <w:noWrap w:val="0"/>
            <w:vAlign w:val="center"/>
          </w:tcPr>
          <w:p>
            <w:pPr>
              <w:widowControl/>
              <w:spacing w:line="300" w:lineRule="exact"/>
              <w:jc w:val="center"/>
              <w:rPr>
                <w:rFonts w:hint="eastAsia" w:ascii="仿宋" w:hAnsi="仿宋" w:eastAsia="仿宋" w:cs="仿宋"/>
                <w:kern w:val="0"/>
                <w:szCs w:val="21"/>
                <w:highlight w:val="none"/>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满意度评价</w:t>
            </w: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满意度推送率</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人工语音服务满意度推送数量/人工语音服务总量</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w:t>
            </w:r>
            <w:r>
              <w:rPr>
                <w:rFonts w:hint="eastAsia" w:ascii="仿宋" w:hAnsi="仿宋" w:eastAsia="仿宋" w:cs="仿宋"/>
                <w:kern w:val="0"/>
                <w:szCs w:val="21"/>
                <w:highlight w:val="none"/>
                <w:lang w:val="en-US" w:eastAsia="zh-CN"/>
              </w:rPr>
              <w:t>5</w:t>
            </w:r>
            <w:r>
              <w:rPr>
                <w:rFonts w:hint="eastAsia" w:ascii="仿宋" w:hAnsi="仿宋" w:eastAsia="仿宋" w:cs="仿宋"/>
                <w:kern w:val="0"/>
                <w:szCs w:val="21"/>
                <w:highlight w:val="none"/>
              </w:rPr>
              <w:t>%以上</w:t>
            </w:r>
          </w:p>
        </w:tc>
        <w:tc>
          <w:tcPr>
            <w:tcW w:w="152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lang w:eastAsia="zh-CN"/>
              </w:rPr>
            </w:pP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服务满意率</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IVR满意度调查满意数量/参与调查总数</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w:t>
            </w:r>
            <w:r>
              <w:rPr>
                <w:rFonts w:hint="eastAsia" w:ascii="仿宋" w:hAnsi="仿宋" w:eastAsia="仿宋" w:cs="仿宋"/>
                <w:kern w:val="0"/>
                <w:szCs w:val="21"/>
                <w:highlight w:val="none"/>
                <w:lang w:val="en-US" w:eastAsia="zh-CN"/>
              </w:rPr>
              <w:t>9</w:t>
            </w:r>
            <w:r>
              <w:rPr>
                <w:rFonts w:hint="eastAsia" w:ascii="仿宋" w:hAnsi="仿宋" w:eastAsia="仿宋" w:cs="仿宋"/>
                <w:kern w:val="0"/>
                <w:szCs w:val="21"/>
                <w:highlight w:val="none"/>
              </w:rPr>
              <w:t>%以上</w:t>
            </w:r>
          </w:p>
        </w:tc>
        <w:tc>
          <w:tcPr>
            <w:tcW w:w="152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641"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被动放弃率</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用户被动放弃话务数/总话务数</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低于0.1%</w:t>
            </w:r>
          </w:p>
        </w:tc>
        <w:tc>
          <w:tcPr>
            <w:tcW w:w="152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641"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服务投诉量</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经调查确属事实的有理由投诉量。</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每季不超过1次</w:t>
            </w:r>
          </w:p>
        </w:tc>
        <w:tc>
          <w:tcPr>
            <w:tcW w:w="152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952" w:hRule="atLeast"/>
        </w:trPr>
        <w:tc>
          <w:tcPr>
            <w:tcW w:w="8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质量</w:t>
            </w:r>
          </w:p>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检查</w:t>
            </w: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质量抽检</w:t>
            </w:r>
            <w:r>
              <w:rPr>
                <w:rFonts w:hint="eastAsia" w:ascii="仿宋" w:hAnsi="仿宋" w:eastAsia="仿宋" w:cs="仿宋"/>
                <w:kern w:val="0"/>
                <w:szCs w:val="21"/>
                <w:highlight w:val="none"/>
                <w:lang w:eastAsia="zh-CN"/>
              </w:rPr>
              <w:t>量</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工作日</w:t>
            </w:r>
            <w:r>
              <w:rPr>
                <w:rFonts w:hint="eastAsia" w:ascii="仿宋" w:hAnsi="仿宋" w:eastAsia="仿宋" w:cs="仿宋"/>
                <w:kern w:val="0"/>
                <w:szCs w:val="21"/>
                <w:highlight w:val="none"/>
              </w:rPr>
              <w:t>检抽样总条数/</w:t>
            </w:r>
            <w:r>
              <w:rPr>
                <w:rFonts w:hint="eastAsia" w:ascii="仿宋" w:hAnsi="仿宋" w:eastAsia="仿宋" w:cs="仿宋"/>
                <w:kern w:val="0"/>
                <w:szCs w:val="21"/>
                <w:highlight w:val="none"/>
                <w:lang w:eastAsia="zh-CN"/>
              </w:rPr>
              <w:t>质检人数</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default" w:ascii="仿宋" w:hAnsi="仿宋" w:eastAsia="仿宋" w:cs="仿宋"/>
                <w:kern w:val="0"/>
                <w:szCs w:val="21"/>
                <w:highlight w:val="none"/>
                <w:lang w:val="en-US" w:eastAsia="zh-CN"/>
              </w:rPr>
            </w:pPr>
            <w:r>
              <w:rPr>
                <w:rFonts w:hint="default" w:ascii="Arial" w:hAnsi="Arial" w:eastAsia="仿宋" w:cs="Arial"/>
                <w:kern w:val="0"/>
                <w:szCs w:val="21"/>
                <w:highlight w:val="none"/>
                <w:lang w:eastAsia="zh-CN"/>
              </w:rPr>
              <w:t>≥</w:t>
            </w:r>
            <w:r>
              <w:rPr>
                <w:rFonts w:hint="eastAsia" w:ascii="仿宋" w:hAnsi="仿宋" w:eastAsia="仿宋" w:cs="仿宋"/>
                <w:kern w:val="0"/>
                <w:szCs w:val="21"/>
                <w:highlight w:val="none"/>
                <w:lang w:val="en-US" w:eastAsia="zh-CN"/>
              </w:rPr>
              <w:t>30条</w:t>
            </w:r>
          </w:p>
        </w:tc>
        <w:tc>
          <w:tcPr>
            <w:tcW w:w="152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9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知识库运维</w:t>
            </w:r>
          </w:p>
        </w:tc>
        <w:tc>
          <w:tcPr>
            <w:tcW w:w="15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及时性</w:t>
            </w:r>
          </w:p>
        </w:tc>
        <w:tc>
          <w:tcPr>
            <w:tcW w:w="31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更新及时的样本/业务质检样本总量</w:t>
            </w:r>
          </w:p>
        </w:tc>
        <w:tc>
          <w:tcPr>
            <w:tcW w:w="133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99%以上</w:t>
            </w: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2个工作日内</w:t>
            </w:r>
          </w:p>
        </w:tc>
      </w:tr>
      <w:tr>
        <w:tblPrEx>
          <w:tblCellMar>
            <w:top w:w="0" w:type="dxa"/>
            <w:left w:w="108" w:type="dxa"/>
            <w:bottom w:w="0" w:type="dxa"/>
            <w:right w:w="108" w:type="dxa"/>
          </w:tblCellMar>
        </w:tblPrEx>
        <w:trPr>
          <w:trHeight w:val="641" w:hRule="atLeast"/>
        </w:trPr>
        <w:tc>
          <w:tcPr>
            <w:tcW w:w="8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准确性</w:t>
            </w:r>
          </w:p>
        </w:tc>
        <w:tc>
          <w:tcPr>
            <w:tcW w:w="31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更新准确（无严重错误）的样本/业务质检样本总量</w:t>
            </w:r>
          </w:p>
        </w:tc>
        <w:tc>
          <w:tcPr>
            <w:tcW w:w="133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99%以上</w:t>
            </w: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638" w:hRule="atLeast"/>
        </w:trPr>
        <w:tc>
          <w:tcPr>
            <w:tcW w:w="862" w:type="dxa"/>
            <w:vMerge w:val="restart"/>
            <w:tcBorders>
              <w:top w:val="nil"/>
              <w:left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网</w:t>
            </w:r>
            <w:r>
              <w:rPr>
                <w:rFonts w:hint="eastAsia" w:ascii="仿宋" w:hAnsi="仿宋" w:eastAsia="仿宋" w:cs="仿宋"/>
                <w:kern w:val="0"/>
                <w:szCs w:val="21"/>
                <w:highlight w:val="none"/>
                <w:lang w:eastAsia="zh-CN"/>
              </w:rPr>
              <w:t>络</w:t>
            </w:r>
          </w:p>
        </w:tc>
        <w:tc>
          <w:tcPr>
            <w:tcW w:w="9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网络</w:t>
            </w:r>
          </w:p>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咨询</w:t>
            </w:r>
          </w:p>
        </w:tc>
        <w:tc>
          <w:tcPr>
            <w:tcW w:w="15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及时性</w:t>
            </w:r>
          </w:p>
        </w:tc>
        <w:tc>
          <w:tcPr>
            <w:tcW w:w="31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业务解答及时的样本/业务质检样本总量</w:t>
            </w:r>
          </w:p>
        </w:tc>
        <w:tc>
          <w:tcPr>
            <w:tcW w:w="133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99%以上</w:t>
            </w: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2个工作日内</w:t>
            </w:r>
          </w:p>
        </w:tc>
      </w:tr>
      <w:tr>
        <w:tblPrEx>
          <w:tblCellMar>
            <w:top w:w="0" w:type="dxa"/>
            <w:left w:w="108" w:type="dxa"/>
            <w:bottom w:w="0" w:type="dxa"/>
            <w:right w:w="108" w:type="dxa"/>
          </w:tblCellMar>
        </w:tblPrEx>
        <w:trPr>
          <w:trHeight w:val="638" w:hRule="atLeast"/>
        </w:trPr>
        <w:tc>
          <w:tcPr>
            <w:tcW w:w="862" w:type="dxa"/>
            <w:vMerge w:val="continue"/>
            <w:tcBorders>
              <w:left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答复准确性</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测评样本数量总分100分-所有测评样本准确性扣分</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95分以上</w:t>
            </w:r>
          </w:p>
        </w:tc>
        <w:tc>
          <w:tcPr>
            <w:tcW w:w="1524" w:type="dxa"/>
            <w:vMerge w:val="restart"/>
            <w:tcBorders>
              <w:top w:val="nil"/>
              <w:left w:val="single" w:color="auto" w:sz="4" w:space="0"/>
              <w:bottom w:val="single" w:color="000000" w:sz="4" w:space="0"/>
              <w:right w:val="single" w:color="auto" w:sz="4" w:space="0"/>
            </w:tcBorders>
            <w:noWrap w:val="0"/>
            <w:vAlign w:val="center"/>
          </w:tcPr>
          <w:p>
            <w:pPr>
              <w:widowControl/>
              <w:spacing w:line="320" w:lineRule="exact"/>
              <w:jc w:val="center"/>
              <w:rPr>
                <w:rFonts w:hint="eastAsia" w:ascii="仿宋" w:hAnsi="仿宋" w:eastAsia="仿宋" w:cs="仿宋"/>
                <w:kern w:val="0"/>
                <w:szCs w:val="21"/>
                <w:highlight w:val="none"/>
              </w:rPr>
            </w:pPr>
          </w:p>
        </w:tc>
      </w:tr>
      <w:tr>
        <w:tblPrEx>
          <w:tblCellMar>
            <w:top w:w="0" w:type="dxa"/>
            <w:left w:w="108" w:type="dxa"/>
            <w:bottom w:w="0" w:type="dxa"/>
            <w:right w:w="108" w:type="dxa"/>
          </w:tblCellMar>
        </w:tblPrEx>
        <w:trPr>
          <w:trHeight w:val="638" w:hRule="atLeast"/>
        </w:trPr>
        <w:tc>
          <w:tcPr>
            <w:tcW w:w="862" w:type="dxa"/>
            <w:vMerge w:val="continue"/>
            <w:tcBorders>
              <w:left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服务规范性</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测评样本数量总分100分-所有测评样本规范性扣分</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98分以上</w:t>
            </w:r>
          </w:p>
        </w:tc>
        <w:tc>
          <w:tcPr>
            <w:tcW w:w="152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r>
      <w:tr>
        <w:tblPrEx>
          <w:tblCellMar>
            <w:top w:w="0" w:type="dxa"/>
            <w:left w:w="108" w:type="dxa"/>
            <w:bottom w:w="0" w:type="dxa"/>
            <w:right w:w="108" w:type="dxa"/>
          </w:tblCellMar>
        </w:tblPrEx>
        <w:trPr>
          <w:trHeight w:val="638" w:hRule="atLeast"/>
        </w:trPr>
        <w:tc>
          <w:tcPr>
            <w:tcW w:w="86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回访满意率</w:t>
            </w:r>
          </w:p>
        </w:tc>
        <w:tc>
          <w:tcPr>
            <w:tcW w:w="3175"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（非常满意+满意）/所有满意度评价数量</w:t>
            </w:r>
          </w:p>
        </w:tc>
        <w:tc>
          <w:tcPr>
            <w:tcW w:w="133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w:t>
            </w:r>
            <w:r>
              <w:rPr>
                <w:rFonts w:hint="eastAsia" w:ascii="仿宋" w:hAnsi="仿宋" w:eastAsia="仿宋" w:cs="仿宋"/>
                <w:kern w:val="0"/>
                <w:szCs w:val="21"/>
                <w:highlight w:val="none"/>
                <w:lang w:val="en-US" w:eastAsia="zh-CN"/>
              </w:rPr>
              <w:t>9</w:t>
            </w:r>
            <w:r>
              <w:rPr>
                <w:rFonts w:hint="eastAsia" w:ascii="仿宋" w:hAnsi="仿宋" w:eastAsia="仿宋" w:cs="仿宋"/>
                <w:kern w:val="0"/>
                <w:szCs w:val="21"/>
                <w:highlight w:val="none"/>
              </w:rPr>
              <w:t>%以上</w:t>
            </w:r>
          </w:p>
        </w:tc>
        <w:tc>
          <w:tcPr>
            <w:tcW w:w="152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638" w:hRule="atLeast"/>
        </w:trPr>
        <w:tc>
          <w:tcPr>
            <w:tcW w:w="862" w:type="dxa"/>
            <w:vMerge w:val="continue"/>
            <w:tcBorders>
              <w:left w:val="single" w:color="auto" w:sz="4" w:space="0"/>
              <w:right w:val="single" w:color="auto" w:sz="4" w:space="0"/>
            </w:tcBorders>
            <w:shd w:val="clear" w:color="auto" w:fill="auto"/>
            <w:noWrap w:val="0"/>
            <w:vAlign w:val="center"/>
          </w:tcPr>
          <w:p>
            <w:pPr>
              <w:widowControl/>
              <w:jc w:val="left"/>
              <w:rPr>
                <w:rFonts w:hint="eastAsia" w:ascii="仿宋" w:hAnsi="仿宋" w:eastAsia="仿宋" w:cs="仿宋"/>
                <w:kern w:val="0"/>
                <w:szCs w:val="21"/>
                <w:highlight w:val="none"/>
              </w:rPr>
            </w:pPr>
          </w:p>
        </w:tc>
        <w:tc>
          <w:tcPr>
            <w:tcW w:w="975"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纳税服务栏目更新</w:t>
            </w:r>
          </w:p>
        </w:tc>
        <w:tc>
          <w:tcPr>
            <w:tcW w:w="15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及时性</w:t>
            </w:r>
          </w:p>
        </w:tc>
        <w:tc>
          <w:tcPr>
            <w:tcW w:w="31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更新及时的样本/业务质检样本总量</w:t>
            </w:r>
          </w:p>
        </w:tc>
        <w:tc>
          <w:tcPr>
            <w:tcW w:w="133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99%以上</w:t>
            </w: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2个工作日内</w:t>
            </w:r>
          </w:p>
        </w:tc>
      </w:tr>
      <w:tr>
        <w:tblPrEx>
          <w:tblCellMar>
            <w:top w:w="0" w:type="dxa"/>
            <w:left w:w="108" w:type="dxa"/>
            <w:bottom w:w="0" w:type="dxa"/>
            <w:right w:w="108" w:type="dxa"/>
          </w:tblCellMar>
        </w:tblPrEx>
        <w:trPr>
          <w:trHeight w:val="638" w:hRule="atLeast"/>
        </w:trPr>
        <w:tc>
          <w:tcPr>
            <w:tcW w:w="86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准确率</w:t>
            </w:r>
          </w:p>
        </w:tc>
        <w:tc>
          <w:tcPr>
            <w:tcW w:w="31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更新准确（无严重错误）的样本/业务质检样本总量</w:t>
            </w:r>
          </w:p>
        </w:tc>
        <w:tc>
          <w:tcPr>
            <w:tcW w:w="133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99%以上</w:t>
            </w:r>
          </w:p>
        </w:tc>
        <w:tc>
          <w:tcPr>
            <w:tcW w:w="152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533" w:hRule="atLeast"/>
        </w:trPr>
        <w:tc>
          <w:tcPr>
            <w:tcW w:w="86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975" w:type="dxa"/>
            <w:vMerge w:val="restart"/>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网络</w:t>
            </w:r>
          </w:p>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巡查</w:t>
            </w:r>
          </w:p>
        </w:tc>
        <w:tc>
          <w:tcPr>
            <w:tcW w:w="15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及时性</w:t>
            </w:r>
          </w:p>
        </w:tc>
        <w:tc>
          <w:tcPr>
            <w:tcW w:w="317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检查链接是否有效</w:t>
            </w:r>
          </w:p>
        </w:tc>
        <w:tc>
          <w:tcPr>
            <w:tcW w:w="1332"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每日</w:t>
            </w:r>
          </w:p>
        </w:tc>
        <w:tc>
          <w:tcPr>
            <w:tcW w:w="152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638" w:hRule="atLeast"/>
        </w:trPr>
        <w:tc>
          <w:tcPr>
            <w:tcW w:w="862" w:type="dxa"/>
            <w:vMerge w:val="continue"/>
            <w:tcBorders>
              <w:left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975" w:type="dxa"/>
            <w:vMerge w:val="continue"/>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准确率</w:t>
            </w:r>
          </w:p>
        </w:tc>
        <w:tc>
          <w:tcPr>
            <w:tcW w:w="3175" w:type="dxa"/>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未发现有效连接的样本/检查链接总量</w:t>
            </w:r>
          </w:p>
        </w:tc>
        <w:tc>
          <w:tcPr>
            <w:tcW w:w="13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99%以上</w:t>
            </w:r>
          </w:p>
        </w:tc>
        <w:tc>
          <w:tcPr>
            <w:tcW w:w="152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638" w:hRule="atLeast"/>
        </w:trPr>
        <w:tc>
          <w:tcPr>
            <w:tcW w:w="86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975" w:type="dxa"/>
            <w:vMerge w:val="restart"/>
            <w:tcBorders>
              <w:top w:val="nil"/>
              <w:left w:val="nil"/>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12366纳税服务平台运维</w:t>
            </w:r>
          </w:p>
        </w:tc>
        <w:tc>
          <w:tcPr>
            <w:tcW w:w="15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工作量</w:t>
            </w:r>
          </w:p>
        </w:tc>
        <w:tc>
          <w:tcPr>
            <w:tcW w:w="3175" w:type="dxa"/>
            <w:tcBorders>
              <w:top w:val="nil"/>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配合完成视频点播等</w:t>
            </w:r>
            <w:r>
              <w:rPr>
                <w:rFonts w:hint="eastAsia" w:ascii="仿宋" w:hAnsi="仿宋" w:eastAsia="仿宋" w:cs="仿宋"/>
                <w:kern w:val="0"/>
                <w:szCs w:val="21"/>
                <w:highlight w:val="none"/>
                <w:lang w:eastAsia="zh-CN"/>
              </w:rPr>
              <w:t>地方</w:t>
            </w:r>
            <w:r>
              <w:rPr>
                <w:rFonts w:hint="eastAsia" w:ascii="仿宋" w:hAnsi="仿宋" w:eastAsia="仿宋" w:cs="仿宋"/>
                <w:kern w:val="0"/>
                <w:szCs w:val="21"/>
                <w:highlight w:val="none"/>
              </w:rPr>
              <w:t>栏目运维</w:t>
            </w:r>
          </w:p>
        </w:tc>
        <w:tc>
          <w:tcPr>
            <w:tcW w:w="13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每季度至少发布1次</w:t>
            </w: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按照总局要求</w:t>
            </w:r>
          </w:p>
        </w:tc>
      </w:tr>
      <w:tr>
        <w:tblPrEx>
          <w:tblCellMar>
            <w:top w:w="0" w:type="dxa"/>
            <w:left w:w="108" w:type="dxa"/>
            <w:bottom w:w="0" w:type="dxa"/>
            <w:right w:w="108" w:type="dxa"/>
          </w:tblCellMar>
        </w:tblPrEx>
        <w:trPr>
          <w:trHeight w:val="953" w:hRule="atLeast"/>
        </w:trPr>
        <w:tc>
          <w:tcPr>
            <w:tcW w:w="86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975" w:type="dxa"/>
            <w:vMerge w:val="continue"/>
            <w:tcBorders>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即时性</w:t>
            </w:r>
          </w:p>
        </w:tc>
        <w:tc>
          <w:tcPr>
            <w:tcW w:w="3175" w:type="dxa"/>
            <w:tcBorders>
              <w:top w:val="nil"/>
              <w:left w:val="single" w:color="auto" w:sz="4" w:space="0"/>
              <w:bottom w:val="single" w:color="auto" w:sz="4" w:space="0"/>
              <w:right w:val="single" w:color="auto" w:sz="4" w:space="0"/>
            </w:tcBorders>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配合完成办税地图、办税日历等</w:t>
            </w:r>
            <w:r>
              <w:rPr>
                <w:rFonts w:hint="eastAsia" w:ascii="仿宋" w:hAnsi="仿宋" w:eastAsia="仿宋" w:cs="仿宋"/>
                <w:kern w:val="0"/>
                <w:szCs w:val="21"/>
                <w:highlight w:val="none"/>
                <w:lang w:eastAsia="zh-CN"/>
              </w:rPr>
              <w:t>地方</w:t>
            </w:r>
            <w:r>
              <w:rPr>
                <w:rFonts w:hint="eastAsia" w:ascii="仿宋" w:hAnsi="仿宋" w:eastAsia="仿宋" w:cs="仿宋"/>
                <w:kern w:val="0"/>
                <w:szCs w:val="21"/>
                <w:highlight w:val="none"/>
              </w:rPr>
              <w:t>栏目的运维</w:t>
            </w:r>
          </w:p>
        </w:tc>
        <w:tc>
          <w:tcPr>
            <w:tcW w:w="133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rPr>
              <w:t>发生变化1个工作日内</w:t>
            </w:r>
            <w:r>
              <w:rPr>
                <w:rFonts w:hint="eastAsia" w:ascii="仿宋" w:hAnsi="仿宋" w:eastAsia="仿宋" w:cs="仿宋"/>
                <w:kern w:val="0"/>
                <w:szCs w:val="21"/>
                <w:highlight w:val="none"/>
                <w:lang w:eastAsia="zh-CN"/>
              </w:rPr>
              <w:t>及年末</w:t>
            </w: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按照总局要求</w:t>
            </w:r>
          </w:p>
        </w:tc>
      </w:tr>
      <w:tr>
        <w:tblPrEx>
          <w:tblCellMar>
            <w:top w:w="0" w:type="dxa"/>
            <w:left w:w="108" w:type="dxa"/>
            <w:bottom w:w="0" w:type="dxa"/>
            <w:right w:w="108" w:type="dxa"/>
          </w:tblCellMar>
        </w:tblPrEx>
        <w:trPr>
          <w:trHeight w:val="638" w:hRule="atLeast"/>
        </w:trPr>
        <w:tc>
          <w:tcPr>
            <w:tcW w:w="862" w:type="dxa"/>
            <w:vMerge w:val="restart"/>
            <w:tcBorders>
              <w:top w:val="nil"/>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其他</w:t>
            </w:r>
          </w:p>
          <w:p>
            <w:pPr>
              <w:widowControl/>
              <w:jc w:val="center"/>
              <w:rPr>
                <w:rFonts w:hint="eastAsia" w:ascii="仿宋" w:hAnsi="仿宋" w:eastAsia="仿宋" w:cs="仿宋"/>
                <w:kern w:val="0"/>
                <w:szCs w:val="21"/>
                <w:highlight w:val="none"/>
              </w:rPr>
            </w:pPr>
          </w:p>
        </w:tc>
        <w:tc>
          <w:tcPr>
            <w:tcW w:w="975" w:type="dxa"/>
            <w:vMerge w:val="restart"/>
            <w:tcBorders>
              <w:top w:val="nil"/>
              <w:left w:val="single" w:color="auto" w:sz="4" w:space="0"/>
              <w:bottom w:val="single" w:color="000000"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涉税事项调查</w:t>
            </w:r>
          </w:p>
        </w:tc>
        <w:tc>
          <w:tcPr>
            <w:tcW w:w="1550"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及时性</w:t>
            </w:r>
          </w:p>
        </w:tc>
        <w:tc>
          <w:tcPr>
            <w:tcW w:w="3175"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仿宋" w:hAnsi="仿宋" w:eastAsia="仿宋" w:cs="仿宋"/>
                <w:kern w:val="0"/>
                <w:szCs w:val="21"/>
                <w:highlight w:val="none"/>
              </w:rPr>
            </w:pPr>
            <w:r>
              <w:rPr>
                <w:rFonts w:hint="eastAsia" w:ascii="仿宋" w:hAnsi="仿宋" w:eastAsia="仿宋" w:cs="仿宋"/>
                <w:kern w:val="0"/>
                <w:szCs w:val="21"/>
                <w:highlight w:val="none"/>
              </w:rPr>
              <w:t>按照规定的时限完成涉税事项调查工作</w:t>
            </w:r>
          </w:p>
        </w:tc>
        <w:tc>
          <w:tcPr>
            <w:tcW w:w="1332" w:type="dxa"/>
            <w:tcBorders>
              <w:top w:val="nil"/>
              <w:left w:val="nil"/>
              <w:bottom w:val="single" w:color="auto" w:sz="4" w:space="0"/>
              <w:right w:val="single" w:color="auto" w:sz="4" w:space="0"/>
            </w:tcBorders>
            <w:shd w:val="clear" w:color="000000" w:fill="FFFFFF"/>
            <w:noWrap w:val="0"/>
            <w:vAlign w:val="center"/>
          </w:tcPr>
          <w:p>
            <w:pPr>
              <w:widowControl/>
              <w:spacing w:line="30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以具体工作要求为准</w:t>
            </w:r>
          </w:p>
        </w:tc>
        <w:tc>
          <w:tcPr>
            <w:tcW w:w="1524" w:type="dxa"/>
            <w:tcBorders>
              <w:top w:val="nil"/>
              <w:left w:val="nil"/>
              <w:bottom w:val="single" w:color="auto" w:sz="4" w:space="0"/>
              <w:right w:val="single" w:color="auto" w:sz="4" w:space="0"/>
            </w:tcBorders>
            <w:shd w:val="clear" w:color="000000" w:fill="FFFFFF"/>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90" w:hRule="atLeast"/>
        </w:trPr>
        <w:tc>
          <w:tcPr>
            <w:tcW w:w="8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975"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完成率</w:t>
            </w:r>
          </w:p>
        </w:tc>
        <w:tc>
          <w:tcPr>
            <w:tcW w:w="3175"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已完成的工作量/按要求应该完成的工作量</w:t>
            </w:r>
          </w:p>
        </w:tc>
        <w:tc>
          <w:tcPr>
            <w:tcW w:w="133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9</w:t>
            </w:r>
            <w:r>
              <w:rPr>
                <w:rFonts w:hint="eastAsia" w:ascii="仿宋" w:hAnsi="仿宋" w:eastAsia="仿宋" w:cs="仿宋"/>
                <w:kern w:val="0"/>
                <w:szCs w:val="21"/>
                <w:highlight w:val="none"/>
                <w:lang w:val="en-US" w:eastAsia="zh-CN"/>
              </w:rPr>
              <w:t>9</w:t>
            </w:r>
            <w:r>
              <w:rPr>
                <w:rFonts w:hint="eastAsia" w:ascii="仿宋" w:hAnsi="仿宋" w:eastAsia="仿宋" w:cs="仿宋"/>
                <w:kern w:val="0"/>
                <w:szCs w:val="21"/>
                <w:highlight w:val="none"/>
              </w:rPr>
              <w:t>%以上</w:t>
            </w: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641" w:hRule="atLeast"/>
        </w:trPr>
        <w:tc>
          <w:tcPr>
            <w:tcW w:w="8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97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对外公开电话管理</w:t>
            </w:r>
          </w:p>
        </w:tc>
        <w:tc>
          <w:tcPr>
            <w:tcW w:w="155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咨询电话管理</w:t>
            </w:r>
          </w:p>
        </w:tc>
        <w:tc>
          <w:tcPr>
            <w:tcW w:w="3175"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对各地</w:t>
            </w:r>
            <w:r>
              <w:rPr>
                <w:rFonts w:hint="eastAsia" w:ascii="仿宋" w:hAnsi="仿宋" w:eastAsia="仿宋" w:cs="仿宋"/>
                <w:kern w:val="0"/>
                <w:szCs w:val="21"/>
                <w:highlight w:val="none"/>
              </w:rPr>
              <w:t>对外公</w:t>
            </w:r>
            <w:r>
              <w:rPr>
                <w:rFonts w:hint="eastAsia" w:ascii="仿宋" w:hAnsi="仿宋" w:eastAsia="仿宋" w:cs="仿宋"/>
                <w:kern w:val="0"/>
                <w:szCs w:val="21"/>
                <w:highlight w:val="none"/>
                <w:lang w:eastAsia="zh-CN"/>
              </w:rPr>
              <w:t>开</w:t>
            </w:r>
            <w:r>
              <w:rPr>
                <w:rFonts w:hint="eastAsia" w:ascii="仿宋" w:hAnsi="仿宋" w:eastAsia="仿宋" w:cs="仿宋"/>
                <w:kern w:val="0"/>
                <w:szCs w:val="21"/>
                <w:highlight w:val="none"/>
              </w:rPr>
              <w:t>咨询电话进行远程监控和痕迹管理</w:t>
            </w:r>
          </w:p>
        </w:tc>
        <w:tc>
          <w:tcPr>
            <w:tcW w:w="133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每季不少于1次</w:t>
            </w: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155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3175"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对</w:t>
            </w:r>
            <w:r>
              <w:rPr>
                <w:rFonts w:hint="eastAsia" w:ascii="仿宋" w:hAnsi="仿宋" w:eastAsia="仿宋" w:cs="仿宋"/>
                <w:kern w:val="0"/>
                <w:szCs w:val="21"/>
                <w:highlight w:val="none"/>
                <w:lang w:eastAsia="zh-CN"/>
              </w:rPr>
              <w:t>各地对外公开咨询</w:t>
            </w:r>
            <w:r>
              <w:rPr>
                <w:rFonts w:hint="eastAsia" w:ascii="仿宋" w:hAnsi="仿宋" w:eastAsia="仿宋" w:cs="仿宋"/>
                <w:kern w:val="0"/>
                <w:szCs w:val="21"/>
                <w:highlight w:val="none"/>
              </w:rPr>
              <w:t>电话服务规范性提供专业化指导</w:t>
            </w:r>
          </w:p>
        </w:tc>
        <w:tc>
          <w:tcPr>
            <w:tcW w:w="133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每年不少于2次</w:t>
            </w: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638" w:hRule="atLeast"/>
        </w:trPr>
        <w:tc>
          <w:tcPr>
            <w:tcW w:w="86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97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kern w:val="0"/>
                <w:szCs w:val="21"/>
                <w:highlight w:val="none"/>
              </w:rPr>
            </w:pPr>
          </w:p>
        </w:tc>
        <w:tc>
          <w:tcPr>
            <w:tcW w:w="1550"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对外</w:t>
            </w:r>
            <w:r>
              <w:rPr>
                <w:rFonts w:hint="eastAsia" w:ascii="仿宋" w:hAnsi="仿宋" w:eastAsia="仿宋" w:cs="仿宋"/>
                <w:kern w:val="0"/>
                <w:szCs w:val="21"/>
                <w:highlight w:val="none"/>
              </w:rPr>
              <w:t>公开</w:t>
            </w:r>
          </w:p>
          <w:p>
            <w:pPr>
              <w:widowControl/>
              <w:spacing w:line="28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电话拨测</w:t>
            </w:r>
          </w:p>
        </w:tc>
        <w:tc>
          <w:tcPr>
            <w:tcW w:w="3175" w:type="dxa"/>
            <w:tcBorders>
              <w:top w:val="nil"/>
              <w:left w:val="nil"/>
              <w:bottom w:val="single" w:color="auto" w:sz="4" w:space="0"/>
              <w:right w:val="single" w:color="auto" w:sz="4" w:space="0"/>
            </w:tcBorders>
            <w:noWrap w:val="0"/>
            <w:vAlign w:val="center"/>
          </w:tcPr>
          <w:p>
            <w:pPr>
              <w:widowControl/>
              <w:rPr>
                <w:rFonts w:hint="eastAsia" w:ascii="仿宋" w:hAnsi="仿宋" w:eastAsia="仿宋" w:cs="仿宋"/>
                <w:kern w:val="0"/>
                <w:szCs w:val="21"/>
                <w:highlight w:val="none"/>
              </w:rPr>
            </w:pPr>
            <w:r>
              <w:rPr>
                <w:rFonts w:hint="eastAsia" w:ascii="仿宋" w:hAnsi="仿宋" w:eastAsia="仿宋" w:cs="仿宋"/>
                <w:kern w:val="0"/>
                <w:szCs w:val="21"/>
                <w:highlight w:val="none"/>
              </w:rPr>
              <w:t>对</w:t>
            </w:r>
            <w:r>
              <w:rPr>
                <w:rFonts w:hint="eastAsia" w:ascii="仿宋" w:hAnsi="仿宋" w:eastAsia="仿宋" w:cs="仿宋"/>
                <w:kern w:val="0"/>
                <w:szCs w:val="21"/>
                <w:highlight w:val="none"/>
                <w:lang w:eastAsia="zh-CN"/>
              </w:rPr>
              <w:t>各</w:t>
            </w:r>
            <w:r>
              <w:rPr>
                <w:rFonts w:hint="eastAsia" w:ascii="仿宋" w:hAnsi="仿宋" w:eastAsia="仿宋" w:cs="仿宋"/>
                <w:kern w:val="0"/>
                <w:szCs w:val="21"/>
                <w:highlight w:val="none"/>
              </w:rPr>
              <w:t>类</w:t>
            </w:r>
            <w:r>
              <w:rPr>
                <w:rFonts w:hint="eastAsia" w:ascii="仿宋" w:hAnsi="仿宋" w:eastAsia="仿宋" w:cs="仿宋"/>
                <w:kern w:val="0"/>
                <w:szCs w:val="21"/>
                <w:highlight w:val="none"/>
                <w:lang w:eastAsia="zh-CN"/>
              </w:rPr>
              <w:t>对外</w:t>
            </w:r>
            <w:r>
              <w:rPr>
                <w:rFonts w:hint="eastAsia" w:ascii="仿宋" w:hAnsi="仿宋" w:eastAsia="仿宋" w:cs="仿宋"/>
                <w:kern w:val="0"/>
                <w:szCs w:val="21"/>
                <w:highlight w:val="none"/>
              </w:rPr>
              <w:t>公开电话拨测</w:t>
            </w:r>
          </w:p>
        </w:tc>
        <w:tc>
          <w:tcPr>
            <w:tcW w:w="1332"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每季不少于1次</w:t>
            </w:r>
          </w:p>
        </w:tc>
        <w:tc>
          <w:tcPr>
            <w:tcW w:w="1524" w:type="dxa"/>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r>
              <w:rPr>
                <w:rFonts w:hint="eastAsia" w:ascii="仿宋" w:hAnsi="仿宋" w:eastAsia="仿宋" w:cs="仿宋"/>
                <w:kern w:val="0"/>
                <w:szCs w:val="21"/>
                <w:highlight w:val="none"/>
              </w:rPr>
              <w:t>　</w:t>
            </w:r>
          </w:p>
        </w:tc>
      </w:tr>
      <w:tr>
        <w:tblPrEx>
          <w:tblCellMar>
            <w:top w:w="0" w:type="dxa"/>
            <w:left w:w="108" w:type="dxa"/>
            <w:bottom w:w="0" w:type="dxa"/>
            <w:right w:w="108" w:type="dxa"/>
          </w:tblCellMar>
        </w:tblPrEx>
        <w:trPr>
          <w:trHeight w:val="641" w:hRule="atLeast"/>
        </w:trPr>
        <w:tc>
          <w:tcPr>
            <w:tcW w:w="86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人力资</w:t>
            </w:r>
          </w:p>
          <w:p>
            <w:pPr>
              <w:widowControl/>
              <w:jc w:val="center"/>
              <w:rPr>
                <w:rFonts w:hint="eastAsia" w:ascii="仿宋" w:hAnsi="仿宋" w:eastAsia="仿宋" w:cs="仿宋"/>
                <w:kern w:val="0"/>
                <w:szCs w:val="21"/>
                <w:highlight w:val="none"/>
                <w:lang w:eastAsia="zh-CN"/>
              </w:rPr>
            </w:pPr>
            <w:r>
              <w:rPr>
                <w:rFonts w:hint="eastAsia" w:ascii="仿宋" w:hAnsi="仿宋" w:eastAsia="仿宋" w:cs="仿宋"/>
                <w:kern w:val="0"/>
                <w:szCs w:val="21"/>
                <w:highlight w:val="none"/>
                <w:lang w:eastAsia="zh-CN"/>
              </w:rPr>
              <w:t>源管理</w:t>
            </w:r>
          </w:p>
        </w:tc>
        <w:tc>
          <w:tcPr>
            <w:tcW w:w="252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 w:hAnsi="仿宋" w:eastAsia="仿宋" w:cs="仿宋"/>
                <w:kern w:val="0"/>
                <w:szCs w:val="21"/>
                <w:highlight w:val="none"/>
              </w:rPr>
            </w:pPr>
            <w:r>
              <w:rPr>
                <w:rFonts w:hint="eastAsia" w:ascii="仿宋" w:hAnsi="仿宋" w:eastAsia="仿宋" w:cs="仿宋"/>
                <w:kern w:val="0"/>
                <w:szCs w:val="21"/>
                <w:highlight w:val="none"/>
                <w:lang w:eastAsia="zh-CN"/>
              </w:rPr>
              <w:t>人员流失率</w:t>
            </w:r>
          </w:p>
        </w:tc>
        <w:tc>
          <w:tcPr>
            <w:tcW w:w="31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Cs/>
                <w:sz w:val="21"/>
                <w:szCs w:val="21"/>
                <w:highlight w:val="none"/>
                <w:lang w:val="en-US" w:eastAsia="zh-CN" w:bidi="ar-SA"/>
              </w:rPr>
            </w:pPr>
            <w:r>
              <w:rPr>
                <w:rFonts w:hint="eastAsia" w:ascii="仿宋" w:hAnsi="仿宋" w:eastAsia="仿宋" w:cs="仿宋"/>
                <w:szCs w:val="21"/>
                <w:highlight w:val="none"/>
              </w:rPr>
              <w:t>年已签约员工流失量/在岗员工总数</w:t>
            </w:r>
          </w:p>
        </w:tc>
        <w:tc>
          <w:tcPr>
            <w:tcW w:w="133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bCs/>
                <w:sz w:val="21"/>
                <w:szCs w:val="21"/>
                <w:highlight w:val="none"/>
                <w:lang w:val="en-US" w:eastAsia="zh-CN" w:bidi="ar-SA"/>
              </w:rPr>
            </w:pPr>
            <w:r>
              <w:rPr>
                <w:rFonts w:hint="eastAsia" w:ascii="仿宋" w:hAnsi="仿宋" w:eastAsia="仿宋" w:cs="仿宋"/>
                <w:szCs w:val="21"/>
                <w:highlight w:val="none"/>
              </w:rPr>
              <w:t>小于15%</w:t>
            </w:r>
          </w:p>
        </w:tc>
        <w:tc>
          <w:tcPr>
            <w:tcW w:w="152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
                <w:kern w:val="0"/>
                <w:szCs w:val="21"/>
                <w:highlight w:val="none"/>
              </w:rPr>
            </w:pPr>
          </w:p>
        </w:tc>
      </w:tr>
    </w:tbl>
    <w:p>
      <w:pPr>
        <w:pStyle w:val="6"/>
        <w:ind w:left="0" w:leftChars="0" w:firstLine="480" w:firstLineChars="200"/>
        <w:jc w:val="both"/>
        <w:rPr>
          <w:rFonts w:hint="eastAsia" w:ascii="仿宋_GB2312" w:hAnsi="仿宋_GB2312" w:eastAsia="仿宋_GB2312" w:cs="仿宋_GB2312"/>
          <w:kern w:val="2"/>
          <w:sz w:val="24"/>
          <w:szCs w:val="24"/>
          <w:lang w:val="en-US" w:eastAsia="zh-CN" w:bidi="ar-SA"/>
        </w:rPr>
      </w:pPr>
    </w:p>
    <w:p>
      <w:pPr>
        <w:pStyle w:val="6"/>
        <w:ind w:left="0" w:leftChars="0"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说明：具体服务指标完成应不低于上述质量标准要求，但最终以国家税务总局和新疆税务局关于12366工作要求为准。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东文宋体" w:hAnsi="东文宋体" w:eastAsia="东文宋体" w:cs="东文宋体"/>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以上为正常业务量情况下的考核标准，如新政出台、系统故障等突发状况导致业务量激增，整体转接人工话务量超过30万/季度，上述接通率、及时性、满意度等相关指标不在按照以上标准考核，具体考核标准根据实际情况另行制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东文宋体" w:hAnsi="东文宋体" w:eastAsia="东文宋体" w:cs="东文宋体"/>
          <w:color w:val="auto"/>
          <w:kern w:val="0"/>
          <w:sz w:val="32"/>
          <w:szCs w:val="32"/>
          <w:highlight w:val="none"/>
          <w:lang w:val="en-US" w:eastAsia="zh-CN" w:bidi="ar"/>
        </w:rPr>
        <w:t>▲</w:t>
      </w:r>
      <w:r>
        <w:rPr>
          <w:rFonts w:hint="eastAsia" w:ascii="仿宋_GB2312" w:hAnsi="仿宋_GB2312" w:eastAsia="仿宋_GB2312" w:cs="仿宋_GB2312"/>
          <w:color w:val="auto"/>
          <w:kern w:val="0"/>
          <w:sz w:val="32"/>
          <w:szCs w:val="32"/>
          <w:highlight w:val="none"/>
          <w:lang w:val="en-US" w:eastAsia="zh-CN" w:bidi="ar"/>
        </w:rPr>
        <w:t>以上指标按合同约定验收期按月累计汇总考核，每高于或低于质量标准比例一个百分点以及高于或低于质量标准基准值20%的指标超过5个的，每超过1个扣减当期合同约定服务费用的1%。</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320" w:firstLineChars="100"/>
        <w:jc w:val="both"/>
        <w:textAlignment w:val="auto"/>
        <w:rPr>
          <w:rFonts w:hint="default" w:ascii="仿宋_GB2312" w:hAnsi="仿宋_GB2312" w:eastAsia="仿宋_GB2312" w:cs="仿宋_GB2312"/>
          <w:color w:val="auto"/>
          <w:kern w:val="0"/>
          <w:sz w:val="32"/>
          <w:szCs w:val="32"/>
          <w:highlight w:val="none"/>
          <w:lang w:val="en-US" w:eastAsia="zh-CN" w:bidi="ar"/>
        </w:rPr>
      </w:pPr>
      <w:r>
        <w:rPr>
          <w:rFonts w:hint="eastAsia" w:ascii="东文宋体" w:hAnsi="东文宋体" w:eastAsia="东文宋体" w:cs="东文宋体"/>
          <w:color w:val="auto"/>
          <w:kern w:val="0"/>
          <w:sz w:val="32"/>
          <w:szCs w:val="32"/>
          <w:highlight w:val="none"/>
          <w:lang w:val="zh-CN" w:eastAsia="zh-CN" w:bidi="ar"/>
        </w:rPr>
        <w:t>▲</w:t>
      </w:r>
      <w:r>
        <w:rPr>
          <w:rFonts w:hint="eastAsia" w:ascii="仿宋_GB2312" w:hAnsi="仿宋_GB2312" w:eastAsia="仿宋_GB2312" w:cs="仿宋_GB2312"/>
          <w:color w:val="auto"/>
          <w:kern w:val="0"/>
          <w:sz w:val="32"/>
          <w:szCs w:val="32"/>
          <w:highlight w:val="none"/>
          <w:lang w:val="zh-CN" w:eastAsia="zh-CN" w:bidi="ar"/>
        </w:rPr>
        <w:t>对网络与信息安全要求落实情况按季进行检查，若发现问题，每次扣减服务费用</w:t>
      </w:r>
      <w:r>
        <w:rPr>
          <w:rFonts w:hint="eastAsia" w:ascii="仿宋_GB2312" w:hAnsi="仿宋_GB2312" w:eastAsia="仿宋_GB2312" w:cs="仿宋_GB2312"/>
          <w:color w:val="auto"/>
          <w:kern w:val="0"/>
          <w:sz w:val="32"/>
          <w:szCs w:val="32"/>
          <w:highlight w:val="none"/>
          <w:lang w:val="en-US" w:eastAsia="zh-CN" w:bidi="ar"/>
        </w:rPr>
        <w:t>1000元。如出现网络安全、数据安全以及泄密等重大问题的，根据危害程度，相应扣减当季费用的0.5%～1%。</w:t>
      </w:r>
    </w:p>
    <w:p>
      <w:pPr>
        <w:numPr>
          <w:ilvl w:val="0"/>
          <w:numId w:val="0"/>
        </w:numPr>
        <w:spacing w:line="58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项目验收要求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zh-CN" w:eastAsia="zh-CN" w:bidi="ar"/>
        </w:rPr>
        <w:t>（一）</w:t>
      </w:r>
      <w:r>
        <w:rPr>
          <w:rFonts w:hint="eastAsia" w:ascii="仿宋_GB2312" w:hAnsi="仿宋_GB2312" w:eastAsia="仿宋_GB2312" w:cs="仿宋_GB2312"/>
          <w:color w:val="auto"/>
          <w:kern w:val="0"/>
          <w:sz w:val="32"/>
          <w:szCs w:val="32"/>
          <w:highlight w:val="none"/>
          <w:lang w:val="en-US" w:eastAsia="zh-CN" w:bidi="ar"/>
        </w:rPr>
        <w:t>验收时间：采购人分别在项目服务的第三个月、第十个月和服务到期后进行3次验收。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zh-CN" w:eastAsia="zh-CN" w:bidi="ar"/>
        </w:rPr>
        <w:t>（二）</w:t>
      </w:r>
      <w:r>
        <w:rPr>
          <w:rFonts w:hint="eastAsia" w:ascii="仿宋_GB2312" w:hAnsi="仿宋_GB2312" w:eastAsia="仿宋_GB2312" w:cs="仿宋_GB2312"/>
          <w:color w:val="auto"/>
          <w:kern w:val="0"/>
          <w:sz w:val="32"/>
          <w:szCs w:val="32"/>
          <w:highlight w:val="none"/>
          <w:lang w:val="en-US" w:eastAsia="zh-CN" w:bidi="ar"/>
        </w:rPr>
        <w:t xml:space="preserve">验收地点：新疆税务局人民路办公区6楼。  </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zh-CN" w:eastAsia="zh-CN" w:bidi="ar"/>
        </w:rPr>
        <w:t>（三）</w:t>
      </w:r>
      <w:r>
        <w:rPr>
          <w:rFonts w:hint="eastAsia" w:ascii="仿宋_GB2312" w:hAnsi="仿宋_GB2312" w:eastAsia="仿宋_GB2312" w:cs="仿宋_GB2312"/>
          <w:color w:val="auto"/>
          <w:kern w:val="0"/>
          <w:sz w:val="32"/>
          <w:szCs w:val="32"/>
          <w:highlight w:val="none"/>
          <w:lang w:val="en-US" w:eastAsia="zh-CN" w:bidi="ar"/>
        </w:rPr>
        <w:t>验收方法：供应商配合采购人对合同约定的服务的内容和效果进行验收。评价结果将围绕项目服务指标结合日常考核进行综合考量，内容包括：目标达成、服务质量、服务响应、团队稳定等情况。</w:t>
      </w:r>
    </w:p>
    <w:p>
      <w:pPr>
        <w:pStyle w:val="7"/>
        <w:spacing w:before="0" w:after="0" w:line="600" w:lineRule="exact"/>
        <w:ind w:firstLine="640" w:firstLineChars="200"/>
        <w:contextualSpacing/>
        <w:jc w:val="both"/>
        <w:rPr>
          <w:rFonts w:hint="eastAsia" w:ascii="黑体" w:hAnsi="黑体" w:eastAsia="黑体" w:cs="黑体"/>
          <w:b w:val="0"/>
        </w:rPr>
      </w:pPr>
      <w:r>
        <w:rPr>
          <w:rFonts w:hint="eastAsia" w:ascii="黑体" w:hAnsi="黑体" w:eastAsia="黑体" w:cs="黑体"/>
          <w:b w:val="0"/>
          <w:lang w:eastAsia="zh-CN"/>
        </w:rPr>
        <w:t>八</w:t>
      </w:r>
      <w:r>
        <w:rPr>
          <w:rFonts w:hint="eastAsia" w:ascii="黑体" w:hAnsi="黑体" w:eastAsia="黑体" w:cs="黑体"/>
          <w:b w:val="0"/>
        </w:rPr>
        <w:t>、项目技术支持服务要求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无。</w:t>
      </w:r>
    </w:p>
    <w:p>
      <w:pPr>
        <w:snapToGrid w:val="0"/>
        <w:spacing w:line="600" w:lineRule="exact"/>
        <w:ind w:firstLine="640" w:firstLineChars="200"/>
        <w:rPr>
          <w:rFonts w:hint="eastAsia" w:ascii="仿宋_GB2312" w:eastAsia="仿宋_GB2312"/>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、税收信息化项目开发和应用管理工作要求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
        </w:rPr>
      </w:pPr>
      <w:r>
        <w:rPr>
          <w:rFonts w:hint="eastAsia" w:ascii="仿宋_GB2312" w:hAnsi="仿宋_GB2312" w:eastAsia="仿宋_GB2312" w:cs="仿宋_GB2312"/>
          <w:color w:val="auto"/>
          <w:kern w:val="0"/>
          <w:sz w:val="32"/>
          <w:szCs w:val="32"/>
          <w:highlight w:val="none"/>
          <w:lang w:val="en-US" w:eastAsia="zh-CN" w:bidi="ar"/>
        </w:rPr>
        <w:t>无。</w:t>
      </w:r>
    </w:p>
    <w:p>
      <w:pPr>
        <w:spacing w:line="600" w:lineRule="exact"/>
        <w:ind w:firstLine="640" w:firstLineChars="200"/>
        <w:rPr>
          <w:rFonts w:hint="eastAsia" w:ascii="黑体" w:hAnsi="黑体" w:eastAsia="黑体" w:cs="黑体"/>
          <w:bCs/>
          <w:kern w:val="28"/>
          <w:sz w:val="32"/>
          <w:szCs w:val="32"/>
        </w:rPr>
      </w:pPr>
      <w:r>
        <w:rPr>
          <w:rFonts w:hint="eastAsia" w:ascii="黑体" w:hAnsi="黑体" w:eastAsia="黑体" w:cs="黑体"/>
          <w:bCs/>
          <w:kern w:val="28"/>
          <w:sz w:val="32"/>
          <w:szCs w:val="32"/>
          <w:lang w:eastAsia="zh-CN"/>
        </w:rPr>
        <w:t>十</w:t>
      </w:r>
      <w:r>
        <w:rPr>
          <w:rFonts w:hint="eastAsia" w:ascii="黑体" w:hAnsi="黑体" w:eastAsia="黑体" w:cs="黑体"/>
          <w:bCs/>
          <w:kern w:val="28"/>
          <w:sz w:val="32"/>
          <w:szCs w:val="32"/>
        </w:rPr>
        <w:t>、信息化服务商失信结果应用</w:t>
      </w:r>
    </w:p>
    <w:p>
      <w:pPr>
        <w:spacing w:line="600" w:lineRule="exact"/>
        <w:rPr>
          <w:rFonts w:ascii="仿宋_GB2312" w:eastAsia="仿宋_GB2312"/>
          <w:sz w:val="32"/>
          <w:szCs w:val="32"/>
        </w:rPr>
      </w:pPr>
      <w:r>
        <w:rPr>
          <w:rFonts w:hint="eastAsia" w:ascii="仿宋_GB2312" w:eastAsia="仿宋_GB2312"/>
          <w:sz w:val="32"/>
          <w:szCs w:val="32"/>
        </w:rPr>
        <w:t xml:space="preserve">    依据《国家税务总局办公厅关于修订&lt;税务系统信息化服务商失信行为记录名单制度（试行）&gt;的通知》（税总征科发〔2022〕1号）（以下简称《通知》）要求，为进一步加强税收信息化管理，促进税收信息化服务商（以下简称“服务商”）守信履约，对税收信息化服务商失信后应当按以下要求处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（一）服务商不得另行开发与业务需求范围内，供纳税人、缴费人使用的软件。对擅自违规开发的，将纳入税务部门信息化服务商失信行为记录名单。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（二）服务商应严格遵守网络安全规定行为。对服务商违反网络安全规定的，由采购人视实际情况认定造成后果的严重程度，按照《通知》相关规定处理。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（三）严禁服务商违法违规聘用离职税务人员。对服务商违反《中华人民共和国公务员法》《通知》等法律法规聘用离职税务人员的行为，按照以下方式处理：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1.采购人责令服务商限期改正，服务商应在</w:t>
      </w:r>
      <w:r>
        <w:rPr>
          <w:rFonts w:ascii="仿宋_GB2312" w:eastAsia="仿宋_GB2312"/>
          <w:sz w:val="32"/>
          <w:szCs w:val="32"/>
        </w:rPr>
        <w:t>30日内解除与违法违规聘用税务人员的劳务关系。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2.服务商未在采购人责令限期改正期限内整改的，向采购人支付合同金额</w:t>
      </w:r>
      <w:r>
        <w:rPr>
          <w:rFonts w:ascii="仿宋_GB2312" w:eastAsia="仿宋_GB2312"/>
          <w:sz w:val="32"/>
          <w:szCs w:val="32"/>
        </w:rPr>
        <w:t>20%的违约金或扣除合同约定支付款项的20%。</w:t>
      </w:r>
    </w:p>
    <w:p>
      <w:pPr>
        <w:spacing w:line="600" w:lineRule="exact"/>
        <w:ind w:firstLine="640" w:firstLineChars="200"/>
        <w:rPr>
          <w:rFonts w:eastAsia="仿宋_GB2312"/>
        </w:rPr>
      </w:pPr>
      <w:r>
        <w:rPr>
          <w:rFonts w:hint="eastAsia" w:ascii="仿宋_GB2312" w:eastAsia="仿宋_GB2312"/>
          <w:sz w:val="32"/>
          <w:szCs w:val="32"/>
        </w:rPr>
        <w:t>3.服务商违规聘用离职税务人员拒不整改的，采购人可在任何时候以书面形式通知服务商终止合同，并将服务商纳入税务部门信息化服务商失信行为记录名单，</w:t>
      </w:r>
      <w:r>
        <w:rPr>
          <w:rFonts w:ascii="仿宋_GB2312" w:eastAsia="仿宋_GB2312"/>
          <w:sz w:val="32"/>
          <w:szCs w:val="32"/>
        </w:rPr>
        <w:t>3年内限制</w:t>
      </w:r>
      <w:r>
        <w:rPr>
          <w:rFonts w:hint="eastAsia" w:ascii="仿宋_GB2312" w:eastAsia="仿宋_GB2312"/>
          <w:sz w:val="32"/>
          <w:szCs w:val="32"/>
        </w:rPr>
        <w:t>服务商</w:t>
      </w:r>
      <w:r>
        <w:rPr>
          <w:rFonts w:ascii="仿宋_GB2312" w:eastAsia="仿宋_GB2312"/>
          <w:sz w:val="32"/>
          <w:szCs w:val="32"/>
        </w:rPr>
        <w:t>及下属单位参加税务系统信息化项目政府采购活动。</w:t>
      </w:r>
    </w:p>
    <w:p>
      <w:pPr>
        <w:pStyle w:val="4"/>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十一</w:t>
      </w:r>
      <w:r>
        <w:rPr>
          <w:rFonts w:hint="eastAsia" w:ascii="黑体" w:hAnsi="黑体" w:eastAsia="黑体" w:cs="黑体"/>
          <w:bCs/>
          <w:sz w:val="32"/>
          <w:szCs w:val="32"/>
        </w:rPr>
        <w:t>、其他要求</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无。</w:t>
      </w:r>
    </w:p>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0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东文宋体">
    <w:altName w:val="方正书宋_GBK"/>
    <w:panose1 w:val="00000000000000000000"/>
    <w:charset w:val="00"/>
    <w:family w:val="auto"/>
    <w:pitch w:val="default"/>
    <w:sig w:usb0="00000000" w:usb1="00000000" w:usb2="00000000" w:usb3="00000000" w:csb0="00000000" w:csb1="00000000"/>
  </w:font>
  <w:font w:name="汉仪叶叶相思体简">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FEE19FB"/>
    <w:rsid w:val="3FF87A08"/>
    <w:rsid w:val="4A1947CF"/>
    <w:rsid w:val="55DEEF56"/>
    <w:rsid w:val="5DFD807C"/>
    <w:rsid w:val="6C5B37EE"/>
    <w:rsid w:val="77BA7EC8"/>
    <w:rsid w:val="77FB3E17"/>
    <w:rsid w:val="77FEB005"/>
    <w:rsid w:val="BF7B8369"/>
    <w:rsid w:val="CEE3F0BA"/>
    <w:rsid w:val="D7DDEBB0"/>
    <w:rsid w:val="DBB62499"/>
    <w:rsid w:val="DEB9A810"/>
    <w:rsid w:val="DFD926F6"/>
    <w:rsid w:val="DFDF3AD3"/>
    <w:rsid w:val="E5DE25C9"/>
    <w:rsid w:val="E6BFDB28"/>
    <w:rsid w:val="EB7F4FB3"/>
    <w:rsid w:val="ECCF761A"/>
    <w:rsid w:val="EFB61094"/>
    <w:rsid w:val="FAD5CABA"/>
    <w:rsid w:val="FDB5C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spacing w:before="240" w:after="60"/>
      <w:outlineLvl w:val="0"/>
    </w:pPr>
    <w:rPr>
      <w:rFonts w:ascii="Cambria" w:hAnsi="Cambria" w:eastAsia="宋体"/>
      <w:b/>
      <w:bCs/>
      <w:kern w:val="32"/>
      <w:sz w:val="32"/>
      <w:szCs w:val="32"/>
    </w:rPr>
  </w:style>
  <w:style w:type="paragraph" w:styleId="2">
    <w:name w:val="heading 4"/>
    <w:basedOn w:val="1"/>
    <w:next w:val="1"/>
    <w:qFormat/>
    <w:uiPriority w:val="0"/>
    <w:pPr>
      <w:keepNext/>
      <w:keepLines/>
      <w:spacing w:before="280" w:after="290" w:line="372" w:lineRule="auto"/>
      <w:outlineLvl w:val="3"/>
    </w:pPr>
    <w:rPr>
      <w:rFonts w:ascii="Calibri Light" w:hAnsi="Calibri Light" w:cs="Calibri Light"/>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next w:val="1"/>
    <w:qFormat/>
    <w:uiPriority w:val="99"/>
    <w:rPr>
      <w:rFonts w:ascii="宋体" w:hAnsi="Courier New"/>
      <w:kern w:val="0"/>
      <w:sz w:val="20"/>
      <w:szCs w:val="21"/>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toc 6"/>
    <w:next w:val="1"/>
    <w:unhideWhenUsed/>
    <w:qFormat/>
    <w:uiPriority w:val="39"/>
    <w:pPr>
      <w:widowControl w:val="0"/>
      <w:spacing w:line="240" w:lineRule="auto"/>
      <w:ind w:left="2100" w:leftChars="1000"/>
      <w:jc w:val="both"/>
    </w:pPr>
    <w:rPr>
      <w:rFonts w:ascii="Calibri" w:hAnsi="Calibri" w:eastAsia="宋体" w:cs="Times New Roman"/>
      <w:kern w:val="2"/>
      <w:sz w:val="21"/>
      <w:szCs w:val="22"/>
      <w:lang w:val="en-US" w:eastAsia="zh-CN" w:bidi="ar-SA"/>
    </w:rPr>
  </w:style>
  <w:style w:type="paragraph" w:styleId="7">
    <w:name w:val="Title"/>
    <w:basedOn w:val="1"/>
    <w:next w:val="1"/>
    <w:qFormat/>
    <w:uiPriority w:val="10"/>
    <w:pPr>
      <w:spacing w:before="240" w:after="60"/>
      <w:jc w:val="center"/>
      <w:outlineLvl w:val="0"/>
    </w:pPr>
    <w:rPr>
      <w:rFonts w:ascii="Cambria" w:hAnsi="Cambria" w:eastAsia="宋体"/>
      <w:b/>
      <w:bCs/>
      <w:kern w:val="28"/>
      <w:sz w:val="32"/>
      <w:szCs w:val="32"/>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2018-07-14T23:11:00Z</dcterms:created>
  <dc:creator>d</dc:creator>
  <cp:lastModifiedBy>kylin</cp:lastModifiedBy>
  <dcterms:modified xsi:type="dcterms:W3CDTF">2024-07-03T12:28:04Z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