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77" w:rsidRPr="00CB67B7" w:rsidRDefault="00301A77" w:rsidP="0059735A">
      <w:pPr>
        <w:adjustRightInd w:val="0"/>
        <w:snapToGrid w:val="0"/>
        <w:spacing w:line="600" w:lineRule="exact"/>
      </w:pPr>
    </w:p>
    <w:p w:rsidR="00301A77" w:rsidRPr="00CB67B7" w:rsidRDefault="00301A77" w:rsidP="0059735A">
      <w:pPr>
        <w:adjustRightInd w:val="0"/>
        <w:snapToGrid w:val="0"/>
        <w:spacing w:line="600" w:lineRule="exact"/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F93B45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F457EC">
        <w:rPr>
          <w:rFonts w:ascii="方正小标宋_GBK" w:eastAsia="方正小标宋_GBK" w:hAnsi="宋体" w:hint="eastAsia"/>
          <w:kern w:val="0"/>
          <w:sz w:val="44"/>
          <w:szCs w:val="44"/>
        </w:rPr>
        <w:t>新疆维吾尔自治区</w:t>
      </w:r>
      <w:r w:rsidR="00F93B45">
        <w:rPr>
          <w:rFonts w:ascii="方正小标宋_GBK" w:eastAsia="方正小标宋_GBK" w:hAnsi="宋体" w:hint="eastAsia"/>
          <w:kern w:val="0"/>
          <w:sz w:val="44"/>
          <w:szCs w:val="44"/>
        </w:rPr>
        <w:t>新疆税务干部学校</w:t>
      </w:r>
    </w:p>
    <w:p w:rsidR="00301A77" w:rsidRPr="00F457EC" w:rsidRDefault="004A62A8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 w:rsidR="00301A77" w:rsidRPr="00F457EC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CB67B7" w:rsidRDefault="002427FF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F457EC" w:rsidRDefault="002427FF" w:rsidP="001919BC">
      <w:pPr>
        <w:widowControl/>
        <w:spacing w:line="6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 w:rsidRPr="00F457EC"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:rsidR="002427FF" w:rsidRPr="00CB67B7" w:rsidRDefault="002427FF" w:rsidP="001919BC"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E03CB3" w:rsidRDefault="002427FF" w:rsidP="001919BC"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 w:rsidRPr="00E03CB3">
        <w:rPr>
          <w:rFonts w:ascii="仿宋_GB2312" w:eastAsia="仿宋_GB2312" w:hAnsi="宋体" w:hint="eastAsia"/>
          <w:b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b/>
          <w:kern w:val="0"/>
          <w:sz w:val="32"/>
          <w:szCs w:val="32"/>
        </w:rPr>
        <w:t>税务干部学校</w:t>
      </w:r>
      <w:r w:rsidRPr="00E03CB3">
        <w:rPr>
          <w:rFonts w:ascii="仿宋_GB2312" w:eastAsia="仿宋_GB2312" w:hAnsi="宋体" w:hint="eastAsia"/>
          <w:b/>
          <w:kern w:val="0"/>
          <w:sz w:val="32"/>
          <w:szCs w:val="32"/>
        </w:rPr>
        <w:t>概况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CB67B7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收支预算情况的总体说明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支出预算情况说明</w:t>
      </w:r>
    </w:p>
    <w:p w:rsidR="002427FF" w:rsidRPr="005E752B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5E752B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四、关于新疆维吾尔自治区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2019年财政拨款收支预算情况的总体说明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一般公共预算当年拨款情况说明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项目支出情况说明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政府性基金预算拨款情况说明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E03CB3" w:rsidRDefault="00E03CB3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 w:hint="eastAsia"/>
          <w:b/>
          <w:kern w:val="0"/>
          <w:sz w:val="32"/>
          <w:szCs w:val="32"/>
        </w:rPr>
      </w:pPr>
    </w:p>
    <w:p w:rsidR="00B31207" w:rsidRDefault="00B3120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 w:hint="eastAsia"/>
          <w:b/>
          <w:kern w:val="0"/>
          <w:sz w:val="32"/>
          <w:szCs w:val="32"/>
        </w:rPr>
      </w:pPr>
    </w:p>
    <w:p w:rsidR="00B31207" w:rsidRDefault="00B3120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301A77" w:rsidRPr="0059735A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59735A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 xml:space="preserve">第一部分  </w:t>
      </w:r>
      <w:r w:rsidR="002427FF">
        <w:rPr>
          <w:rFonts w:ascii="黑体" w:eastAsia="黑体" w:hAnsi="黑体" w:hint="eastAsia"/>
          <w:b/>
          <w:kern w:val="0"/>
          <w:sz w:val="32"/>
          <w:szCs w:val="32"/>
        </w:rPr>
        <w:t>新疆维吾尔</w:t>
      </w:r>
      <w:r w:rsidR="00FC3AE6" w:rsidRPr="0059735A">
        <w:rPr>
          <w:rFonts w:ascii="黑体" w:eastAsia="黑体" w:hAnsi="黑体" w:hint="eastAsia"/>
          <w:b/>
          <w:kern w:val="0"/>
          <w:sz w:val="32"/>
          <w:szCs w:val="32"/>
        </w:rPr>
        <w:t>自治区</w:t>
      </w:r>
      <w:r w:rsidR="00F93B45">
        <w:rPr>
          <w:rFonts w:ascii="黑体" w:eastAsia="黑体" w:hAnsi="黑体" w:hint="eastAsia"/>
          <w:b/>
          <w:kern w:val="0"/>
          <w:sz w:val="32"/>
          <w:szCs w:val="32"/>
        </w:rPr>
        <w:t>税务干部学校</w:t>
      </w:r>
      <w:r w:rsidRPr="0059735A">
        <w:rPr>
          <w:rFonts w:ascii="黑体" w:eastAsia="黑体" w:hAnsi="黑体" w:hint="eastAsia"/>
          <w:b/>
          <w:kern w:val="0"/>
          <w:sz w:val="32"/>
          <w:szCs w:val="32"/>
        </w:rPr>
        <w:t>概况</w:t>
      </w:r>
    </w:p>
    <w:p w:rsidR="00301A77" w:rsidRPr="0059735A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59735A">
        <w:rPr>
          <w:rFonts w:ascii="黑体" w:eastAsia="黑体" w:hAnsi="黑体" w:hint="eastAsia"/>
          <w:kern w:val="0"/>
          <w:sz w:val="32"/>
          <w:szCs w:val="32"/>
        </w:rPr>
        <w:t>一、主要职能</w:t>
      </w:r>
    </w:p>
    <w:p w:rsidR="00F93B45" w:rsidRPr="00F93B45" w:rsidRDefault="00F93B45" w:rsidP="00F93B45">
      <w:pPr>
        <w:spacing w:line="360" w:lineRule="auto"/>
        <w:ind w:firstLineChars="200" w:firstLine="640"/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</w:pPr>
      <w:r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新疆税务干部学校承担全区国税系统干部教育培训任务，负责各类培训的组织和实施及全区国税系统师资队伍建设、培训教材管理和远程教育工作。</w:t>
      </w:r>
    </w:p>
    <w:p w:rsidR="00301A77" w:rsidRPr="0059735A" w:rsidRDefault="00D41CCB" w:rsidP="0059735A">
      <w:pPr>
        <w:widowControl/>
        <w:adjustRightInd w:val="0"/>
        <w:snapToGrid w:val="0"/>
        <w:spacing w:line="600" w:lineRule="exact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9735A">
        <w:rPr>
          <w:rFonts w:ascii="黑体" w:eastAsia="黑体" w:hAnsi="黑体" w:hint="eastAsia"/>
          <w:kern w:val="0"/>
          <w:sz w:val="32"/>
          <w:szCs w:val="32"/>
        </w:rPr>
        <w:t xml:space="preserve">   二、机构</w:t>
      </w:r>
      <w:r w:rsidR="00301A77" w:rsidRPr="0059735A">
        <w:rPr>
          <w:rFonts w:ascii="黑体" w:eastAsia="黑体" w:hAnsi="黑体" w:hint="eastAsia"/>
          <w:kern w:val="0"/>
          <w:sz w:val="32"/>
          <w:szCs w:val="32"/>
        </w:rPr>
        <w:t>及人员情况</w:t>
      </w:r>
    </w:p>
    <w:p w:rsidR="00FC3AE6" w:rsidRDefault="00FC3AE6" w:rsidP="0059735A">
      <w:pPr>
        <w:pStyle w:val="Default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从预算单位构成看，</w:t>
      </w:r>
      <w:r w:rsidR="00D36535">
        <w:rPr>
          <w:rFonts w:hint="eastAsia"/>
          <w:sz w:val="32"/>
          <w:szCs w:val="32"/>
        </w:rPr>
        <w:t>新疆维吾尔自治区</w:t>
      </w:r>
      <w:r w:rsidR="00F93B45">
        <w:rPr>
          <w:rFonts w:hint="eastAsia"/>
          <w:sz w:val="32"/>
          <w:szCs w:val="32"/>
        </w:rPr>
        <w:t>税务干部学校</w:t>
      </w:r>
      <w:r w:rsidR="00F93B45" w:rsidRPr="00F93B45">
        <w:rPr>
          <w:rFonts w:hint="eastAsia"/>
          <w:sz w:val="32"/>
          <w:szCs w:val="32"/>
        </w:rPr>
        <w:t>是新疆维吾尔自治区税务局下属的三级中央财政拨款事业单位。</w:t>
      </w:r>
      <w:r>
        <w:rPr>
          <w:sz w:val="32"/>
          <w:szCs w:val="32"/>
        </w:rPr>
        <w:t xml:space="preserve"> </w:t>
      </w:r>
    </w:p>
    <w:p w:rsidR="00EC63EF" w:rsidRPr="00F93B45" w:rsidRDefault="00D36535" w:rsidP="00F93B45">
      <w:pPr>
        <w:spacing w:line="360" w:lineRule="auto"/>
        <w:ind w:firstLineChars="200" w:firstLine="640"/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</w:pPr>
      <w:r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新疆维吾尔</w:t>
      </w:r>
      <w:r w:rsidR="00FC3AE6"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自治区</w:t>
      </w:r>
      <w:r w:rsidR="00F93B45"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税务干部学校</w:t>
      </w:r>
      <w:r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，</w:t>
      </w:r>
      <w:r w:rsidR="00F93B45"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新疆税务干部学校下设7个部（室），截止2018年12月31日，新疆税务干部学校人员编制人数70人，实有在职人员19人，其中行政人员11人、事业编制8人</w:t>
      </w:r>
    </w:p>
    <w:p w:rsidR="00F93B45" w:rsidRPr="00F93B45" w:rsidRDefault="00F93B45" w:rsidP="00F93B45">
      <w:pPr>
        <w:spacing w:line="360" w:lineRule="auto"/>
        <w:ind w:firstLineChars="200" w:firstLine="640"/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</w:pPr>
      <w:r w:rsidRPr="00F93B45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。</w:t>
      </w:r>
    </w:p>
    <w:p w:rsidR="00301A77" w:rsidRPr="00271B97" w:rsidRDefault="00301A77" w:rsidP="00271B97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71B97">
        <w:rPr>
          <w:rFonts w:ascii="黑体" w:eastAsia="黑体" w:hAnsi="黑体" w:hint="eastAsia"/>
          <w:b/>
          <w:kern w:val="0"/>
          <w:sz w:val="32"/>
          <w:szCs w:val="32"/>
        </w:rPr>
        <w:t xml:space="preserve">第二部分  </w:t>
      </w:r>
      <w:r w:rsidR="00F02945" w:rsidRPr="00271B97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271B97">
        <w:rPr>
          <w:rFonts w:ascii="黑体" w:eastAsia="黑体" w:hAnsi="黑体" w:hint="eastAsia"/>
          <w:b/>
          <w:kern w:val="0"/>
          <w:sz w:val="32"/>
          <w:szCs w:val="32"/>
        </w:rPr>
        <w:t>年部门预算公开表</w:t>
      </w: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部门收支总体情况表</w:t>
      </w:r>
    </w:p>
    <w:tbl>
      <w:tblPr>
        <w:tblW w:w="7980" w:type="dxa"/>
        <w:tblInd w:w="88" w:type="dxa"/>
        <w:tblLook w:val="04A0"/>
      </w:tblPr>
      <w:tblGrid>
        <w:gridCol w:w="3040"/>
        <w:gridCol w:w="1100"/>
        <w:gridCol w:w="2740"/>
        <w:gridCol w:w="1100"/>
      </w:tblGrid>
      <w:tr w:rsidR="00866162" w:rsidRPr="00866162" w:rsidTr="00866162">
        <w:trPr>
          <w:trHeight w:val="22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编制部门：新疆维吾尔自治区税务干部学校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866162" w:rsidRPr="00866162" w:rsidTr="00866162">
        <w:trPr>
          <w:trHeight w:val="2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162">
              <w:rPr>
                <w:rFonts w:ascii="宋体" w:hAnsi="宋体" w:cs="宋体" w:hint="eastAsia"/>
                <w:kern w:val="0"/>
                <w:sz w:val="24"/>
              </w:rPr>
              <w:t>收                入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162">
              <w:rPr>
                <w:rFonts w:ascii="宋体" w:hAnsi="宋体" w:cs="宋体" w:hint="eastAsia"/>
                <w:kern w:val="0"/>
                <w:sz w:val="24"/>
              </w:rPr>
              <w:t>支                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61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2019年预算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</w:tr>
      <w:tr w:rsidR="00866162" w:rsidRPr="00866162" w:rsidTr="0086616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</w:tr>
    </w:tbl>
    <w:p w:rsidR="00866162" w:rsidRPr="00866162" w:rsidRDefault="00866162" w:rsidP="00866162">
      <w:pPr>
        <w:pStyle w:val="a7"/>
        <w:widowControl/>
        <w:spacing w:line="600" w:lineRule="exact"/>
        <w:ind w:firstLineChars="0" w:firstLine="0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部门收入总体情况表</w:t>
      </w:r>
    </w:p>
    <w:tbl>
      <w:tblPr>
        <w:tblW w:w="9540" w:type="dxa"/>
        <w:tblInd w:w="88" w:type="dxa"/>
        <w:tblLook w:val="04A0"/>
      </w:tblPr>
      <w:tblGrid>
        <w:gridCol w:w="580"/>
        <w:gridCol w:w="540"/>
        <w:gridCol w:w="540"/>
        <w:gridCol w:w="2500"/>
        <w:gridCol w:w="820"/>
        <w:gridCol w:w="1300"/>
        <w:gridCol w:w="500"/>
        <w:gridCol w:w="576"/>
        <w:gridCol w:w="396"/>
        <w:gridCol w:w="396"/>
        <w:gridCol w:w="396"/>
        <w:gridCol w:w="500"/>
        <w:gridCol w:w="680"/>
      </w:tblGrid>
      <w:tr w:rsidR="00866162" w:rsidRPr="00866162" w:rsidTr="00866162">
        <w:trPr>
          <w:trHeight w:val="360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编制部门：新疆维吾尔自治区税务干部学校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866162" w:rsidRPr="00866162" w:rsidTr="00866162">
        <w:trPr>
          <w:trHeight w:val="510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总  计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</w:t>
            </w: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额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单位上年结余（不包括国库集中支付额度结余）</w:t>
            </w:r>
          </w:p>
        </w:tc>
      </w:tr>
      <w:tr w:rsidR="00866162" w:rsidRPr="00866162" w:rsidTr="00866162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※※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新疆维吾尔自治区税务干部学校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一般公共服务支出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税收事务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115.20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70.89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70.89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事业运行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44.31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44.31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行政事业单位离退休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66162" w:rsidRPr="00866162" w:rsidRDefault="00866162" w:rsidP="00866162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部门支出总体情况表</w:t>
      </w:r>
    </w:p>
    <w:tbl>
      <w:tblPr>
        <w:tblW w:w="7260" w:type="dxa"/>
        <w:tblInd w:w="88" w:type="dxa"/>
        <w:tblLook w:val="04A0"/>
      </w:tblPr>
      <w:tblGrid>
        <w:gridCol w:w="580"/>
        <w:gridCol w:w="540"/>
        <w:gridCol w:w="540"/>
        <w:gridCol w:w="2500"/>
        <w:gridCol w:w="1100"/>
        <w:gridCol w:w="900"/>
        <w:gridCol w:w="1100"/>
      </w:tblGrid>
      <w:tr w:rsidR="00866162" w:rsidRPr="00866162" w:rsidTr="00866162">
        <w:trPr>
          <w:trHeight w:val="360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编制部门：新疆维吾尔自治区税务干部学校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42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功能分类科目名称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866162" w:rsidRPr="00866162" w:rsidTr="00866162">
        <w:trPr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162" w:rsidRPr="00866162" w:rsidTr="00866162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162" w:rsidRPr="00866162" w:rsidTr="00866162">
        <w:trPr>
          <w:trHeight w:val="3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>新疆维吾尔自治区税务干部学校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128.05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一般公共服务支出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税收事务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115.20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行政运行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70.89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70.89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事业运行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44.31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44.31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社会保障和就业支出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行政事业单位离退休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66162" w:rsidRPr="00866162" w:rsidTr="0086616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6616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机关事业单位基本养老保险缴费支出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62" w:rsidRPr="00866162" w:rsidRDefault="00866162" w:rsidP="0086616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616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66162" w:rsidRPr="00866162" w:rsidRDefault="00866162" w:rsidP="00866162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财政拨款收支总体情况表</w:t>
      </w:r>
    </w:p>
    <w:tbl>
      <w:tblPr>
        <w:tblW w:w="8951" w:type="dxa"/>
        <w:tblInd w:w="88" w:type="dxa"/>
        <w:tblLook w:val="04A0"/>
      </w:tblPr>
      <w:tblGrid>
        <w:gridCol w:w="1721"/>
        <w:gridCol w:w="851"/>
        <w:gridCol w:w="2693"/>
        <w:gridCol w:w="992"/>
        <w:gridCol w:w="1418"/>
        <w:gridCol w:w="1276"/>
      </w:tblGrid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单位：万元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收            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支               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项  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合 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功  能  分  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合</w:t>
            </w:r>
            <w:r w:rsidRPr="00C321DD">
              <w:rPr>
                <w:kern w:val="0"/>
                <w:sz w:val="16"/>
                <w:szCs w:val="16"/>
              </w:rPr>
              <w:t xml:space="preserve">    </w:t>
            </w: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基</w:t>
            </w:r>
            <w:r w:rsidRPr="00C321DD">
              <w:rPr>
                <w:kern w:val="0"/>
                <w:sz w:val="16"/>
                <w:szCs w:val="16"/>
              </w:rPr>
              <w:t xml:space="preserve"> </w:t>
            </w: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金</w:t>
            </w:r>
            <w:r w:rsidRPr="00C321DD">
              <w:rPr>
                <w:kern w:val="0"/>
                <w:sz w:val="16"/>
                <w:szCs w:val="16"/>
              </w:rPr>
              <w:t xml:space="preserve"> </w:t>
            </w: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预</w:t>
            </w:r>
            <w:r w:rsidRPr="00C321DD">
              <w:rPr>
                <w:kern w:val="0"/>
                <w:sz w:val="16"/>
                <w:szCs w:val="16"/>
              </w:rPr>
              <w:t xml:space="preserve"> </w:t>
            </w: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算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财政拨款（补助）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201 一般公共服务支出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115.20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115.20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一般公共预算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202 外交支出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政府性基金预算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203 国防支出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204 公共安全支出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205 教育支出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206 科学技术支出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207 文化旅游体育与传媒支出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208 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12.85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12.85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209 社会保险基金支出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210 卫生健康支出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211 节能环保支出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212 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213 农林水支出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214 交通运输支出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215 资源勘探信息等支出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216 商业服务业等支出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217 金融支出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219 援助其他地区支出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220 自然资源海洋气象等支出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221 住房保障支出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222 粮油物资储备支出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223 国有资本经营预算支出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224 灾害防治及应急管理支出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227 预备费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229 其他支出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231 债务还本支出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232 债务付息支出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233 债务发行费支出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小         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小        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128.05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128.05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230 转移性支出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color w:val="0000FF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24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收  入  总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支  出  合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128.05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128.05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66162" w:rsidRPr="00866162" w:rsidRDefault="00866162" w:rsidP="00866162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一般公共预算支出情况表</w:t>
      </w:r>
    </w:p>
    <w:tbl>
      <w:tblPr>
        <w:tblW w:w="8480" w:type="dxa"/>
        <w:tblInd w:w="88" w:type="dxa"/>
        <w:tblLook w:val="04A0"/>
      </w:tblPr>
      <w:tblGrid>
        <w:gridCol w:w="540"/>
        <w:gridCol w:w="540"/>
        <w:gridCol w:w="520"/>
        <w:gridCol w:w="3700"/>
        <w:gridCol w:w="1320"/>
        <w:gridCol w:w="840"/>
        <w:gridCol w:w="1020"/>
      </w:tblGrid>
      <w:tr w:rsidR="00C321DD" w:rsidRPr="00C321DD" w:rsidTr="00C321DD">
        <w:trPr>
          <w:trHeight w:val="360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编制部门：新疆维吾尔自治区税务干部学校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单位：万元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项目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一般公共预算支出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405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功能分类科目编码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功能分类科目名称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总      计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项目支出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款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项</w:t>
            </w: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321DD" w:rsidRPr="00C321DD" w:rsidTr="00C321DD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321DD" w:rsidRPr="00C321DD" w:rsidTr="00C321DD">
        <w:trPr>
          <w:trHeight w:val="3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新疆维吾尔自治区税务干部学校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一般公共服务支出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115.20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115.20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税收事务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115.20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115.20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行政运行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70.89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70.89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事业运行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44.31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44.31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社会保障和就业支出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行政事业单位离退休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  机关事业单位基本养老保险缴费支出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321DD" w:rsidRPr="00C321DD" w:rsidRDefault="00C321DD" w:rsidP="00C321DD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一般公共预算基本支出情况表</w:t>
      </w:r>
    </w:p>
    <w:tbl>
      <w:tblPr>
        <w:tblW w:w="7700" w:type="dxa"/>
        <w:tblInd w:w="88" w:type="dxa"/>
        <w:tblLook w:val="04A0"/>
      </w:tblPr>
      <w:tblGrid>
        <w:gridCol w:w="560"/>
        <w:gridCol w:w="520"/>
        <w:gridCol w:w="3120"/>
        <w:gridCol w:w="1640"/>
        <w:gridCol w:w="840"/>
        <w:gridCol w:w="1020"/>
      </w:tblGrid>
      <w:tr w:rsidR="00C321DD" w:rsidRPr="00C321DD" w:rsidTr="00C321DD">
        <w:trPr>
          <w:trHeight w:val="36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编制部门：新疆维吾尔自治区税务干部学校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单位：万元</w:t>
            </w:r>
          </w:p>
        </w:tc>
      </w:tr>
      <w:tr w:rsidR="00C321DD" w:rsidRPr="00C321DD" w:rsidTr="00C321DD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项目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一般公共预算基本支出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321DD" w:rsidRPr="00C321DD" w:rsidTr="00C321DD">
        <w:trPr>
          <w:trHeight w:val="435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经济分类科目编码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经济分类科目名称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总   计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公用经费</w:t>
            </w:r>
          </w:p>
        </w:tc>
      </w:tr>
      <w:tr w:rsidR="00C321DD" w:rsidRPr="00C321DD" w:rsidTr="00C321DD">
        <w:trPr>
          <w:trHeight w:val="31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321DD" w:rsidRPr="00C321DD" w:rsidTr="00C321DD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款</w:t>
            </w: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321DD" w:rsidRPr="00C321DD" w:rsidTr="00C321D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※※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126.36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1.69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新疆维吾尔自治区税务干部学校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128.05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126.36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1.69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工资福利支出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126.36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126.36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津贴补贴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87.05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87.05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机关事业单位基本养老保险缴费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职工基本医疗保险缴费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7.83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7.83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公务员医疗补助缴费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6.09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6.09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其他社会保障缴费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住房公积金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10.44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10.44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其他工资福利支出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302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商品和服务支出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1.69</w:t>
            </w:r>
          </w:p>
        </w:tc>
      </w:tr>
      <w:tr w:rsidR="00C321DD" w:rsidRPr="00C321DD" w:rsidTr="00C321D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302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  取暖费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DD" w:rsidRPr="00C321DD" w:rsidRDefault="00C321DD" w:rsidP="00C321DD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321DD">
              <w:rPr>
                <w:rFonts w:ascii="宋体" w:hAnsi="宋体" w:cs="宋体" w:hint="eastAsia"/>
                <w:kern w:val="0"/>
                <w:sz w:val="16"/>
                <w:szCs w:val="16"/>
              </w:rPr>
              <w:t>1.69</w:t>
            </w:r>
          </w:p>
        </w:tc>
      </w:tr>
    </w:tbl>
    <w:p w:rsidR="00C321DD" w:rsidRPr="00C321DD" w:rsidRDefault="00C321DD" w:rsidP="00C321DD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866162" w:rsidRPr="00C321DD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321DD" w:rsidRPr="00C321DD" w:rsidRDefault="00C321DD" w:rsidP="00C321DD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321DD">
        <w:rPr>
          <w:rFonts w:ascii="仿宋_GB2312" w:eastAsia="仿宋_GB2312" w:hAnsi="宋体" w:hint="eastAsia"/>
          <w:kern w:val="0"/>
          <w:sz w:val="32"/>
          <w:szCs w:val="32"/>
        </w:rPr>
        <w:t>新疆维吾尔自治区税务干部学校没有</w:t>
      </w:r>
      <w:r>
        <w:rPr>
          <w:rFonts w:ascii="仿宋_GB2312" w:eastAsia="仿宋_GB2312" w:hAnsi="宋体" w:hint="eastAsia"/>
          <w:kern w:val="0"/>
          <w:sz w:val="32"/>
          <w:szCs w:val="32"/>
        </w:rPr>
        <w:t>项目支出</w:t>
      </w:r>
      <w:r w:rsidRPr="00C321DD">
        <w:rPr>
          <w:rFonts w:ascii="仿宋_GB2312" w:eastAsia="仿宋_GB2312" w:hAnsi="宋体" w:hint="eastAsia"/>
          <w:kern w:val="0"/>
          <w:sz w:val="32"/>
          <w:szCs w:val="32"/>
        </w:rPr>
        <w:t>，本表为空表</w:t>
      </w:r>
    </w:p>
    <w:p w:rsidR="00866162" w:rsidRDefault="00866162" w:rsidP="00866162">
      <w:pPr>
        <w:pStyle w:val="a7"/>
        <w:widowControl/>
        <w:numPr>
          <w:ilvl w:val="0"/>
          <w:numId w:val="4"/>
        </w:numPr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一般公共预算“三公”经费支出情况表</w:t>
      </w:r>
    </w:p>
    <w:p w:rsidR="00C321DD" w:rsidRPr="00C321DD" w:rsidRDefault="00C321DD" w:rsidP="00C321DD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321DD">
        <w:rPr>
          <w:rFonts w:ascii="仿宋_GB2312" w:eastAsia="仿宋_GB2312" w:hAnsi="宋体" w:hint="eastAsia"/>
          <w:kern w:val="0"/>
          <w:sz w:val="32"/>
          <w:szCs w:val="32"/>
        </w:rPr>
        <w:t>新疆维吾尔自治区税务干部学校没有</w:t>
      </w:r>
      <w:r>
        <w:rPr>
          <w:rFonts w:ascii="仿宋_GB2312" w:eastAsia="仿宋_GB2312" w:hAnsi="宋体" w:hint="eastAsia"/>
          <w:kern w:val="0"/>
          <w:sz w:val="32"/>
          <w:szCs w:val="32"/>
        </w:rPr>
        <w:t>“三公”经费支出</w:t>
      </w:r>
      <w:r w:rsidRPr="00C321DD">
        <w:rPr>
          <w:rFonts w:ascii="仿宋_GB2312" w:eastAsia="仿宋_GB2312" w:hAnsi="宋体" w:hint="eastAsia"/>
          <w:kern w:val="0"/>
          <w:sz w:val="32"/>
          <w:szCs w:val="32"/>
        </w:rPr>
        <w:t>，本表为空表</w:t>
      </w:r>
    </w:p>
    <w:p w:rsidR="00EC63EF" w:rsidRPr="00866162" w:rsidRDefault="00866162" w:rsidP="00EC63EF">
      <w:pPr>
        <w:pStyle w:val="a7"/>
        <w:widowControl/>
        <w:numPr>
          <w:ilvl w:val="0"/>
          <w:numId w:val="4"/>
        </w:numPr>
        <w:adjustRightInd w:val="0"/>
        <w:snapToGrid w:val="0"/>
        <w:spacing w:line="60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866162">
        <w:rPr>
          <w:rFonts w:ascii="仿宋_GB2312" w:eastAsia="仿宋_GB2312" w:hAnsi="宋体" w:hint="eastAsia"/>
          <w:kern w:val="0"/>
          <w:sz w:val="32"/>
          <w:szCs w:val="32"/>
        </w:rPr>
        <w:t>政府性基金预算支出情况表</w:t>
      </w:r>
    </w:p>
    <w:p w:rsidR="002C098C" w:rsidRDefault="002C098C" w:rsidP="00C321DD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>
        <w:rPr>
          <w:rFonts w:ascii="仿宋_GB2312" w:eastAsia="仿宋_GB2312" w:hAnsi="宋体" w:hint="eastAsia"/>
          <w:kern w:val="0"/>
          <w:sz w:val="32"/>
          <w:szCs w:val="32"/>
        </w:rPr>
        <w:t>没有政府性基金，本表为空表</w:t>
      </w:r>
    </w:p>
    <w:p w:rsidR="00301A77" w:rsidRPr="002427FF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 xml:space="preserve">第三部分  </w:t>
      </w:r>
      <w:r w:rsidR="00B367FC" w:rsidRPr="002427FF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>年部门预算情况说明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一、关于</w:t>
      </w:r>
      <w:r w:rsidR="002C098C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2C098C" w:rsidRPr="002427FF">
        <w:rPr>
          <w:rFonts w:ascii="黑体" w:eastAsia="黑体" w:hAnsi="黑体" w:hint="eastAsia"/>
          <w:kern w:val="0"/>
          <w:sz w:val="32"/>
          <w:szCs w:val="32"/>
        </w:rPr>
        <w:t>2019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年收支预算情况的总体说明</w:t>
      </w:r>
    </w:p>
    <w:p w:rsidR="002C098C" w:rsidRPr="00CB67B7" w:rsidRDefault="002C098C" w:rsidP="0059735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算</w:t>
      </w:r>
      <w:r w:rsidR="00C321DD">
        <w:rPr>
          <w:rFonts w:ascii="仿宋_GB2312" w:eastAsia="仿宋_GB2312" w:hAnsi="宋体" w:cs="宋体" w:hint="eastAsia"/>
          <w:kern w:val="0"/>
          <w:sz w:val="32"/>
          <w:szCs w:val="32"/>
        </w:rPr>
        <w:t>128.05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F1D6C" w:rsidRDefault="002C098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C098C" w:rsidRPr="00CB67B7" w:rsidRDefault="002C098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二、关于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收入预算情况说明</w:t>
      </w:r>
    </w:p>
    <w:p w:rsidR="001F1D6C" w:rsidRPr="00CB67B7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="00C321DD">
        <w:rPr>
          <w:rFonts w:ascii="仿宋_GB2312" w:eastAsia="仿宋_GB2312" w:hAnsi="宋体" w:cs="宋体" w:hint="eastAsia"/>
          <w:kern w:val="0"/>
          <w:sz w:val="32"/>
          <w:szCs w:val="32"/>
        </w:rPr>
        <w:t>128.05</w:t>
      </w:r>
      <w:r>
        <w:rPr>
          <w:rFonts w:ascii="仿宋_GB2312" w:eastAsia="仿宋_GB2312" w:hAnsi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F1D6C" w:rsidRPr="002427FF" w:rsidRDefault="001F1D6C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="00C321DD">
        <w:rPr>
          <w:rFonts w:ascii="仿宋_GB2312" w:eastAsia="仿宋_GB2312" w:hAnsi="宋体" w:cs="宋体" w:hint="eastAsia"/>
          <w:kern w:val="0"/>
          <w:sz w:val="32"/>
          <w:szCs w:val="32"/>
        </w:rPr>
        <w:t>128.05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321DD">
        <w:rPr>
          <w:rFonts w:ascii="仿宋_GB2312" w:eastAsia="仿宋_GB2312" w:hAnsi="宋体" w:cs="宋体" w:hint="eastAsia"/>
          <w:kern w:val="0"/>
          <w:sz w:val="32"/>
          <w:szCs w:val="32"/>
        </w:rPr>
        <w:t>较上年增加128.05万元，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2018年国地税征管改革，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经费保障体制随之发生变化，自治区财政保障范围为按照国家政策执行属地标准的工资项目，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t>及其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 xml:space="preserve">涉及的养老保险缴费、医疗保险缴费、住房公积金等单位按照规定缴存部分。    </w:t>
      </w:r>
    </w:p>
    <w:p w:rsidR="001F1D6C" w:rsidRPr="002427FF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政府性基金预算未安排。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三、关于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支出预算情况说明</w:t>
      </w:r>
    </w:p>
    <w:p w:rsidR="001F1D6C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</w:t>
      </w:r>
      <w:r w:rsidR="00C321DD">
        <w:rPr>
          <w:rFonts w:ascii="仿宋_GB2312" w:eastAsia="仿宋_GB2312" w:hAnsi="宋体" w:cs="宋体" w:hint="eastAsia"/>
          <w:kern w:val="0"/>
          <w:sz w:val="32"/>
          <w:szCs w:val="32"/>
        </w:rPr>
        <w:t>128.05</w:t>
      </w:r>
      <w:r>
        <w:rPr>
          <w:rFonts w:ascii="仿宋_GB2312" w:eastAsia="仿宋_GB2312" w:hAnsi="宋体" w:hint="eastAsia"/>
          <w:kern w:val="0"/>
          <w:sz w:val="32"/>
          <w:szCs w:val="32"/>
        </w:rPr>
        <w:t>万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F1D6C" w:rsidRPr="00CB67B7" w:rsidRDefault="001F1D6C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C321DD">
        <w:rPr>
          <w:rFonts w:ascii="仿宋_GB2312" w:eastAsia="仿宋_GB2312" w:hAnsi="宋体" w:cs="宋体" w:hint="eastAsia"/>
          <w:kern w:val="0"/>
          <w:sz w:val="32"/>
          <w:szCs w:val="32"/>
        </w:rPr>
        <w:t>128.05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%。项目支出</w:t>
      </w:r>
      <w:r w:rsidR="008D110D">
        <w:rPr>
          <w:rFonts w:ascii="仿宋_GB2312" w:eastAsia="仿宋_GB2312" w:hAnsi="宋体" w:cs="宋体" w:hint="eastAsia"/>
          <w:kern w:val="0"/>
          <w:sz w:val="32"/>
          <w:szCs w:val="32"/>
        </w:rPr>
        <w:t>预算未安排。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bCs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Cs/>
          <w:kern w:val="0"/>
          <w:sz w:val="32"/>
          <w:szCs w:val="32"/>
        </w:rPr>
        <w:t>四、关于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bCs/>
          <w:kern w:val="0"/>
          <w:sz w:val="32"/>
          <w:szCs w:val="32"/>
        </w:rPr>
        <w:t>财政拨款收支预算情况的总体说明</w:t>
      </w:r>
    </w:p>
    <w:p w:rsidR="00B367FC" w:rsidRPr="0027338D" w:rsidRDefault="008D110D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019年财政拨款收支总预算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128.05</w:t>
      </w: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万元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，其中2010701行政运行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70.89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万元，2010750事业运行44.31万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元，</w:t>
      </w:r>
      <w:r w:rsidR="0081247A" w:rsidRPr="0027338D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2080505机关事业单位基本养老保险缴费支出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12.85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:rsidR="008D110D" w:rsidRPr="002427FF" w:rsidRDefault="008D110D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收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入全部为一般公共预算拨款，无政府性基金预算拨款。</w:t>
      </w:r>
    </w:p>
    <w:p w:rsidR="00B367FC" w:rsidRPr="002427FF" w:rsidRDefault="008D110D" w:rsidP="0081247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支出预算包括：一般公共服务支出万元，</w:t>
      </w:r>
      <w:r w:rsidR="0081247A" w:rsidRPr="0027338D">
        <w:rPr>
          <w:rFonts w:ascii="仿宋_GB2312" w:eastAsia="仿宋_GB2312" w:hAnsi="宋体" w:hint="eastAsia"/>
          <w:kern w:val="0"/>
          <w:sz w:val="32"/>
          <w:szCs w:val="32"/>
        </w:rPr>
        <w:t>其中2010701行政运行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70.89</w:t>
      </w:r>
      <w:r w:rsidR="0081247A" w:rsidRPr="0027338D">
        <w:rPr>
          <w:rFonts w:ascii="仿宋_GB2312" w:eastAsia="仿宋_GB2312" w:hAnsi="宋体" w:hint="eastAsia"/>
          <w:kern w:val="0"/>
          <w:sz w:val="32"/>
          <w:szCs w:val="32"/>
        </w:rPr>
        <w:t>万元，2010750事业运行44.31万元， 2080505机关事业单位基本养老保险缴费支出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12.85</w:t>
      </w:r>
      <w:r w:rsidR="0081247A" w:rsidRPr="0027338D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  <w:r w:rsidR="0081247A" w:rsidRPr="002427FF">
        <w:rPr>
          <w:rFonts w:ascii="仿宋_GB2312" w:eastAsia="仿宋_GB2312" w:hAnsi="宋体"/>
          <w:kern w:val="0"/>
          <w:sz w:val="32"/>
          <w:szCs w:val="32"/>
        </w:rPr>
        <w:t xml:space="preserve"> </w:t>
      </w:r>
    </w:p>
    <w:p w:rsidR="008D110D" w:rsidRPr="002427FF" w:rsidRDefault="008D110D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主要用于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t>发放按照国家政策执行属地标准的工资项目，如规范津贴补贴、乡镇工作补贴、奖励性补贴、改革性补贴等，上述工资项目涉及的养老保险缴费、医疗保险缴费、住房公积金等单位按照规定缴存部分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五、关于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一般公共预算当年拨款情况说明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B367FC" w:rsidRPr="002427FF" w:rsidRDefault="00B367FC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一般公共预算拨款基本支出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128.05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万元，比上年执行数增加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128.05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 xml:space="preserve">万元万元。主要原因一是国地税征管体制改革，经费保障模式改变。  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B367FC" w:rsidRPr="002427FF" w:rsidRDefault="00B367FC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1.一般公共服务（类）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115.2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万元，占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90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%。其中2010701行政运行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70.89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万元，2010750事业运行44.31万元。</w:t>
      </w:r>
    </w:p>
    <w:p w:rsidR="00B367FC" w:rsidRPr="002427FF" w:rsidRDefault="00B367FC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2. 社会保障与就业支出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12.85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万元，占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10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％。其中2080505机关事业单位基本养老保险缴费支出</w:t>
      </w:r>
      <w:r w:rsidR="0081247A">
        <w:rPr>
          <w:rFonts w:ascii="仿宋_GB2312" w:eastAsia="仿宋_GB2312" w:hAnsi="宋体" w:hint="eastAsia"/>
          <w:kern w:val="0"/>
          <w:sz w:val="32"/>
          <w:szCs w:val="32"/>
        </w:rPr>
        <w:t>12.85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</w:t>
      </w:r>
      <w:r w:rsidR="002427FF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07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（款）行政运行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02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70.89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70.89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，主要原因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81247A" w:rsidRPr="002427FF">
        <w:rPr>
          <w:rFonts w:ascii="仿宋_GB2312" w:eastAsia="仿宋_GB2312" w:hAnsi="宋体" w:hint="eastAsia"/>
          <w:kern w:val="0"/>
          <w:sz w:val="32"/>
          <w:szCs w:val="32"/>
        </w:rPr>
        <w:t>国地税征管体制改革，经费保障模式改变。</w:t>
      </w:r>
    </w:p>
    <w:p w:rsidR="00D175B3" w:rsidRDefault="00B367FC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 w:rsidR="00D175B3" w:rsidRPr="00D175B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07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="00D175B3" w:rsidRPr="00B367FC">
        <w:rPr>
          <w:rFonts w:ascii="仿宋" w:eastAsia="仿宋" w:hAnsi="仿宋" w:hint="eastAsia"/>
          <w:sz w:val="32"/>
          <w:szCs w:val="32"/>
        </w:rPr>
        <w:t>事业运行</w:t>
      </w:r>
      <w:r w:rsidR="00D175B3">
        <w:rPr>
          <w:rFonts w:ascii="仿宋" w:eastAsia="仿宋" w:hAnsi="仿宋" w:hint="eastAsia"/>
          <w:sz w:val="32"/>
          <w:szCs w:val="32"/>
        </w:rPr>
        <w:t>50（项）：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D175B3">
        <w:rPr>
          <w:rFonts w:ascii="仿宋" w:eastAsia="仿宋" w:hAnsi="仿宋" w:hint="eastAsia"/>
          <w:sz w:val="32"/>
          <w:szCs w:val="32"/>
        </w:rPr>
        <w:t>44.31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增加12.85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增长100</w:t>
      </w:r>
      <w:r w:rsidR="0081247A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。主要原因</w:t>
      </w:r>
      <w:r w:rsidR="007C12AD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81247A" w:rsidRPr="002427FF">
        <w:rPr>
          <w:rFonts w:ascii="仿宋_GB2312" w:eastAsia="仿宋_GB2312" w:hAnsi="宋体" w:hint="eastAsia"/>
          <w:kern w:val="0"/>
          <w:sz w:val="32"/>
          <w:szCs w:val="32"/>
        </w:rPr>
        <w:t>国地税征管体制改革，经费保障模式改变。</w:t>
      </w:r>
    </w:p>
    <w:p w:rsidR="009A4351" w:rsidRDefault="007C12AD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9A4351"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 w:rsidR="009A4351"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 w:rsidR="009A4351" w:rsidRPr="00CB67B7">
        <w:rPr>
          <w:rFonts w:ascii="仿宋_GB2312" w:eastAsia="仿宋_GB2312" w:hAnsi="宋体" w:cs="宋体"/>
          <w:kern w:val="0"/>
          <w:sz w:val="32"/>
          <w:szCs w:val="32"/>
        </w:rPr>
        <w:t>（类）财政事务</w:t>
      </w:r>
      <w:r w:rsidR="009A4351"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 w:rsidR="009A4351"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机关事业单位基本养老保险缴费支出05（项）：2019年预算数为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12.85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增加12.85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81247A">
        <w:rPr>
          <w:rFonts w:ascii="仿宋_GB2312" w:eastAsia="仿宋_GB2312" w:hAnsi="宋体" w:cs="宋体" w:hint="eastAsia"/>
          <w:kern w:val="0"/>
          <w:sz w:val="32"/>
          <w:szCs w:val="32"/>
        </w:rPr>
        <w:t>增长100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％。主要原因是</w:t>
      </w:r>
      <w:r w:rsidR="00EA128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自治区财政经费保障范围变化。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六、关于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一般公共预算基本支出情况说明</w:t>
      </w:r>
    </w:p>
    <w:p w:rsidR="00EA1288" w:rsidRPr="00CB67B7" w:rsidRDefault="00EA1288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一般公共预算基本支出</w:t>
      </w:r>
      <w:r w:rsidR="00BD7044">
        <w:rPr>
          <w:rFonts w:ascii="仿宋_GB2312" w:eastAsia="仿宋_GB2312" w:hAnsi="宋体" w:cs="宋体" w:hint="eastAsia"/>
          <w:kern w:val="0"/>
          <w:sz w:val="32"/>
          <w:szCs w:val="32"/>
        </w:rPr>
        <w:t>128.05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 其中：</w:t>
      </w:r>
    </w:p>
    <w:p w:rsidR="00EA1288" w:rsidRPr="00CB67B7" w:rsidRDefault="00EA1288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 w:rsidR="00BD7044">
        <w:rPr>
          <w:rFonts w:ascii="仿宋_GB2312" w:eastAsia="仿宋_GB2312" w:hAnsi="宋体" w:cs="宋体" w:hint="eastAsia"/>
          <w:kern w:val="0"/>
          <w:sz w:val="32"/>
          <w:szCs w:val="32"/>
        </w:rPr>
        <w:t>115.20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规范性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 w:rsidR="00EA1288" w:rsidRPr="00CB67B7" w:rsidRDefault="00EA1288" w:rsidP="0059735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BD7044">
        <w:rPr>
          <w:rFonts w:ascii="仿宋_GB2312" w:eastAsia="仿宋_GB2312" w:hAnsi="宋体" w:cs="宋体" w:hint="eastAsia"/>
          <w:kern w:val="0"/>
          <w:sz w:val="32"/>
          <w:szCs w:val="32"/>
        </w:rPr>
        <w:t>12.85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8E0D54">
        <w:rPr>
          <w:rFonts w:ascii="仿宋_GB2312" w:eastAsia="仿宋_GB2312" w:hAnsi="宋体" w:cs="宋体" w:hint="eastAsia"/>
          <w:kern w:val="0"/>
          <w:sz w:val="32"/>
          <w:szCs w:val="32"/>
        </w:rPr>
        <w:t>是职工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取暖</w:t>
      </w:r>
      <w:r w:rsidR="008E0D54">
        <w:rPr>
          <w:rFonts w:ascii="仿宋_GB2312" w:eastAsia="仿宋_GB2312" w:hAnsi="宋体" w:cs="宋体" w:hint="eastAsia"/>
          <w:kern w:val="0"/>
          <w:sz w:val="32"/>
          <w:szCs w:val="32"/>
        </w:rPr>
        <w:t>补助</w:t>
      </w:r>
      <w:r w:rsidR="0027338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lastRenderedPageBreak/>
        <w:t>七、关于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项目支出情况说明</w:t>
      </w:r>
    </w:p>
    <w:p w:rsidR="008E0D54" w:rsidRPr="008E0D54" w:rsidRDefault="008E0D54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未安排项目支出，项目支出情况表为空表。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八、关于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一般公共预算“三公”经费预算情况说明</w:t>
      </w:r>
    </w:p>
    <w:p w:rsidR="008E0D54" w:rsidRPr="00CB67B7" w:rsidRDefault="008E0D54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未安排“三公”经费预算，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</w:t>
      </w:r>
      <w:r>
        <w:rPr>
          <w:rFonts w:ascii="仿宋_GB2312" w:eastAsia="仿宋_GB2312" w:hAnsi="宋体" w:hint="eastAsia"/>
          <w:kern w:val="0"/>
          <w:sz w:val="32"/>
          <w:szCs w:val="32"/>
        </w:rPr>
        <w:t>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九、关于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新疆维吾尔自治区</w:t>
      </w:r>
      <w:r w:rsidR="00F93B45">
        <w:rPr>
          <w:rFonts w:ascii="黑体" w:eastAsia="黑体" w:hAnsi="黑体" w:hint="eastAsia"/>
          <w:kern w:val="0"/>
          <w:sz w:val="32"/>
          <w:szCs w:val="32"/>
        </w:rPr>
        <w:t>税务干部学校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政府性基金预算拨款情况说明</w:t>
      </w:r>
    </w:p>
    <w:p w:rsidR="008E0D54" w:rsidRPr="00CB67B7" w:rsidRDefault="008E0D5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没有使用政府性基金预算拨款安排的支出，政府性基金预算支出情况表为空表。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十、其他重要事项的情况说明</w:t>
      </w:r>
    </w:p>
    <w:p w:rsidR="00BD7044" w:rsidRPr="00CB67B7" w:rsidRDefault="00C650B4" w:rsidP="00BD7044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</w:t>
      </w:r>
      <w:r w:rsidR="00BD7044"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政府采购情况</w:t>
      </w:r>
    </w:p>
    <w:p w:rsidR="00C650B4" w:rsidRPr="00C650B4" w:rsidRDefault="00BD7044" w:rsidP="00BD7044"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650B4">
        <w:rPr>
          <w:rFonts w:ascii="仿宋_GB2312" w:eastAsia="仿宋_GB2312" w:hAnsi="宋体" w:hint="eastAsia"/>
          <w:kern w:val="0"/>
          <w:sz w:val="32"/>
          <w:szCs w:val="32"/>
        </w:rPr>
        <w:t>2019年，未安排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>
        <w:rPr>
          <w:rFonts w:ascii="仿宋_GB2312" w:eastAsia="仿宋_GB2312" w:hAnsi="宋体" w:hint="eastAsia"/>
          <w:kern w:val="0"/>
          <w:sz w:val="32"/>
          <w:szCs w:val="32"/>
        </w:rPr>
        <w:t>税务干部学校政府采购预算。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（二）预算绩效情况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未安排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新疆维吾尔自治区</w:t>
      </w:r>
      <w:r w:rsidR="00F93B45">
        <w:rPr>
          <w:rFonts w:ascii="仿宋_GB2312" w:eastAsia="仿宋_GB2312" w:hAnsi="宋体" w:hint="eastAsia"/>
          <w:kern w:val="0"/>
          <w:sz w:val="32"/>
          <w:szCs w:val="32"/>
        </w:rPr>
        <w:t>税务干部学校</w:t>
      </w:r>
      <w:r>
        <w:rPr>
          <w:rFonts w:ascii="仿宋_GB2312" w:eastAsia="仿宋_GB2312" w:hAnsi="宋体" w:hint="eastAsia"/>
          <w:kern w:val="0"/>
          <w:sz w:val="32"/>
          <w:szCs w:val="32"/>
        </w:rPr>
        <w:t>项目支出预算。</w:t>
      </w:r>
    </w:p>
    <w:p w:rsidR="002427FF" w:rsidRDefault="002427FF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301A77" w:rsidRPr="002427FF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>第四部分  名词解释</w:t>
      </w:r>
    </w:p>
    <w:p w:rsidR="00C650B4" w:rsidRPr="00CB67B7" w:rsidRDefault="00C650B4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指由一般公共预算安排的财政拨款数。</w:t>
      </w:r>
    </w:p>
    <w:p w:rsidR="00C650B4" w:rsidRPr="00CB67B7" w:rsidRDefault="00C650B4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lastRenderedPageBreak/>
        <w:t>二、一般公共预算：</w:t>
      </w:r>
      <w:r w:rsidR="00753E51">
        <w:rPr>
          <w:rFonts w:ascii="仿宋_GB2312" w:eastAsia="仿宋_GB2312" w:hint="eastAsia"/>
          <w:sz w:val="32"/>
          <w:szCs w:val="32"/>
        </w:rPr>
        <w:t>指</w:t>
      </w:r>
      <w:r w:rsidRPr="00CB67B7">
        <w:rPr>
          <w:rFonts w:ascii="仿宋_GB2312" w:eastAsia="仿宋_GB2312" w:hint="eastAsia"/>
          <w:sz w:val="32"/>
          <w:szCs w:val="32"/>
        </w:rPr>
        <w:t>公共财政拨款资金。</w:t>
      </w:r>
    </w:p>
    <w:p w:rsidR="00C650B4" w:rsidRDefault="00753E51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650B4" w:rsidRPr="00305D05">
        <w:rPr>
          <w:rFonts w:ascii="黑体" w:eastAsia="黑体" w:hAnsi="黑体" w:hint="eastAsia"/>
          <w:sz w:val="32"/>
          <w:szCs w:val="32"/>
        </w:rPr>
        <w:t>、基本支出：</w:t>
      </w:r>
      <w:r w:rsidR="00C650B4"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2427FF" w:rsidRDefault="002427FF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:rsidR="002427FF" w:rsidRDefault="002427FF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:rsidR="002427FF" w:rsidRDefault="002427FF" w:rsidP="002427FF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新疆维吾尔自治区</w:t>
      </w:r>
      <w:r w:rsidR="00BD7044">
        <w:rPr>
          <w:rFonts w:ascii="仿宋_GB2312" w:eastAsia="仿宋_GB2312" w:hint="eastAsia"/>
          <w:sz w:val="32"/>
          <w:szCs w:val="32"/>
        </w:rPr>
        <w:t>税务干部学校</w:t>
      </w:r>
    </w:p>
    <w:p w:rsidR="002427FF" w:rsidRPr="00CB67B7" w:rsidRDefault="002427FF" w:rsidP="002427FF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BD704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月2</w:t>
      </w:r>
      <w:r w:rsidR="00BD704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427FF" w:rsidRPr="00CB67B7" w:rsidSect="00F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59" w:rsidRDefault="00545A59" w:rsidP="008C3038">
      <w:r>
        <w:separator/>
      </w:r>
    </w:p>
  </w:endnote>
  <w:endnote w:type="continuationSeparator" w:id="1">
    <w:p w:rsidR="00545A59" w:rsidRDefault="00545A59" w:rsidP="008C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59" w:rsidRDefault="00545A59" w:rsidP="008C3038">
      <w:r>
        <w:separator/>
      </w:r>
    </w:p>
  </w:footnote>
  <w:footnote w:type="continuationSeparator" w:id="1">
    <w:p w:rsidR="00545A59" w:rsidRDefault="00545A59" w:rsidP="008C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30D196C"/>
    <w:multiLevelType w:val="hybridMultilevel"/>
    <w:tmpl w:val="3B42AB62"/>
    <w:lvl w:ilvl="0" w:tplc="1D628C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A77"/>
    <w:rsid w:val="00003E8F"/>
    <w:rsid w:val="000901AD"/>
    <w:rsid w:val="00160545"/>
    <w:rsid w:val="001919BC"/>
    <w:rsid w:val="001C790D"/>
    <w:rsid w:val="001F1D6C"/>
    <w:rsid w:val="00202563"/>
    <w:rsid w:val="00230DB4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81C30"/>
    <w:rsid w:val="004A62A8"/>
    <w:rsid w:val="00545A59"/>
    <w:rsid w:val="0059735A"/>
    <w:rsid w:val="005B1030"/>
    <w:rsid w:val="006017D1"/>
    <w:rsid w:val="00753E51"/>
    <w:rsid w:val="007C12AD"/>
    <w:rsid w:val="007D571B"/>
    <w:rsid w:val="0081247A"/>
    <w:rsid w:val="00866162"/>
    <w:rsid w:val="008666F6"/>
    <w:rsid w:val="00870819"/>
    <w:rsid w:val="00894CFA"/>
    <w:rsid w:val="008B2FA1"/>
    <w:rsid w:val="008C3038"/>
    <w:rsid w:val="008D110D"/>
    <w:rsid w:val="008E0D54"/>
    <w:rsid w:val="00971F01"/>
    <w:rsid w:val="009A4351"/>
    <w:rsid w:val="009F0586"/>
    <w:rsid w:val="00A01061"/>
    <w:rsid w:val="00A238C8"/>
    <w:rsid w:val="00B31207"/>
    <w:rsid w:val="00B367FC"/>
    <w:rsid w:val="00B565C7"/>
    <w:rsid w:val="00BD7044"/>
    <w:rsid w:val="00BE7C40"/>
    <w:rsid w:val="00C321DD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DD08A0"/>
    <w:rsid w:val="00DD36B9"/>
    <w:rsid w:val="00E03CB3"/>
    <w:rsid w:val="00E066A9"/>
    <w:rsid w:val="00E22877"/>
    <w:rsid w:val="00EA1288"/>
    <w:rsid w:val="00EC63EF"/>
    <w:rsid w:val="00F02945"/>
    <w:rsid w:val="00F06ABF"/>
    <w:rsid w:val="00F63895"/>
    <w:rsid w:val="00F7774A"/>
    <w:rsid w:val="00F93B45"/>
    <w:rsid w:val="00FC3AE6"/>
    <w:rsid w:val="00FE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1A77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1A7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301A77"/>
  </w:style>
  <w:style w:type="paragraph" w:customStyle="1" w:styleId="f1">
    <w:name w:val="f1"/>
    <w:basedOn w:val="a"/>
    <w:rsid w:val="00301A77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301A77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301A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30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01A7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301A77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301A77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301A77"/>
  </w:style>
  <w:style w:type="paragraph" w:styleId="a7">
    <w:name w:val="List Paragraph"/>
    <w:basedOn w:val="a"/>
    <w:uiPriority w:val="34"/>
    <w:qFormat/>
    <w:rsid w:val="00301A77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301A77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301A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301A77"/>
  </w:style>
  <w:style w:type="character" w:styleId="a9">
    <w:name w:val="Strong"/>
    <w:qFormat/>
    <w:rsid w:val="00301A77"/>
    <w:rPr>
      <w:rFonts w:cs="Times New Roman"/>
      <w:b/>
      <w:bCs/>
    </w:rPr>
  </w:style>
  <w:style w:type="table" w:styleId="aa">
    <w:name w:val="Table Grid"/>
    <w:basedOn w:val="a1"/>
    <w:uiPriority w:val="59"/>
    <w:rsid w:val="00301A7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301A77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301A77"/>
    <w:rPr>
      <w:rFonts w:ascii="Calibri" w:hAnsi="Calibri" w:cs="黑体"/>
      <w:sz w:val="24"/>
    </w:rPr>
  </w:style>
  <w:style w:type="paragraph" w:customStyle="1" w:styleId="Default">
    <w:name w:val="Default"/>
    <w:rsid w:val="00FC3AE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7C4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E7C40"/>
    <w:rPr>
      <w:color w:val="800080"/>
      <w:u w:val="single"/>
    </w:rPr>
  </w:style>
  <w:style w:type="paragraph" w:customStyle="1" w:styleId="font0">
    <w:name w:val="font0"/>
    <w:basedOn w:val="a"/>
    <w:rsid w:val="00BE7C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BE7C4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BE7C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BE7C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70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464B-3576-4CD2-A18C-C7FC6C8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1078</Words>
  <Characters>6151</Characters>
  <Application>Microsoft Office Word</Application>
  <DocSecurity>0</DocSecurity>
  <Lines>51</Lines>
  <Paragraphs>14</Paragraphs>
  <ScaleCrop>false</ScaleCrop>
  <Company>微软中国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唐琛</dc:creator>
  <cp:lastModifiedBy>顾珊珊</cp:lastModifiedBy>
  <cp:revision>9</cp:revision>
  <cp:lastPrinted>2019-03-22T07:52:00Z</cp:lastPrinted>
  <dcterms:created xsi:type="dcterms:W3CDTF">2019-03-22T03:37:00Z</dcterms:created>
  <dcterms:modified xsi:type="dcterms:W3CDTF">2019-03-22T08:16:00Z</dcterms:modified>
</cp:coreProperties>
</file>