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jc w:val="both"/>
        <w:textAlignment w:val="auto"/>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6"/>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6"/>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6"/>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 w:eastAsia="仿宋_GB2312"/>
          <w:b w:val="0"/>
          <w:bCs/>
          <w:color w:val="auto"/>
          <w:spacing w:val="-20"/>
          <w:kern w:val="10"/>
          <w:sz w:val="32"/>
          <w:szCs w:val="32"/>
          <w:highlight w:val="none"/>
          <w:u w:val="none"/>
          <w:lang w:val="en-US" w:eastAsia="zh-CN"/>
        </w:rPr>
      </w:pPr>
      <w:r>
        <w:rPr>
          <w:rFonts w:ascii="仿宋_GB2312" w:hAnsi="仿宋_GB2312" w:eastAsia="仿宋_GB2312" w:cs="仿宋_GB2312"/>
          <w:sz w:val="32"/>
          <w:u w:val="none"/>
        </w:rPr>
        <w:t>乌税稽税通〔2025〕0</w:t>
      </w:r>
      <w:r>
        <w:rPr>
          <w:rFonts w:hint="eastAsia" w:ascii="仿宋_GB2312" w:hAnsi="仿宋_GB2312" w:eastAsia="仿宋_GB2312" w:cs="仿宋_GB2312"/>
          <w:sz w:val="32"/>
          <w:u w:val="none"/>
          <w:lang w:val="en-US" w:eastAsia="zh-CN"/>
        </w:rPr>
        <w:t>5</w:t>
      </w:r>
      <w:r>
        <w:rPr>
          <w:rFonts w:ascii="仿宋_GB2312" w:hAnsi="仿宋_GB2312" w:eastAsia="仿宋_GB2312" w:cs="仿宋_GB2312"/>
          <w:sz w:val="32"/>
          <w:u w:val="none"/>
        </w:rPr>
        <w:t>16号</w:t>
      </w:r>
    </w:p>
    <w:p>
      <w:pPr>
        <w:pStyle w:val="6"/>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000000" w:themeColor="text1"/>
          <w:spacing w:val="-20"/>
          <w:kern w:val="10"/>
          <w:sz w:val="10"/>
          <w:szCs w:val="10"/>
          <w:highlight w:val="none"/>
          <w:u w:val="none"/>
          <w:lang w:val="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69215</wp:posOffset>
                </wp:positionV>
                <wp:extent cx="5643880" cy="6350"/>
                <wp:effectExtent l="0" t="8255" r="7620" b="2349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12.4pt;margin-top:5.45pt;height:0.5pt;width:444.4pt;z-index:251659264;mso-width-relative:page;mso-height-relative:page;" filled="f" stroked="t" coordsize="21600,21600" o:gfxdata="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n2DbWAAAACQEAAA8AAAAAAAAAAQAgAAAAIgAAAGRycy9k&#10;b3ducmV2LnhtbFBLAQIUABQAAAAIAIdO4kAkd/kmBAIAANoDAAAOAAAAAAAAAAEAIAAAACUBAABk&#10;cnMvZTJvRG9jLnhtbFBLBQYAAAAABgAGAFkBAACbBQAAAAA=&#10;">
                <v:fill on="f" focussize="0,0"/>
                <v:stroke weight="3.25pt" color="#000000" joinstyle="round"/>
                <v:imagedata o:title=""/>
                <o:lock v:ext="edit" aspectratio="f"/>
              </v:shape>
            </w:pict>
          </mc:Fallback>
        </mc:AlternateContent>
      </w:r>
    </w:p>
    <w:p>
      <w:pPr>
        <w:keepNext w:val="0"/>
        <w:keepLines w:val="0"/>
        <w:pageBreakBefore w:val="0"/>
        <w:widowControl/>
        <w:suppressLineNumbers w:val="0"/>
        <w:kinsoku/>
        <w:wordWrap w:val="0"/>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pPr>
      <w:r>
        <w:rPr>
          <w:rFonts w:hint="eastAsia" w:ascii="仿宋_GB2312" w:hAnsi="仿宋" w:eastAsia="仿宋_GB2312"/>
          <w:sz w:val="32"/>
          <w:szCs w:val="32"/>
          <w:lang w:eastAsia="zh-CN"/>
        </w:rPr>
        <w:t>新疆梓铭汽车服务有限公司</w:t>
      </w:r>
      <w:r>
        <w:rPr>
          <w:rFonts w:ascii="仿宋_GB2312" w:hAnsi="仿宋_GB2312" w:eastAsia="仿宋_GB2312" w:cs="仿宋_GB2312"/>
          <w:sz w:val="32"/>
          <w:u w:val="none"/>
        </w:rPr>
        <w:t>（</w:t>
      </w:r>
      <w:r>
        <w:rPr>
          <w:rFonts w:hint="eastAsia" w:ascii="仿宋_GB2312" w:hAnsi="仿宋" w:eastAsia="仿宋_GB2312"/>
          <w:sz w:val="32"/>
          <w:szCs w:val="32"/>
          <w:lang w:eastAsia="zh-CN"/>
        </w:rPr>
        <w:t>91650102MAD741EQ30</w:t>
      </w:r>
      <w:r>
        <w:rPr>
          <w:rFonts w:ascii="仿宋_GB2312" w:hAnsi="仿宋_GB2312" w:eastAsia="仿宋_GB2312" w:cs="仿宋_GB2312"/>
          <w:sz w:val="32"/>
          <w:u w:val="none"/>
        </w:rPr>
        <w:t>）：</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事由</w:t>
      </w:r>
      <w:r>
        <w:rPr>
          <w:rFonts w:hint="eastAsia" w:ascii="仿宋" w:hAnsi="仿宋" w:eastAsia="仿宋" w:cs="仿宋"/>
          <w:color w:val="auto"/>
          <w:sz w:val="32"/>
          <w:szCs w:val="32"/>
          <w:highlight w:val="none"/>
          <w:u w:val="none"/>
          <w:lang w:eastAsia="zh-CN"/>
        </w:rPr>
        <w:t>:将你单位确定为重大税收违法失信主体。</w:t>
      </w: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依据</w:t>
      </w:r>
      <w:r>
        <w:rPr>
          <w:rFonts w:hint="eastAsia" w:ascii="仿宋" w:hAnsi="仿宋" w:eastAsia="仿宋" w:cs="仿宋"/>
          <w:color w:val="auto"/>
          <w:sz w:val="32"/>
          <w:szCs w:val="32"/>
          <w:highlight w:val="none"/>
          <w:u w:val="none"/>
          <w:lang w:eastAsia="zh-CN"/>
        </w:rPr>
        <w:t>:根据《重大税收违法失信主体信息公布管理办法》（国家税务总局令第54号）第</w:t>
      </w:r>
      <w:r>
        <w:rPr>
          <w:rFonts w:hint="eastAsia" w:ascii="仿宋" w:hAnsi="仿宋" w:eastAsia="仿宋" w:cs="仿宋"/>
          <w:color w:val="auto"/>
          <w:sz w:val="32"/>
          <w:szCs w:val="32"/>
          <w:highlight w:val="none"/>
          <w:u w:val="none"/>
          <w:lang w:val="en-US" w:eastAsia="zh-CN"/>
        </w:rPr>
        <w:t>十</w:t>
      </w:r>
      <w:r>
        <w:rPr>
          <w:rFonts w:hint="eastAsia" w:ascii="仿宋" w:hAnsi="仿宋" w:eastAsia="仿宋" w:cs="仿宋"/>
          <w:color w:val="auto"/>
          <w:sz w:val="32"/>
          <w:szCs w:val="32"/>
          <w:highlight w:val="none"/>
          <w:u w:val="none"/>
          <w:lang w:eastAsia="zh-CN"/>
        </w:rPr>
        <w:t>条等规定。</w:t>
      </w:r>
    </w:p>
    <w:p>
      <w:pPr>
        <w:keepNext w:val="0"/>
        <w:keepLines w:val="0"/>
        <w:pageBreakBefore w:val="0"/>
        <w:widowControl/>
        <w:kinsoku/>
        <w:wordWrap w:val="0"/>
        <w:overflowPunct/>
        <w:topLinePunct w:val="0"/>
        <w:autoSpaceDE/>
        <w:autoSpaceDN/>
        <w:bidi w:val="0"/>
        <w:adjustRightInd/>
        <w:snapToGrid/>
        <w:ind w:firstLine="600" w:firstLineChars="200"/>
        <w:jc w:val="left"/>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ind w:firstLine="600" w:firstLineChars="200"/>
        <w:jc w:val="left"/>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你单位如对本通知书不服，可以自收到本通知书之日起六十日内依法向乌鲁木齐市税务局申请行政复议，或者自收到本通知书之日起六个月内依法向人民法院起诉。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ind w:firstLine="600" w:firstLineChars="200"/>
        <w:jc w:val="left"/>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附件:公布的失信信息</w:t>
      </w:r>
    </w:p>
    <w:p>
      <w:pPr>
        <w:keepNext w:val="0"/>
        <w:keepLines w:val="0"/>
        <w:pageBreakBefore w:val="0"/>
        <w:widowControl/>
        <w:kinsoku/>
        <w:wordWrap w:val="0"/>
        <w:overflowPunct/>
        <w:topLinePunct w:val="0"/>
        <w:autoSpaceDE/>
        <w:autoSpaceDN/>
        <w:bidi w:val="0"/>
        <w:adjustRightInd/>
        <w:snapToGrid/>
        <w:ind w:firstLine="3000" w:firstLineChars="1000"/>
        <w:jc w:val="left"/>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国家税务总局乌鲁木齐市税务局稽查局</w:t>
      </w:r>
    </w:p>
    <w:p>
      <w:pPr>
        <w:keepNext w:val="0"/>
        <w:keepLines w:val="0"/>
        <w:pageBreakBefore w:val="0"/>
        <w:widowControl/>
        <w:kinsoku/>
        <w:wordWrap w:val="0"/>
        <w:overflowPunct/>
        <w:topLinePunct w:val="0"/>
        <w:autoSpaceDE/>
        <w:autoSpaceDN/>
        <w:bidi w:val="0"/>
        <w:adjustRightInd/>
        <w:snapToGrid/>
        <w:spacing w:afterAutospacing="0"/>
        <w:ind w:firstLine="640" w:firstLineChars="200"/>
        <w:jc w:val="left"/>
        <w:textAlignment w:val="auto"/>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 xml:space="preserve"> </w:t>
      </w:r>
      <w:r>
        <w:rPr>
          <w:rFonts w:hint="eastAsia" w:ascii="仿宋_GB2312" w:hAnsi="宋体" w:eastAsia="仿宋_GB2312"/>
          <w:color w:val="auto"/>
          <w:sz w:val="32"/>
          <w:szCs w:val="32"/>
          <w:highlight w:val="none"/>
          <w:u w:val="none"/>
          <w:lang w:val="en-US" w:eastAsia="zh-CN"/>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宋体" w:eastAsia="仿宋_GB2312"/>
          <w:color w:val="0070C0"/>
          <w:sz w:val="32"/>
          <w:szCs w:val="32"/>
          <w:highlight w:val="none"/>
          <w:u w:val="none"/>
          <w:lang w:val="en-US" w:eastAsia="zh-CN"/>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 xml:space="preserve"> 2025</w:t>
      </w:r>
      <w:r>
        <w:rPr>
          <w:rFonts w:hint="eastAsia" w:ascii="仿宋_GB2312" w:hAnsi="宋体" w:eastAsia="仿宋_GB2312"/>
          <w:color w:val="auto"/>
          <w:sz w:val="32"/>
          <w:szCs w:val="32"/>
          <w:highlight w:val="none"/>
          <w:u w:val="none"/>
        </w:rPr>
        <w:t>年</w:t>
      </w:r>
      <w:r>
        <w:rPr>
          <w:rFonts w:hint="eastAsia" w:ascii="仿宋_GB2312" w:hAnsi="宋体" w:eastAsia="仿宋_GB2312"/>
          <w:color w:val="auto"/>
          <w:sz w:val="32"/>
          <w:szCs w:val="32"/>
          <w:highlight w:val="none"/>
          <w:u w:val="none"/>
          <w:lang w:val="en-US" w:eastAsia="zh-CN"/>
        </w:rPr>
        <w:t>7</w:t>
      </w:r>
      <w:r>
        <w:rPr>
          <w:rFonts w:hint="eastAsia" w:ascii="仿宋_GB2312" w:hAnsi="宋体" w:eastAsia="仿宋_GB2312"/>
          <w:color w:val="auto"/>
          <w:sz w:val="32"/>
          <w:szCs w:val="32"/>
          <w:highlight w:val="none"/>
          <w:u w:val="none"/>
        </w:rPr>
        <w:t>月</w:t>
      </w:r>
      <w:r>
        <w:rPr>
          <w:rFonts w:hint="eastAsia" w:ascii="仿宋_GB2312" w:hAnsi="宋体" w:eastAsia="仿宋_GB2312"/>
          <w:color w:val="auto"/>
          <w:sz w:val="32"/>
          <w:szCs w:val="32"/>
          <w:highlight w:val="none"/>
          <w:u w:val="none"/>
          <w:lang w:val="en-US" w:eastAsia="zh-CN"/>
        </w:rPr>
        <w:t>1</w:t>
      </w:r>
      <w:r>
        <w:rPr>
          <w:rFonts w:hint="eastAsia" w:ascii="仿宋_GB2312" w:hAnsi="宋体" w:eastAsia="仿宋_GB2312"/>
          <w:color w:val="auto"/>
          <w:sz w:val="32"/>
          <w:szCs w:val="32"/>
          <w:highlight w:val="none"/>
          <w:u w:val="none"/>
        </w:rPr>
        <w:t>日</w:t>
      </w:r>
    </w:p>
    <w:p>
      <w:pPr>
        <w:numPr>
          <w:ilvl w:val="0"/>
          <w:numId w:val="0"/>
        </w:numPr>
        <w:tabs>
          <w:tab w:val="left" w:pos="1768"/>
        </w:tabs>
        <w:ind w:firstLine="3253" w:firstLineChars="900"/>
        <w:rPr>
          <w:rFonts w:ascii="仿宋" w:hAnsi="仿宋" w:eastAsia="仿宋" w:cs="仿宋"/>
          <w:b/>
          <w:bCs/>
          <w:color w:val="000000"/>
          <w:kern w:val="0"/>
          <w:sz w:val="36"/>
          <w:szCs w:val="36"/>
          <w:lang w:val="en-US" w:eastAsia="zh-CN" w:bidi="ar"/>
        </w:rPr>
      </w:pPr>
    </w:p>
    <w:p>
      <w:pPr>
        <w:numPr>
          <w:ilvl w:val="0"/>
          <w:numId w:val="0"/>
        </w:numPr>
        <w:tabs>
          <w:tab w:val="left" w:pos="1768"/>
        </w:tabs>
        <w:ind w:firstLine="3253" w:firstLineChars="900"/>
        <w:rPr>
          <w:rFonts w:ascii="仿宋" w:hAnsi="仿宋" w:eastAsia="仿宋" w:cs="仿宋"/>
          <w:b/>
          <w:bCs/>
          <w:color w:val="000000"/>
          <w:kern w:val="0"/>
          <w:sz w:val="36"/>
          <w:szCs w:val="36"/>
          <w:lang w:val="en-US" w:eastAsia="zh-CN" w:bidi="ar"/>
        </w:rPr>
      </w:pPr>
      <w:r>
        <w:rPr>
          <w:rFonts w:ascii="仿宋" w:hAnsi="仿宋" w:eastAsia="仿宋" w:cs="仿宋"/>
          <w:b/>
          <w:bCs/>
          <w:color w:val="000000"/>
          <w:kern w:val="0"/>
          <w:sz w:val="36"/>
          <w:szCs w:val="36"/>
          <w:lang w:val="en-US" w:eastAsia="zh-CN" w:bidi="ar"/>
        </w:rPr>
        <w:t xml:space="preserve">公布的失信信息 </w:t>
      </w:r>
    </w:p>
    <w:p>
      <w:pPr>
        <w:numPr>
          <w:ilvl w:val="0"/>
          <w:numId w:val="0"/>
        </w:numPr>
        <w:tabs>
          <w:tab w:val="left" w:pos="1768"/>
        </w:tabs>
        <w:ind w:firstLine="3253" w:firstLineChars="900"/>
        <w:rPr>
          <w:rFonts w:ascii="仿宋" w:hAnsi="仿宋" w:eastAsia="仿宋" w:cs="仿宋"/>
          <w:b/>
          <w:bCs/>
          <w:color w:val="000000"/>
          <w:kern w:val="0"/>
          <w:sz w:val="36"/>
          <w:szCs w:val="36"/>
          <w:lang w:val="en-US" w:eastAsia="zh-CN" w:bidi="ar"/>
        </w:rPr>
      </w:pPr>
    </w:p>
    <w:p>
      <w:pPr>
        <w:keepNext w:val="0"/>
        <w:keepLines w:val="0"/>
        <w:widowControl/>
        <w:suppressLineNumbers w:val="0"/>
        <w:jc w:val="left"/>
      </w:pPr>
      <w:r>
        <w:rPr>
          <w:rFonts w:hint="eastAsia" w:ascii="宋体" w:hAnsi="宋体" w:cs="宋体"/>
          <w:b/>
          <w:bCs/>
          <w:color w:val="000000"/>
          <w:kern w:val="0"/>
          <w:sz w:val="31"/>
          <w:szCs w:val="31"/>
          <w:lang w:val="en-US" w:eastAsia="zh-CN" w:bidi="ar"/>
        </w:rPr>
        <w:t>一</w:t>
      </w:r>
      <w:r>
        <w:rPr>
          <w:rFonts w:hint="eastAsia" w:ascii="宋体" w:hAnsi="宋体" w:eastAsia="宋体" w:cs="宋体"/>
          <w:b/>
          <w:bCs/>
          <w:color w:val="000000"/>
          <w:kern w:val="0"/>
          <w:sz w:val="31"/>
          <w:szCs w:val="31"/>
          <w:lang w:val="en-US" w:eastAsia="zh-CN" w:bidi="ar"/>
        </w:rPr>
        <w:t>、</w:t>
      </w:r>
      <w:r>
        <w:rPr>
          <w:rFonts w:hint="eastAsia" w:ascii="宋体" w:hAnsi="宋体" w:cs="宋体"/>
          <w:b/>
          <w:bCs/>
          <w:color w:val="000000"/>
          <w:kern w:val="0"/>
          <w:sz w:val="31"/>
          <w:szCs w:val="31"/>
          <w:lang w:val="en-US" w:eastAsia="zh-CN" w:bidi="ar"/>
        </w:rPr>
        <w:t>基本情况</w:t>
      </w:r>
      <w:r>
        <w:rPr>
          <w:rFonts w:hint="eastAsia" w:ascii="宋体" w:hAnsi="宋体" w:eastAsia="宋体" w:cs="宋体"/>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纳税人名称:</w:t>
      </w:r>
      <w:r>
        <w:rPr>
          <w:rFonts w:hint="eastAsia" w:ascii="仿宋_GB2312" w:hAnsi="仿宋" w:eastAsia="仿宋_GB2312"/>
          <w:sz w:val="32"/>
          <w:szCs w:val="32"/>
          <w:lang w:eastAsia="zh-CN"/>
        </w:rPr>
        <w:t>新疆梓铭汽车服务有限公司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统一社会信用代码（纳税人识别号）:</w:t>
      </w:r>
      <w:r>
        <w:rPr>
          <w:rFonts w:hint="eastAsia" w:ascii="仿宋_GB2312" w:hAnsi="仿宋" w:eastAsia="仿宋_GB2312"/>
          <w:sz w:val="32"/>
          <w:szCs w:val="32"/>
          <w:lang w:eastAsia="zh-CN"/>
        </w:rPr>
        <w:t>91650102MAD741EQ30</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eastAsia="zh-CN"/>
        </w:rPr>
      </w:pPr>
      <w:r>
        <w:rPr>
          <w:rFonts w:ascii="仿宋_GB2312" w:hAnsi="仿宋_GB2312" w:eastAsia="仿宋_GB2312" w:cs="仿宋_GB2312"/>
          <w:sz w:val="32"/>
          <w:u w:val="none"/>
        </w:rPr>
        <w:t>注册地址:</w:t>
      </w:r>
      <w:r>
        <w:rPr>
          <w:rFonts w:hint="eastAsia" w:ascii="仿宋_GB2312" w:hAnsi="仿宋" w:eastAsia="仿宋_GB2312"/>
          <w:sz w:val="32"/>
          <w:szCs w:val="32"/>
          <w:lang w:eastAsia="zh-CN"/>
        </w:rPr>
        <w:t>新疆乌鲁木齐市天山区光明路59号时代广场小区1栋17层A座17A室BD00910号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 w:eastAsia="仿宋_GB2312"/>
          <w:color w:val="0070C0"/>
          <w:sz w:val="24"/>
          <w:szCs w:val="24"/>
          <w:lang w:val="en-US" w:eastAsia="zh-CN"/>
        </w:rPr>
      </w:pPr>
      <w:r>
        <w:rPr>
          <w:rFonts w:ascii="仿宋_GB2312" w:hAnsi="仿宋_GB2312" w:eastAsia="仿宋_GB2312" w:cs="仿宋_GB2312"/>
          <w:sz w:val="32"/>
          <w:u w:val="none"/>
        </w:rPr>
        <w:t>法定代表人:</w:t>
      </w:r>
      <w:r>
        <w:rPr>
          <w:rFonts w:hint="eastAsia" w:ascii="仿宋_GB2312" w:hAnsi="仿宋" w:eastAsia="仿宋_GB2312"/>
          <w:sz w:val="32"/>
          <w:szCs w:val="32"/>
          <w:lang w:eastAsia="zh-CN"/>
        </w:rPr>
        <w:t>韦梓铭</w:t>
      </w:r>
      <w:r>
        <w:rPr>
          <w:rFonts w:ascii="仿宋_GB2312" w:hAnsi="仿宋_GB2312" w:eastAsia="仿宋_GB2312" w:cs="仿宋_GB2312"/>
          <w:sz w:val="32"/>
          <w:u w:val="none"/>
        </w:rPr>
        <w:t xml:space="preserve">     </w:t>
      </w:r>
      <w:r>
        <w:rPr>
          <w:rFonts w:hint="eastAsia" w:ascii="仿宋_GB2312" w:hAnsi="仿宋_GB2312" w:eastAsia="仿宋_GB2312" w:cs="仿宋_GB2312"/>
          <w:sz w:val="32"/>
          <w:u w:val="none"/>
          <w:lang w:val="en-US" w:eastAsia="zh-CN"/>
        </w:rPr>
        <w:t xml:space="preserve">   </w:t>
      </w:r>
      <w:r>
        <w:rPr>
          <w:rFonts w:ascii="仿宋_GB2312" w:hAnsi="仿宋_GB2312" w:eastAsia="仿宋_GB2312" w:cs="仿宋_GB2312"/>
          <w:sz w:val="32"/>
          <w:u w:val="none"/>
        </w:rPr>
        <w:t>性别：男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身份证号码:</w:t>
      </w:r>
      <w:r>
        <w:rPr>
          <w:rFonts w:hint="eastAsia" w:ascii="仿宋_GB2312" w:hAnsi="仿宋" w:eastAsia="仿宋_GB2312"/>
          <w:sz w:val="32"/>
          <w:szCs w:val="32"/>
          <w:lang w:eastAsia="zh-CN"/>
        </w:rPr>
        <w:t>120103</w:t>
      </w:r>
      <w:r>
        <w:rPr>
          <w:rFonts w:ascii="仿宋_GB2312" w:hAnsi="仿宋_GB2312" w:eastAsia="仿宋_GB2312" w:cs="仿宋_GB2312"/>
          <w:sz w:val="32"/>
          <w:u w:val="none"/>
        </w:rPr>
        <w:t>********</w:t>
      </w:r>
      <w:r>
        <w:rPr>
          <w:rFonts w:hint="eastAsia" w:ascii="仿宋_GB2312" w:hAnsi="仿宋" w:eastAsia="仿宋_GB2312"/>
          <w:sz w:val="32"/>
          <w:szCs w:val="32"/>
          <w:lang w:eastAsia="zh-CN"/>
        </w:rPr>
        <w:t>541X</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lang w:val="en-US"/>
        </w:rPr>
      </w:pPr>
      <w:r>
        <w:rPr>
          <w:rFonts w:hint="eastAsia" w:ascii="宋体" w:hAnsi="宋体" w:eastAsia="宋体" w:cs="宋体"/>
          <w:b/>
          <w:bCs/>
          <w:color w:val="000000"/>
          <w:kern w:val="0"/>
          <w:sz w:val="31"/>
          <w:szCs w:val="31"/>
          <w:lang w:val="en-US" w:eastAsia="zh-CN" w:bidi="ar"/>
        </w:rPr>
        <w:t xml:space="preserve">二、案件性质 </w:t>
      </w:r>
      <w:r>
        <w:rPr>
          <w:rFonts w:hint="eastAsia" w:ascii="宋体" w:hAnsi="宋体" w:cs="宋体"/>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走逃（失联）</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宋体" w:hAnsi="宋体" w:eastAsia="宋体" w:cs="宋体"/>
          <w:b/>
          <w:bCs/>
          <w:color w:val="000000"/>
          <w:kern w:val="0"/>
          <w:sz w:val="31"/>
          <w:szCs w:val="31"/>
          <w:lang w:val="en-US" w:eastAsia="zh-CN" w:bidi="ar"/>
        </w:rPr>
        <w:t xml:space="preserve">三、主要违法事实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四、相关法律依据及税务处理处罚情况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依照《中华人民共和国税收征收管理法》等相关法律法规的有关规定，对其处以罚款</w:t>
      </w:r>
      <w:r>
        <w:rPr>
          <w:rFonts w:hint="eastAsia" w:ascii="仿宋_GB2312" w:hAnsi="仿宋_GB2312" w:eastAsia="仿宋_GB2312" w:cs="仿宋_GB2312"/>
          <w:sz w:val="32"/>
          <w:u w:val="none"/>
          <w:lang w:val="en-US" w:eastAsia="zh-CN"/>
        </w:rPr>
        <w:t>44</w:t>
      </w:r>
      <w:r>
        <w:rPr>
          <w:rFonts w:ascii="仿宋_GB2312" w:hAnsi="仿宋_GB2312" w:eastAsia="仿宋_GB2312" w:cs="仿宋_GB2312"/>
          <w:sz w:val="32"/>
          <w:u w:val="none"/>
        </w:rPr>
        <w:t>.00万元的行政处罚。</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p>
    <w:p>
      <w:bookmarkStart w:id="0" w:name="_GoBack"/>
      <w:bookmarkEnd w:id="0"/>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779AC"/>
    <w:rsid w:val="148470C4"/>
    <w:rsid w:val="1ADD0EF1"/>
    <w:rsid w:val="291D5875"/>
    <w:rsid w:val="2E34595E"/>
    <w:rsid w:val="447C09A1"/>
    <w:rsid w:val="44F04620"/>
    <w:rsid w:val="48AE0D68"/>
    <w:rsid w:val="4B082560"/>
    <w:rsid w:val="5936072B"/>
    <w:rsid w:val="604974CC"/>
    <w:rsid w:val="6759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20"/>
    </w:rPr>
  </w:style>
  <w:style w:type="paragraph" w:customStyle="1" w:styleId="6">
    <w:name w:val="表单名称"/>
    <w:basedOn w:val="1"/>
    <w:qFormat/>
    <w:uiPriority w:val="0"/>
    <w:pPr>
      <w:widowControl/>
      <w:spacing w:line="360" w:lineRule="auto"/>
      <w:jc w:val="center"/>
    </w:pPr>
    <w:rPr>
      <w:rFonts w:ascii="宋体" w:hAnsi="宋体"/>
      <w:b/>
      <w:kern w:val="0"/>
      <w:sz w:val="28"/>
      <w:szCs w:val="28"/>
    </w:rPr>
  </w:style>
  <w:style w:type="character" w:customStyle="1" w:styleId="7">
    <w:name w:val="0文书名称"/>
    <w:basedOn w:val="5"/>
    <w:qFormat/>
    <w:uiPriority w:val="0"/>
    <w:rPr>
      <w:rFonts w:ascii="仿宋_GB2312" w:eastAsia="宋体"/>
      <w:b/>
      <w:sz w:val="52"/>
      <w:szCs w:val="24"/>
    </w:rPr>
  </w:style>
  <w:style w:type="character" w:customStyle="1" w:styleId="8">
    <w:name w:val="0文书表格"/>
    <w:basedOn w:val="5"/>
    <w:qFormat/>
    <w:uiPriority w:val="0"/>
    <w:rPr>
      <w:rFonts w:ascii="仿宋_GB2312"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宋瑞川</cp:lastModifiedBy>
  <cp:lastPrinted>2025-05-14T03:38:00Z</cp:lastPrinted>
  <dcterms:modified xsi:type="dcterms:W3CDTF">2025-07-17T02:03:09Z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