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sz w:val="32"/>
          <w:u w:val="none"/>
        </w:rPr>
        <w:t>乌税稽税通〔2025〕031</w:t>
      </w:r>
      <w:r>
        <w:rPr>
          <w:rFonts w:hint="eastAsia" w:ascii="仿宋_GB2312" w:hAnsi="仿宋_GB2312" w:eastAsia="仿宋_GB2312" w:cs="仿宋_GB2312"/>
          <w:sz w:val="32"/>
          <w:u w:val="none"/>
          <w:lang w:val="en-US" w:eastAsia="zh-CN"/>
        </w:rPr>
        <w:t>2</w:t>
      </w:r>
      <w:r>
        <w:rPr>
          <w:rFonts w:ascii="仿宋_GB2312" w:hAnsi="仿宋_GB2312" w:eastAsia="仿宋_GB2312" w:cs="仿宋_GB2312"/>
          <w:sz w:val="32"/>
          <w:u w:val="none"/>
        </w:rPr>
        <w:t>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auto"/>
          <w:spacing w:val="-20"/>
          <w:kern w:val="10"/>
          <w:sz w:val="10"/>
          <w:szCs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57150</wp:posOffset>
                </wp:positionV>
                <wp:extent cx="5643880" cy="6350"/>
                <wp:effectExtent l="0" t="8255" r="7620" b="2349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3.85pt;margin-top:4.5pt;height:0.5pt;width:444.4pt;z-index:251659264;mso-width-relative:page;mso-height-relative:page;" filled="f" stroked="t" coordsize="21600,21600" o:gfxdata="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bt1AAAAAcBAAAPAAAAAAAAAAEAIAAAACIAAABkcnMvZG93&#10;bnJldi54bWxQSwECFAAUAAAACACHTuJAvsGsWAQCAADaAwAADgAAAAAAAAABACAAAAAjAQAAZHJz&#10;L2Uyb0RvYy54bWxQSwUGAAAAAAYABgBZAQAAmQUAAAAA&#10;">
                <v:fill on="f" focussize="0,0"/>
                <v:stroke weight="3.25pt" color="#000000" joinstyle="round"/>
                <v:imagedata o:title=""/>
                <o:lock v:ext="edit" aspectratio="f"/>
              </v:shape>
            </w:pict>
          </mc:Fallback>
        </mc:AlternateContent>
      </w:r>
      <w:bookmarkStart w:id="0" w:name="OLE_LINK4"/>
      <w:bookmarkEnd w:id="0"/>
      <w:bookmarkStart w:id="1" w:name="OLE_LINK5"/>
    </w:p>
    <w:p>
      <w:pPr>
        <w:pStyle w:val="4"/>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b w:val="0"/>
          <w:bCs/>
          <w:sz w:val="32"/>
          <w:u w:val="none"/>
        </w:rPr>
        <w:t>新疆财帛丰盈信息咨询服务有限公</w:t>
      </w:r>
      <w:r>
        <w:rPr>
          <w:rFonts w:hint="eastAsia" w:ascii="仿宋_GB2312" w:hAnsi="仿宋_GB2312" w:eastAsia="仿宋_GB2312" w:cs="仿宋_GB2312"/>
          <w:b w:val="0"/>
          <w:bCs/>
          <w:sz w:val="32"/>
          <w:u w:val="none"/>
          <w:lang w:val="en-US" w:eastAsia="zh-CN"/>
        </w:rPr>
        <w:t>司</w:t>
      </w:r>
      <w:r>
        <w:rPr>
          <w:rFonts w:ascii="仿宋_GB2312" w:hAnsi="仿宋_GB2312" w:eastAsia="仿宋_GB2312" w:cs="仿宋_GB2312"/>
          <w:b w:val="0"/>
          <w:bCs/>
          <w:sz w:val="32"/>
          <w:u w:val="none"/>
        </w:rPr>
        <w:t>（91650109MA7G25XK2H）:</w:t>
      </w:r>
    </w:p>
    <w:bookmarkEnd w:id="1"/>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事由:将你单位确定为重大税收违法失信主体。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3840" w:firstLineChars="1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6</w:t>
      </w:r>
      <w:bookmarkStart w:id="4" w:name="_GoBack"/>
      <w:bookmarkEnd w:id="4"/>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3</w:t>
      </w:r>
      <w:r>
        <w:rPr>
          <w:rFonts w:hint="eastAsia" w:ascii="仿宋_GB2312" w:hAnsi="宋体" w:eastAsia="仿宋_GB2312"/>
          <w:color w:val="auto"/>
          <w:sz w:val="32"/>
          <w:szCs w:val="32"/>
          <w:highlight w:val="none"/>
          <w:u w:val="none"/>
        </w:rPr>
        <w:t>日</w:t>
      </w: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pPr>
      <w:r>
        <w:rPr>
          <w:rFonts w:ascii="仿宋" w:hAnsi="仿宋" w:eastAsia="仿宋" w:cs="仿宋"/>
          <w:b/>
          <w:bCs/>
          <w:color w:val="000000"/>
          <w:kern w:val="0"/>
          <w:sz w:val="36"/>
          <w:szCs w:val="36"/>
          <w:lang w:val="en-US" w:eastAsia="zh-CN" w:bidi="ar"/>
        </w:rPr>
        <w:t xml:space="preserve">公布的失信信息 </w:t>
      </w: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纳税人名称:新疆财帛丰盈信息咨询服务有限公司</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统一社会信用代码（纳税人识别号）:91650109MA7G25XK2H</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注册地址:新疆乌鲁木齐市米东区米东南路西三巷1151号华凌建材进出口基地石材区2栋1-3号</w:t>
      </w:r>
    </w:p>
    <w:p>
      <w:pPr>
        <w:keepNext w:val="0"/>
        <w:keepLines w:val="0"/>
        <w:widowControl/>
        <w:suppressLineNumbers w:val="0"/>
        <w:jc w:val="left"/>
        <w:rPr>
          <w:rFonts w:hint="default" w:ascii="仿宋_GB2312" w:hAnsi="仿宋" w:eastAsia="仿宋_GB2312"/>
          <w:color w:val="0070C0"/>
          <w:sz w:val="24"/>
          <w:szCs w:val="24"/>
          <w:lang w:val="en-US" w:eastAsia="zh-CN"/>
        </w:rPr>
      </w:pPr>
      <w:bookmarkStart w:id="2" w:name="OLE_LINK12"/>
      <w:bookmarkEnd w:id="2"/>
      <w:r>
        <w:rPr>
          <w:rFonts w:ascii="仿宋_GB2312" w:hAnsi="仿宋_GB2312" w:eastAsia="仿宋_GB2312" w:cs="仿宋_GB2312"/>
          <w:sz w:val="32"/>
          <w:u w:val="none"/>
        </w:rPr>
        <w:t>法定代表人:魏辉儿     性别：男</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身份证号码:622621********2913</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bookmarkStart w:id="3" w:name="OLE_LINK9"/>
      <w:bookmarkEnd w:id="3"/>
      <w:r>
        <w:rPr>
          <w:rFonts w:ascii="仿宋_GB2312" w:hAnsi="仿宋_GB2312" w:eastAsia="仿宋_GB2312" w:cs="仿宋_GB2312"/>
          <w:sz w:val="32"/>
          <w:u w:val="none"/>
        </w:rPr>
        <w:t>走逃（失联）</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依照《中华人民共和国税收征收管理法》等相关法律法规的有关规定，对其处以罚款10.00万元的行政处罚。</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kinsoku/>
        <w:wordWrap w:val="0"/>
        <w:overflowPunct/>
        <w:topLinePunct w:val="0"/>
        <w:autoSpaceDE/>
        <w:autoSpaceDN/>
        <w:bidi w:val="0"/>
        <w:adjustRightInd/>
        <w:snapToGrid/>
        <w:spacing w:afterAutospacing="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A6752"/>
    <w:rsid w:val="09695295"/>
    <w:rsid w:val="0B3D04D9"/>
    <w:rsid w:val="10D14201"/>
    <w:rsid w:val="12422921"/>
    <w:rsid w:val="12565F7C"/>
    <w:rsid w:val="13EB0575"/>
    <w:rsid w:val="14300AAA"/>
    <w:rsid w:val="1C6833CF"/>
    <w:rsid w:val="23CD7676"/>
    <w:rsid w:val="26DF7BB0"/>
    <w:rsid w:val="2CC621E5"/>
    <w:rsid w:val="51E96BB6"/>
    <w:rsid w:val="5AD379A0"/>
    <w:rsid w:val="61332EC8"/>
    <w:rsid w:val="62526EC4"/>
    <w:rsid w:val="6305784C"/>
    <w:rsid w:val="68BB0817"/>
    <w:rsid w:val="74400301"/>
    <w:rsid w:val="75664B34"/>
    <w:rsid w:val="7C16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郭琳</cp:lastModifiedBy>
  <cp:lastPrinted>2025-04-22T08:43:00Z</cp:lastPrinted>
  <dcterms:modified xsi:type="dcterms:W3CDTF">2025-05-30T09:57:40Z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