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确认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乌税稽税通〔2024〕1102号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000000" w:themeColor="text1"/>
          <w:spacing w:val="-20"/>
          <w:kern w:val="10"/>
          <w:sz w:val="10"/>
          <w:szCs w:val="10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69215</wp:posOffset>
                </wp:positionV>
                <wp:extent cx="5643880" cy="6350"/>
                <wp:effectExtent l="0" t="20320" r="13970" b="304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2.4pt;margin-top:5.45pt;height:0.5pt;width:444.4pt;z-index:251659264;mso-width-relative:page;mso-height-relative:page;" filled="f" stroked="t" coordsize="21600,21600" o:gfxdata="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n2DbWAAAACQEAAA8AAAAAAAAAAQAgAAAAIgAAAGRycy9k&#10;b3ducmV2LnhtbFBLAQIUABQAAAAIAIdO4kAkd/km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8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u w:val="none"/>
        </w:rPr>
        <w:t>新疆智诚恒泰石油化工有限公司（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24"/>
          <w:highlight w:val="none"/>
          <w:u w:val="none"/>
          <w:lang w:eastAsia="zh-CN"/>
        </w:rPr>
        <w:t>纳税人识别号：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u w:val="none"/>
        </w:rPr>
        <w:t>91650103MA782M3L9W）：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:将你单位确定为重大税收违法失信主体。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内容见附件），将你单位失信信息在国家公共信用信息中心“信用中国”网站公示，并推送至参与联合惩戒部门依法依规采取惩戒措施，税务机关适用D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2024年12月28日</w:t>
      </w:r>
    </w:p>
    <w:p>
      <w:pPr>
        <w:numPr>
          <w:ilvl w:val="0"/>
          <w:numId w:val="0"/>
        </w:numPr>
        <w:tabs>
          <w:tab w:val="left" w:pos="1768"/>
        </w:tabs>
        <w:ind w:firstLine="3253" w:firstLineChars="900"/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一、基本情况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纳税人名称:新疆智诚恒泰石油化工有限公司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统一社会信用代码（纳税人识号）:91650103MA782M3L9W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注册地址:新疆乌鲁木齐市沙依巴克区白湖路1号伊水湾小区商业S4号楼2层219号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法定代表人: 刘帅             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身份证号码:371423**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******3416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虚开增值税专用发票或者虚开用于骗取出口退税、抵扣税款的其他发票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经国家税务总局乌鲁木齐市税务局稽查局检查，发现其在检查所属期内，主要存在以下问题：为他人（为自己）开具与实际经营业务情况不符的增值税专用发票34份，金额2016.94万元，税额286.23万元。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依照《中华人民共和国税收征收管理法》等相关法律法规的有关规定，对其处以罚款10.00万元的行政处罚。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70C0"/>
          <w:sz w:val="32"/>
          <w:szCs w:val="32"/>
          <w:highlight w:val="none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6256"/>
    <w:rsid w:val="05F14538"/>
    <w:rsid w:val="0A58377D"/>
    <w:rsid w:val="16D56A94"/>
    <w:rsid w:val="173A3A18"/>
    <w:rsid w:val="1FE73A3B"/>
    <w:rsid w:val="21DA77DC"/>
    <w:rsid w:val="28960E42"/>
    <w:rsid w:val="2D141076"/>
    <w:rsid w:val="49901D74"/>
    <w:rsid w:val="4B4857CE"/>
    <w:rsid w:val="66377B2F"/>
    <w:rsid w:val="67976399"/>
    <w:rsid w:val="6A9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5">
    <w:name w:val="0文书名称"/>
    <w:basedOn w:val="3"/>
    <w:qFormat/>
    <w:uiPriority w:val="0"/>
    <w:rPr>
      <w:rFonts w:ascii="仿宋_GB2312" w:eastAsia="宋体"/>
      <w:b/>
      <w:sz w:val="5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cp:lastPrinted>2024-12-26T05:08:00Z</cp:lastPrinted>
  <dcterms:modified xsi:type="dcterms:W3CDTF">2025-01-07T04:04:45Z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