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华文中宋" w:hAnsi="华文中宋" w:eastAsia="华文中宋" w:cs="华文中宋"/>
          <w:sz w:val="48"/>
          <w:szCs w:val="48"/>
        </w:rPr>
      </w:pPr>
      <w:bookmarkStart w:id="7" w:name="_GoBack"/>
      <w:bookmarkEnd w:id="7"/>
    </w:p>
    <w:p>
      <w:pPr>
        <w:pStyle w:val="4"/>
        <w:bidi w:val="0"/>
        <w:jc w:val="center"/>
        <w:rPr>
          <w:rFonts w:hint="eastAsia" w:ascii="华文中宋" w:hAnsi="华文中宋" w:eastAsia="华文中宋" w:cs="华文中宋"/>
          <w:sz w:val="48"/>
          <w:szCs w:val="48"/>
        </w:rPr>
      </w:pPr>
      <w:r>
        <w:rPr>
          <w:rFonts w:hint="eastAsia" w:ascii="华文中宋" w:hAnsi="华文中宋" w:eastAsia="华文中宋" w:cs="华文中宋"/>
          <w:sz w:val="48"/>
          <w:szCs w:val="48"/>
        </w:rPr>
        <w:t>国家税务总局</w:t>
      </w:r>
      <w:r>
        <w:rPr>
          <w:rFonts w:hint="eastAsia" w:ascii="华文中宋" w:hAnsi="华文中宋" w:eastAsia="华文中宋" w:cs="华文中宋"/>
          <w:sz w:val="48"/>
          <w:szCs w:val="48"/>
          <w:lang w:val="en-US" w:eastAsia="zh-CN"/>
        </w:rPr>
        <w:t>乌鲁木齐市</w:t>
      </w:r>
      <w:r>
        <w:rPr>
          <w:rFonts w:hint="eastAsia" w:ascii="华文中宋" w:hAnsi="华文中宋" w:eastAsia="华文中宋" w:cs="华文中宋"/>
          <w:sz w:val="48"/>
          <w:szCs w:val="48"/>
        </w:rPr>
        <w:t>税务局稽查局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  <w:t>税务事项通知书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color w:val="auto"/>
          <w:sz w:val="72"/>
          <w:szCs w:val="72"/>
          <w:highlight w:val="none"/>
          <w:u w:val="none"/>
        </w:rPr>
      </w:pP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（重大税收违法失信主体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val="en-US" w:eastAsia="zh-CN"/>
        </w:rPr>
        <w:t>告知</w:t>
      </w:r>
      <w:r>
        <w:rPr>
          <w:rFonts w:hint="eastAsia" w:ascii="华文中宋" w:hAnsi="华文中宋" w:eastAsia="华文中宋"/>
          <w:color w:val="auto"/>
          <w:sz w:val="36"/>
          <w:szCs w:val="36"/>
          <w:highlight w:val="none"/>
          <w:u w:val="none"/>
          <w:lang w:eastAsia="zh-CN"/>
        </w:rPr>
        <w:t>适用）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_GB2312" w:hAnsi="仿宋" w:eastAsia="仿宋_GB2312"/>
          <w:b w:val="0"/>
          <w:bCs/>
          <w:color w:val="auto"/>
          <w:spacing w:val="-20"/>
          <w:kern w:val="10"/>
          <w:sz w:val="28"/>
          <w:szCs w:val="28"/>
          <w:highlight w:val="none"/>
          <w:u w:val="none"/>
          <w:lang w:val="en-US" w:eastAsia="zh-CN"/>
        </w:rPr>
      </w:pPr>
      <w:bookmarkStart w:id="0" w:name="djh"/>
      <w:bookmarkEnd w:id="0"/>
      <w:r>
        <w:rPr>
          <w:rFonts w:ascii="仿宋_GB2312" w:hAnsi="仿宋_GB2312" w:eastAsia="仿宋_GB2312" w:cs="仿宋_GB2312"/>
          <w:b w:val="0"/>
          <w:bCs/>
          <w:sz w:val="28"/>
          <w:szCs w:val="28"/>
          <w:u w:val="none"/>
        </w:rPr>
        <w:t>乌税稽税通〔2024〕1105号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</w:pPr>
      <w:r>
        <w:rPr>
          <w:rFonts w:hint="default" w:ascii="仿宋_GB2312" w:hAnsi="仿宋" w:eastAsia="仿宋_GB2312"/>
          <w:b w:val="0"/>
          <w:bCs/>
          <w:color w:val="auto"/>
          <w:spacing w:val="-20"/>
          <w:kern w:val="10"/>
          <w:sz w:val="10"/>
          <w:szCs w:val="10"/>
          <w:highlight w:val="none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57150</wp:posOffset>
                </wp:positionV>
                <wp:extent cx="5643880" cy="6350"/>
                <wp:effectExtent l="0" t="8255" r="7620" b="234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5pt;margin-top:4.5pt;height:0.5pt;width:444.4pt;z-index:251659264;mso-width-relative:page;mso-height-relative:page;" filled="f" stroked="t" coordsize="21600,21600" o:gfxdata="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npbt1AAAAAcBAAAPAAAAAAAAAAEAIAAAACIAAABkcnMvZG93&#10;bnJldi54bWxQSwECFAAUAAAACACHTuJAvsGsWAQCAADaAwAADgAAAAAAAAABACAAAAAjAQAAZHJz&#10;L2Uyb0RvYy54bWxQSwUGAAAAAAYABgBZAQAAmQUAAAAA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20"/>
          <w:kern w:val="10"/>
          <w:sz w:val="32"/>
          <w:szCs w:val="32"/>
          <w:highlight w:val="none"/>
          <w:u w:val="none"/>
          <w:lang w:val="en-US" w:eastAsia="zh-CN"/>
        </w:rPr>
      </w:pPr>
      <w:bookmarkStart w:id="1" w:name="OLE_LINK4"/>
      <w:bookmarkEnd w:id="1"/>
      <w:bookmarkStart w:id="2" w:name="OLE_LINK5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新疆锦源丰隆建设工程有限公司（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24"/>
          <w:highlight w:val="none"/>
          <w:u w:val="none"/>
          <w:lang w:eastAsia="zh-CN"/>
        </w:rPr>
        <w:t>纳税人识别号</w:t>
      </w:r>
      <w:r>
        <w:rPr>
          <w:rFonts w:hint="eastAsia" w:ascii="仿宋_GB2312" w:eastAsia="仿宋_GB2312"/>
          <w:b w:val="0"/>
          <w:bCs/>
          <w:color w:val="auto"/>
          <w:sz w:val="32"/>
          <w:szCs w:val="24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91650102MA77WK2E25）:</w:t>
      </w:r>
    </w:p>
    <w:bookmarkEnd w:id="2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bookmarkStart w:id="3" w:name="OLE_LINK6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事由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将你单位确定为重大税收违法失信主体。</w:t>
      </w:r>
    </w:p>
    <w:bookmarkEnd w:id="3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</w:pPr>
      <w:bookmarkStart w:id="4" w:name="OLE_LINK19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依据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:根据《重大税收违法失信主体信息公布管理办法》（国家税务总局令第54号）第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条等规定。</w:t>
      </w:r>
    </w:p>
    <w:bookmarkEnd w:id="4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我局拟将你单位确定为重大税收违法失信主体，向社会公布失信信息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（详细内容见附件）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，拟将你单位失信信息在国家公共信用信息中心“信用中国”网站公示，并推送至参与联合惩戒部门依法依规采取惩戒措施，税务机关适用D级纳税人管理措施（由税务机关纳税信用管理部门按纳税信用制度执行)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你单位有陈述、申辩权利，请自收到本通知书之日起5个工作日内，到我局进行陈述、申辩，并提供相关证据材料；逾期不进行陈述、申辩或提供相关证据材料的，视同放弃权利。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附件: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u w:val="none"/>
          <w:lang w:eastAsia="zh-CN"/>
        </w:rPr>
        <w:t>公布的失信信息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国家税务总局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乌鲁木齐市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>税务局稽查局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年11月18日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1768"/>
        </w:tabs>
        <w:ind w:firstLine="2530" w:firstLineChars="7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拟</w:t>
      </w: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公布的失信信息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一、基本情况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纳税人名称:新疆锦源丰隆建设工程有限公司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 xml:space="preserve">统一社会信用代码（纳税人识别号）: 91650102MA77WK2E25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注册地址:新疆乌鲁木齐市天山区人民路446号南门国际城商业区2栋8层2单元B03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" w:eastAsia="仿宋_GB2312"/>
          <w:color w:val="0070C0"/>
          <w:sz w:val="32"/>
          <w:szCs w:val="32"/>
          <w:lang w:val="en-US" w:eastAsia="zh-CN"/>
        </w:rPr>
      </w:pPr>
      <w:bookmarkStart w:id="5" w:name="OLE_LINK12"/>
      <w:bookmarkEnd w:id="5"/>
      <w:r>
        <w:rPr>
          <w:rFonts w:ascii="仿宋_GB2312" w:hAnsi="仿宋_GB2312" w:eastAsia="仿宋_GB2312" w:cs="仿宋_GB2312"/>
          <w:sz w:val="32"/>
          <w:szCs w:val="32"/>
          <w:u w:val="none"/>
        </w:rPr>
        <w:t>法定代表人:刘洪彬     性别：男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身份证号码:372325********6418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二、案件性质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6" w:name="OLE_LINK9"/>
      <w:bookmarkEnd w:id="6"/>
      <w:r>
        <w:rPr>
          <w:rFonts w:ascii="仿宋_GB2312" w:hAnsi="仿宋_GB2312" w:eastAsia="仿宋_GB2312" w:cs="仿宋_GB2312"/>
          <w:sz w:val="32"/>
          <w:szCs w:val="32"/>
          <w:u w:val="none"/>
        </w:rPr>
        <w:t>虚开增值税专用发票或者虚开用于骗取出口退税、抵扣税款的其他发票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三、主要违法事实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经国家税务总局乌鲁木齐市税务局稽查局检查，发现其在检查所属期内，主要存在以下问题：让他人为自己开具与实际经营业务情况不符的增值税专用发票10份，金额98.94万元，税额12.86万元。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四、相关法律依据及税务处理处罚情况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sz w:val="32"/>
          <w:szCs w:val="32"/>
          <w:u w:val="none"/>
        </w:rPr>
        <w:t>依照《中华人民共和国税收征收管理法》等相关法律法规的有关规定，对其处以追缴税款17.05万元的行政处理、处以罚款8.20万元的行政处罚。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2ED2"/>
    <w:rsid w:val="07B75DCF"/>
    <w:rsid w:val="144769BE"/>
    <w:rsid w:val="1A5E3DE0"/>
    <w:rsid w:val="2D9012A6"/>
    <w:rsid w:val="39E95291"/>
    <w:rsid w:val="3DE810F4"/>
    <w:rsid w:val="4B54393E"/>
    <w:rsid w:val="556249FF"/>
    <w:rsid w:val="5E5D3925"/>
    <w:rsid w:val="62496367"/>
    <w:rsid w:val="74141F9A"/>
    <w:rsid w:val="748612A3"/>
    <w:rsid w:val="776D4791"/>
    <w:rsid w:val="7962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单名称"/>
    <w:basedOn w:val="1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P650133郭琳</dc:creator>
  <cp:lastModifiedBy>宋瑞川</cp:lastModifiedBy>
  <dcterms:modified xsi:type="dcterms:W3CDTF">2024-11-29T05:55:39Z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