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jc w:val="center"/>
        <w:textAlignment w:val="auto"/>
        <w:rPr>
          <w:rFonts w:hint="eastAsia" w:ascii="华文中宋" w:hAnsi="华文中宋" w:eastAsia="华文中宋"/>
          <w:color w:val="auto"/>
          <w:sz w:val="48"/>
          <w:szCs w:val="48"/>
          <w:highlight w:val="none"/>
          <w:u w:val="none"/>
        </w:rPr>
      </w:pPr>
    </w:p>
    <w:p>
      <w:pPr>
        <w:pStyle w:val="4"/>
        <w:keepNext w:val="0"/>
        <w:keepLines w:val="0"/>
        <w:pageBreakBefore w:val="0"/>
        <w:kinsoku/>
        <w:wordWrap/>
        <w:overflowPunct/>
        <w:topLinePunct w:val="0"/>
        <w:autoSpaceDE/>
        <w:autoSpaceDN/>
        <w:bidi w:val="0"/>
        <w:adjustRightInd/>
        <w:snapToGrid/>
        <w:jc w:val="both"/>
        <w:textAlignment w:val="auto"/>
        <w:rPr>
          <w:rFonts w:ascii="华文中宋" w:hAnsi="华文中宋" w:eastAsia="华文中宋"/>
          <w:color w:val="auto"/>
          <w:sz w:val="48"/>
          <w:szCs w:val="48"/>
          <w:highlight w:val="none"/>
          <w:u w:val="none"/>
        </w:rPr>
      </w:pPr>
      <w:r>
        <w:rPr>
          <w:rFonts w:hint="eastAsia" w:ascii="华文中宋" w:hAnsi="华文中宋" w:eastAsia="华文中宋"/>
          <w:color w:val="auto"/>
          <w:sz w:val="48"/>
          <w:szCs w:val="48"/>
          <w:highlight w:val="none"/>
          <w:u w:val="none"/>
        </w:rPr>
        <w:t>国家税务总局</w:t>
      </w:r>
      <w:r>
        <w:rPr>
          <w:rFonts w:hint="eastAsia" w:ascii="华文中宋" w:hAnsi="华文中宋" w:eastAsia="华文中宋"/>
          <w:color w:val="auto"/>
          <w:sz w:val="48"/>
          <w:szCs w:val="48"/>
          <w:highlight w:val="none"/>
          <w:u w:val="none"/>
          <w:lang w:val="en-US" w:eastAsia="zh-CN"/>
        </w:rPr>
        <w:t>乌鲁木齐市</w:t>
      </w:r>
      <w:r>
        <w:rPr>
          <w:rFonts w:hint="eastAsia" w:ascii="华文中宋" w:hAnsi="华文中宋" w:eastAsia="华文中宋"/>
          <w:color w:val="auto"/>
          <w:sz w:val="48"/>
          <w:szCs w:val="48"/>
          <w:highlight w:val="none"/>
          <w:u w:val="none"/>
        </w:rPr>
        <w:t>税务局稽查局</w:t>
      </w:r>
    </w:p>
    <w:p>
      <w:pPr>
        <w:pStyle w:val="4"/>
        <w:keepNext w:val="0"/>
        <w:keepLines w:val="0"/>
        <w:pageBreakBefore w:val="0"/>
        <w:kinsoku/>
        <w:wordWrap/>
        <w:overflowPunct/>
        <w:topLinePunct w:val="0"/>
        <w:autoSpaceDE/>
        <w:autoSpaceDN/>
        <w:bidi w:val="0"/>
        <w:adjustRightInd/>
        <w:snapToGrid/>
        <w:jc w:val="center"/>
        <w:textAlignment w:val="auto"/>
        <w:rPr>
          <w:rFonts w:hint="eastAsia" w:ascii="华文中宋" w:hAnsi="华文中宋" w:eastAsia="华文中宋"/>
          <w:color w:val="auto"/>
          <w:sz w:val="72"/>
          <w:szCs w:val="72"/>
          <w:highlight w:val="none"/>
          <w:u w:val="none"/>
        </w:rPr>
      </w:pPr>
      <w:r>
        <w:rPr>
          <w:rFonts w:hint="eastAsia" w:ascii="华文中宋" w:hAnsi="华文中宋" w:eastAsia="华文中宋"/>
          <w:color w:val="auto"/>
          <w:sz w:val="72"/>
          <w:szCs w:val="72"/>
          <w:highlight w:val="none"/>
          <w:u w:val="none"/>
        </w:rPr>
        <w:t>税务事项通知书</w:t>
      </w:r>
    </w:p>
    <w:p>
      <w:pPr>
        <w:pStyle w:val="4"/>
        <w:keepNext w:val="0"/>
        <w:keepLines w:val="0"/>
        <w:pageBreakBefore w:val="0"/>
        <w:kinsoku/>
        <w:wordWrap/>
        <w:overflowPunct/>
        <w:topLinePunct w:val="0"/>
        <w:autoSpaceDE/>
        <w:autoSpaceDN/>
        <w:bidi w:val="0"/>
        <w:adjustRightInd/>
        <w:snapToGrid/>
        <w:jc w:val="center"/>
        <w:textAlignment w:val="auto"/>
        <w:rPr>
          <w:rFonts w:hint="eastAsia" w:ascii="华文中宋" w:hAnsi="华文中宋" w:eastAsia="华文中宋"/>
          <w:color w:val="auto"/>
          <w:sz w:val="72"/>
          <w:szCs w:val="72"/>
          <w:highlight w:val="none"/>
          <w:u w:val="none"/>
        </w:rPr>
      </w:pPr>
      <w:r>
        <w:rPr>
          <w:rFonts w:hint="eastAsia" w:ascii="华文中宋" w:hAnsi="华文中宋" w:eastAsia="华文中宋"/>
          <w:color w:val="auto"/>
          <w:sz w:val="36"/>
          <w:szCs w:val="36"/>
          <w:highlight w:val="none"/>
          <w:u w:val="none"/>
          <w:lang w:eastAsia="zh-CN"/>
        </w:rPr>
        <w:t>（重大税收违法失信主体</w:t>
      </w:r>
      <w:r>
        <w:rPr>
          <w:rFonts w:hint="eastAsia" w:ascii="华文中宋" w:hAnsi="华文中宋" w:eastAsia="华文中宋"/>
          <w:color w:val="auto"/>
          <w:sz w:val="36"/>
          <w:szCs w:val="36"/>
          <w:highlight w:val="none"/>
          <w:u w:val="none"/>
          <w:lang w:val="en-US" w:eastAsia="zh-CN"/>
        </w:rPr>
        <w:t>确认</w:t>
      </w:r>
      <w:r>
        <w:rPr>
          <w:rFonts w:hint="eastAsia" w:ascii="华文中宋" w:hAnsi="华文中宋" w:eastAsia="华文中宋"/>
          <w:color w:val="auto"/>
          <w:sz w:val="36"/>
          <w:szCs w:val="36"/>
          <w:highlight w:val="none"/>
          <w:u w:val="none"/>
          <w:lang w:eastAsia="zh-CN"/>
        </w:rPr>
        <w:t>适用）</w:t>
      </w:r>
    </w:p>
    <w:p>
      <w:pPr>
        <w:pStyle w:val="4"/>
        <w:keepNext w:val="0"/>
        <w:keepLines w:val="0"/>
        <w:pageBreakBefore w:val="0"/>
        <w:kinsoku/>
        <w:wordWrap/>
        <w:overflowPunct/>
        <w:topLinePunct w:val="0"/>
        <w:autoSpaceDE/>
        <w:autoSpaceDN/>
        <w:bidi w:val="0"/>
        <w:adjustRightInd/>
        <w:snapToGrid/>
        <w:jc w:val="center"/>
        <w:textAlignment w:val="auto"/>
        <w:rPr>
          <w:rFonts w:hint="eastAsia" w:ascii="仿宋_GB2312" w:hAnsi="仿宋" w:eastAsia="仿宋_GB2312" w:cs="Times New Roman"/>
          <w:b w:val="0"/>
          <w:bCs/>
          <w:color w:val="auto"/>
          <w:spacing w:val="-20"/>
          <w:kern w:val="10"/>
          <w:highlight w:val="none"/>
          <w:u w:val="none"/>
          <w:lang w:val="en-US" w:eastAsia="zh-CN"/>
        </w:rPr>
      </w:pPr>
      <w:r>
        <w:rPr>
          <w:rFonts w:hint="default" w:ascii="仿宋_GB2312" w:hAnsi="仿宋" w:eastAsia="仿宋_GB2312" w:cs="Times New Roman"/>
          <w:b w:val="0"/>
          <w:bCs/>
          <w:color w:val="auto"/>
          <w:spacing w:val="-20"/>
          <w:kern w:val="10"/>
          <w:highlight w:val="none"/>
          <w:u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337820</wp:posOffset>
                </wp:positionV>
                <wp:extent cx="5643880" cy="6350"/>
                <wp:effectExtent l="0" t="8255" r="7620" b="23495"/>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flipV="1">
                          <a:off x="0" y="0"/>
                          <a:ext cx="5643880" cy="6350"/>
                        </a:xfrm>
                        <a:prstGeom prst="straightConnector1">
                          <a:avLst/>
                        </a:prstGeom>
                        <a:noFill/>
                        <a:ln w="41275">
                          <a:solidFill>
                            <a:srgbClr val="000000"/>
                          </a:solidFill>
                          <a:round/>
                        </a:ln>
                        <a:effectLst/>
                      </wps:spPr>
                      <wps:bodyPr/>
                    </wps:wsp>
                  </a:graphicData>
                </a:graphic>
              </wp:anchor>
            </w:drawing>
          </mc:Choice>
          <mc:Fallback>
            <w:pict>
              <v:shape id="_x0000_s1026" o:spid="_x0000_s1026" o:spt="32" type="#_x0000_t32" style="position:absolute;left:0pt;flip:y;margin-left:-0.9pt;margin-top:26.6pt;height:0.5pt;width:444.4pt;z-index:251659264;mso-width-relative:page;mso-height-relative:page;" filled="f" stroked="t" coordsize="21600,21600" o:gfxdata="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IzL3LWAAAACAEAAA8AAAAAAAAAAQAgAAAAIgAAAGRycy9k&#10;b3ducmV2LnhtbFBLAQIUABQAAAAIAIdO4kAkd/kmBAIAANoDAAAOAAAAAAAAAAEAIAAAACUBAABk&#10;cnMvZTJvRG9jLnhtbFBLBQYAAAAABgAGAFkBAACbBQAAAAA=&#10;">
                <v:fill on="f" focussize="0,0"/>
                <v:stroke weight="3.25pt" color="#000000" joinstyle="round"/>
                <v:imagedata o:title=""/>
                <o:lock v:ext="edit" aspectratio="f"/>
              </v:shape>
            </w:pict>
          </mc:Fallback>
        </mc:AlternateContent>
      </w:r>
      <w:r>
        <w:rPr>
          <w:rFonts w:hint="eastAsia" w:ascii="仿宋_GB2312" w:hAnsi="仿宋" w:eastAsia="仿宋_GB2312" w:cs="Times New Roman"/>
          <w:b w:val="0"/>
          <w:bCs/>
          <w:color w:val="auto"/>
          <w:spacing w:val="-20"/>
          <w:kern w:val="10"/>
          <w:highlight w:val="none"/>
          <w:u w:val="none"/>
          <w:lang w:val="en-US" w:eastAsia="zh-CN"/>
        </w:rPr>
        <w:t>乌税稽税通〔2024〕0904号</w:t>
      </w:r>
    </w:p>
    <w:p>
      <w:pPr>
        <w:pStyle w:val="4"/>
        <w:keepNext w:val="0"/>
        <w:keepLines w:val="0"/>
        <w:pageBreakBefore w:val="0"/>
        <w:kinsoku/>
        <w:wordWrap/>
        <w:overflowPunct/>
        <w:topLinePunct w:val="0"/>
        <w:autoSpaceDE/>
        <w:autoSpaceDN/>
        <w:bidi w:val="0"/>
        <w:adjustRightInd/>
        <w:snapToGrid/>
        <w:jc w:val="center"/>
        <w:textAlignment w:val="auto"/>
        <w:rPr>
          <w:rFonts w:hint="eastAsia" w:ascii="仿宋_GB2312" w:hAnsi="仿宋" w:eastAsia="仿宋_GB2312" w:cs="Times New Roman"/>
          <w:b w:val="0"/>
          <w:bCs/>
          <w:color w:val="auto"/>
          <w:spacing w:val="-20"/>
          <w:kern w:val="10"/>
          <w:sz w:val="32"/>
          <w:szCs w:val="32"/>
          <w:highlight w:val="none"/>
          <w:u w:val="none"/>
          <w:lang w:val="en-US" w:eastAsia="zh-CN"/>
        </w:rPr>
      </w:pPr>
      <w:r>
        <w:rPr>
          <w:rFonts w:hint="eastAsia" w:ascii="仿宋_GB2312" w:hAnsi="仿宋" w:eastAsia="仿宋_GB2312" w:cs="Times New Roman"/>
          <w:b w:val="0"/>
          <w:bCs/>
          <w:color w:val="auto"/>
          <w:spacing w:val="-20"/>
          <w:kern w:val="10"/>
          <w:sz w:val="32"/>
          <w:szCs w:val="32"/>
          <w:highlight w:val="none"/>
          <w:u w:val="none"/>
          <w:lang w:val="en-US" w:eastAsia="zh-CN"/>
        </w:rPr>
        <w:t>新疆宏胜晟源贸易有限公司（纳税人识别号：91650109MA7FL0YN2Y）：</w:t>
      </w:r>
    </w:p>
    <w:p>
      <w:pPr>
        <w:keepNext w:val="0"/>
        <w:keepLines w:val="0"/>
        <w:pageBreakBefore w:val="0"/>
        <w:widowControl/>
        <w:suppressLineNumbers w:val="0"/>
        <w:kinsoku/>
        <w:wordWrap w:val="0"/>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事由</w:t>
      </w:r>
      <w:r>
        <w:rPr>
          <w:rFonts w:hint="eastAsia" w:ascii="仿宋_GB2312" w:hAnsi="仿宋_GB2312" w:eastAsia="仿宋_GB2312" w:cs="仿宋_GB2312"/>
          <w:color w:val="auto"/>
          <w:sz w:val="32"/>
          <w:szCs w:val="32"/>
          <w:highlight w:val="none"/>
          <w:u w:val="none"/>
          <w:lang w:eastAsia="zh-CN"/>
        </w:rPr>
        <w:t>:将你单位确定为重大税收违法失信主体。</w:t>
      </w:r>
    </w:p>
    <w:p>
      <w:pPr>
        <w:keepNext w:val="0"/>
        <w:keepLines w:val="0"/>
        <w:pageBreakBefore w:val="0"/>
        <w:widowControl/>
        <w:kinsoku/>
        <w:wordWrap w:val="0"/>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依据</w:t>
      </w:r>
      <w:r>
        <w:rPr>
          <w:rFonts w:hint="eastAsia" w:ascii="仿宋_GB2312" w:hAnsi="仿宋_GB2312" w:eastAsia="仿宋_GB2312" w:cs="仿宋_GB2312"/>
          <w:color w:val="auto"/>
          <w:sz w:val="32"/>
          <w:szCs w:val="32"/>
          <w:highlight w:val="none"/>
          <w:u w:val="none"/>
          <w:lang w:eastAsia="zh-CN"/>
        </w:rPr>
        <w:t>:根据《重大税收违法失信主体信息公布管理办法》（国家税务总局令第54号）第</w:t>
      </w:r>
      <w:r>
        <w:rPr>
          <w:rFonts w:hint="eastAsia" w:ascii="仿宋_GB2312" w:hAnsi="仿宋_GB2312" w:eastAsia="仿宋_GB2312" w:cs="仿宋_GB2312"/>
          <w:color w:val="auto"/>
          <w:sz w:val="32"/>
          <w:szCs w:val="32"/>
          <w:highlight w:val="none"/>
          <w:u w:val="none"/>
          <w:lang w:val="en-US" w:eastAsia="zh-CN"/>
        </w:rPr>
        <w:t>十</w:t>
      </w:r>
      <w:r>
        <w:rPr>
          <w:rFonts w:hint="eastAsia" w:ascii="仿宋_GB2312" w:hAnsi="仿宋_GB2312" w:eastAsia="仿宋_GB2312" w:cs="仿宋_GB2312"/>
          <w:color w:val="auto"/>
          <w:sz w:val="32"/>
          <w:szCs w:val="32"/>
          <w:highlight w:val="none"/>
          <w:u w:val="none"/>
          <w:lang w:eastAsia="zh-CN"/>
        </w:rPr>
        <w:t>条等规定。</w:t>
      </w:r>
    </w:p>
    <w:p>
      <w:pPr>
        <w:keepNext w:val="0"/>
        <w:keepLines w:val="0"/>
        <w:pageBreakBefore w:val="0"/>
        <w:widowControl/>
        <w:kinsoku/>
        <w:wordWrap w:val="0"/>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符合《重大税收违法失信主体信息公布管理办法》（国家税务总局令第54号）第六条相关规定，我局将你单位确定为重大税收违法失信主体，向社会公布失信信息（详细内容见附件），将你单位失信信息在国家公共信用信息中心“信用中国”网站公示，并推送至参与联合惩戒部门依法依规采取惩戒措施，税务机关适用D级纳税人管理措施（由税务机关纳税信用管理部门按纳税信用相关制度执行）。</w:t>
      </w:r>
    </w:p>
    <w:p>
      <w:pPr>
        <w:keepNext w:val="0"/>
        <w:keepLines w:val="0"/>
        <w:pageBreakBefore w:val="0"/>
        <w:widowControl/>
        <w:kinsoku/>
        <w:wordWrap w:val="0"/>
        <w:overflowPunct/>
        <w:topLinePunct w:val="0"/>
        <w:autoSpaceDE/>
        <w:autoSpaceDN/>
        <w:bidi w:val="0"/>
        <w:adjustRightInd/>
        <w:snapToGrid/>
        <w:spacing w:afterAutospacing="0" w:line="240" w:lineRule="auto"/>
        <w:ind w:firstLine="640" w:firstLineChars="200"/>
        <w:jc w:val="both"/>
        <w:textAlignment w:val="auto"/>
        <w:outlineLvl w:val="0"/>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你单位如对本通知书不服，可以自收到本通知书之日起六十日内依法向</w:t>
      </w:r>
      <w:r>
        <w:rPr>
          <w:rFonts w:hint="eastAsia" w:ascii="仿宋_GB2312" w:hAnsi="仿宋_GB2312" w:eastAsia="仿宋_GB2312" w:cs="仿宋_GB2312"/>
          <w:color w:val="auto"/>
          <w:sz w:val="32"/>
          <w:szCs w:val="32"/>
          <w:highlight w:val="none"/>
          <w:u w:val="none"/>
          <w:lang w:val="en-US" w:eastAsia="zh-CN"/>
        </w:rPr>
        <w:t>乌鲁木齐市</w:t>
      </w:r>
      <w:r>
        <w:rPr>
          <w:rFonts w:hint="eastAsia" w:ascii="仿宋_GB2312" w:hAnsi="仿宋_GB2312" w:eastAsia="仿宋_GB2312" w:cs="仿宋_GB2312"/>
          <w:color w:val="auto"/>
          <w:sz w:val="32"/>
          <w:szCs w:val="32"/>
          <w:highlight w:val="none"/>
          <w:u w:val="none"/>
          <w:lang w:eastAsia="zh-CN"/>
        </w:rPr>
        <w:t>税务局申请行政复议，或者自收到本通知书之日起六个月内依法向人民法院起诉。</w:t>
      </w:r>
    </w:p>
    <w:p>
      <w:pPr>
        <w:keepNext w:val="0"/>
        <w:keepLines w:val="0"/>
        <w:pageBreakBefore w:val="0"/>
        <w:widowControl/>
        <w:kinsoku/>
        <w:wordWrap w:val="0"/>
        <w:overflowPunct/>
        <w:topLinePunct w:val="0"/>
        <w:autoSpaceDE/>
        <w:autoSpaceDN/>
        <w:bidi w:val="0"/>
        <w:adjustRightInd/>
        <w:snapToGrid/>
        <w:spacing w:afterAutospacing="0" w:line="240" w:lineRule="auto"/>
        <w:ind w:firstLine="640" w:firstLineChars="200"/>
        <w:jc w:val="both"/>
        <w:textAlignment w:val="auto"/>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color w:val="000000"/>
          <w:sz w:val="32"/>
          <w:szCs w:val="32"/>
          <w:highlight w:val="none"/>
          <w:u w:val="none"/>
          <w:lang w:eastAsia="zh-CN"/>
        </w:rPr>
        <w:t>附件:公布的失信信息</w:t>
      </w:r>
    </w:p>
    <w:p>
      <w:pPr>
        <w:keepNext w:val="0"/>
        <w:keepLines w:val="0"/>
        <w:pageBreakBefore w:val="0"/>
        <w:widowControl/>
        <w:kinsoku/>
        <w:wordWrap w:val="0"/>
        <w:overflowPunct/>
        <w:topLinePunct w:val="0"/>
        <w:autoSpaceDE/>
        <w:autoSpaceDN/>
        <w:bidi w:val="0"/>
        <w:adjustRightInd/>
        <w:snapToGrid/>
        <w:spacing w:afterAutospacing="0" w:line="240" w:lineRule="auto"/>
        <w:ind w:firstLine="640" w:firstLineChars="200"/>
        <w:jc w:val="both"/>
        <w:textAlignment w:val="auto"/>
        <w:rPr>
          <w:rFonts w:hint="eastAsia" w:ascii="仿宋_GB2312" w:hAnsi="仿宋_GB2312" w:eastAsia="仿宋_GB2312" w:cs="仿宋_GB2312"/>
          <w:color w:val="000000"/>
          <w:sz w:val="32"/>
          <w:szCs w:val="32"/>
          <w:highlight w:val="none"/>
          <w:u w:val="none"/>
          <w:lang w:eastAsia="zh-CN"/>
        </w:rPr>
      </w:pPr>
      <w:bookmarkStart w:id="0" w:name="_GoBack"/>
      <w:bookmarkEnd w:id="0"/>
    </w:p>
    <w:p>
      <w:pPr>
        <w:keepNext w:val="0"/>
        <w:keepLines w:val="0"/>
        <w:pageBreakBefore w:val="0"/>
        <w:widowControl/>
        <w:kinsoku/>
        <w:wordWrap w:val="0"/>
        <w:overflowPunct/>
        <w:topLinePunct w:val="0"/>
        <w:autoSpaceDE/>
        <w:autoSpaceDN/>
        <w:bidi w:val="0"/>
        <w:adjustRightInd/>
        <w:snapToGrid/>
        <w:spacing w:afterAutospacing="0" w:line="240" w:lineRule="auto"/>
        <w:jc w:val="center"/>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国家税务总局</w:t>
      </w:r>
      <w:r>
        <w:rPr>
          <w:rFonts w:hint="eastAsia" w:ascii="仿宋_GB2312" w:hAnsi="仿宋_GB2312" w:eastAsia="仿宋_GB2312" w:cs="仿宋_GB2312"/>
          <w:color w:val="auto"/>
          <w:sz w:val="32"/>
          <w:szCs w:val="32"/>
          <w:highlight w:val="none"/>
          <w:u w:val="none"/>
          <w:lang w:val="en-US" w:eastAsia="zh-CN"/>
        </w:rPr>
        <w:t>乌鲁木齐市</w:t>
      </w:r>
      <w:r>
        <w:rPr>
          <w:rFonts w:hint="eastAsia" w:ascii="仿宋_GB2312" w:hAnsi="仿宋_GB2312" w:eastAsia="仿宋_GB2312" w:cs="仿宋_GB2312"/>
          <w:color w:val="auto"/>
          <w:sz w:val="32"/>
          <w:szCs w:val="32"/>
          <w:highlight w:val="none"/>
          <w:u w:val="none"/>
        </w:rPr>
        <w:t>税务局稽查局</w:t>
      </w:r>
    </w:p>
    <w:p>
      <w:pPr>
        <w:keepNext w:val="0"/>
        <w:keepLines w:val="0"/>
        <w:pageBreakBefore w:val="0"/>
        <w:widowControl/>
        <w:kinsoku/>
        <w:wordWrap w:val="0"/>
        <w:overflowPunct/>
        <w:topLinePunct w:val="0"/>
        <w:autoSpaceDE/>
        <w:autoSpaceDN/>
        <w:bidi w:val="0"/>
        <w:adjustRightInd/>
        <w:snapToGrid/>
        <w:spacing w:afterAutospacing="0" w:line="240" w:lineRule="auto"/>
        <w:ind w:firstLine="640" w:firstLineChars="200"/>
        <w:jc w:val="left"/>
        <w:textAlignment w:val="auto"/>
        <w:rPr>
          <w:rFonts w:ascii="仿宋" w:hAnsi="仿宋" w:eastAsia="仿宋" w:cs="仿宋"/>
          <w:b/>
          <w:bCs/>
          <w:color w:val="000000"/>
          <w:kern w:val="0"/>
          <w:sz w:val="36"/>
          <w:szCs w:val="36"/>
          <w:lang w:val="en-US" w:eastAsia="zh-CN" w:bidi="ar"/>
        </w:rPr>
      </w:pP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b w:val="0"/>
          <w:bCs/>
          <w:color w:val="auto"/>
          <w:sz w:val="32"/>
          <w:szCs w:val="32"/>
          <w:highlight w:val="none"/>
          <w:u w:val="none"/>
          <w:lang w:val="en-US" w:eastAsia="zh-CN"/>
        </w:rPr>
        <w:t xml:space="preserve">  </w:t>
      </w:r>
      <w:r>
        <w:rPr>
          <w:rFonts w:hint="eastAsia" w:ascii="仿宋_GB2312" w:hAnsi="仿宋_GB2312" w:eastAsia="仿宋_GB2312" w:cs="仿宋_GB2312"/>
          <w:b w:val="0"/>
          <w:bCs/>
          <w:color w:val="000000" w:themeColor="text1"/>
          <w:sz w:val="32"/>
          <w:szCs w:val="32"/>
          <w:highlight w:val="none"/>
          <w:u w:val="none"/>
          <w:lang w:val="en-US" w:eastAsia="zh-CN"/>
          <w14:textFill>
            <w14:solidFill>
              <w14:schemeClr w14:val="tx1"/>
            </w14:solidFill>
          </w14:textFill>
        </w:rPr>
        <w:t xml:space="preserve"> 2024</w:t>
      </w:r>
      <w:r>
        <w:rPr>
          <w:rFonts w:hint="eastAsia" w:ascii="仿宋_GB2312" w:hAnsi="仿宋_GB2312" w:eastAsia="仿宋_GB2312" w:cs="仿宋_GB2312"/>
          <w:b w:val="0"/>
          <w:bCs/>
          <w:color w:val="auto"/>
          <w:sz w:val="32"/>
          <w:szCs w:val="32"/>
          <w:highlight w:val="none"/>
          <w:u w:val="none"/>
          <w:lang w:val="en-US" w:eastAsia="zh-CN"/>
        </w:rPr>
        <w:t>年11月25日</w:t>
      </w:r>
      <w:r>
        <w:rPr>
          <w:rFonts w:hint="eastAsia" w:ascii="仿宋_GB2312" w:hAnsi="仿宋_GB2312" w:eastAsia="仿宋_GB2312" w:cs="仿宋_GB2312"/>
          <w:b w:val="0"/>
          <w:bCs/>
          <w:color w:val="000000" w:themeColor="text1"/>
          <w:sz w:val="32"/>
          <w:szCs w:val="32"/>
          <w:highlight w:val="none"/>
          <w:u w:val="none"/>
          <w:lang w:val="en-US" w:eastAsia="zh-CN"/>
          <w14:textFill>
            <w14:solidFill>
              <w14:schemeClr w14:val="tx1"/>
            </w14:solidFill>
          </w14:textFill>
        </w:rPr>
        <w:t xml:space="preserve"> </w:t>
      </w:r>
    </w:p>
    <w:p>
      <w:pPr>
        <w:numPr>
          <w:ilvl w:val="0"/>
          <w:numId w:val="0"/>
        </w:numPr>
        <w:tabs>
          <w:tab w:val="left" w:pos="1768"/>
        </w:tabs>
        <w:ind w:firstLine="2891" w:firstLineChars="800"/>
        <w:rPr>
          <w:rFonts w:ascii="仿宋" w:hAnsi="仿宋" w:eastAsia="仿宋" w:cs="仿宋"/>
          <w:b/>
          <w:bCs/>
          <w:color w:val="000000"/>
          <w:kern w:val="0"/>
          <w:sz w:val="36"/>
          <w:szCs w:val="36"/>
          <w:lang w:val="en-US" w:eastAsia="zh-CN" w:bidi="ar"/>
        </w:rPr>
      </w:pPr>
    </w:p>
    <w:p>
      <w:pPr>
        <w:numPr>
          <w:ilvl w:val="0"/>
          <w:numId w:val="0"/>
        </w:numPr>
        <w:tabs>
          <w:tab w:val="left" w:pos="1768"/>
        </w:tabs>
        <w:rPr>
          <w:rFonts w:ascii="仿宋" w:hAnsi="仿宋" w:eastAsia="仿宋" w:cs="仿宋"/>
          <w:b/>
          <w:bCs/>
          <w:color w:val="000000"/>
          <w:kern w:val="0"/>
          <w:sz w:val="36"/>
          <w:szCs w:val="36"/>
          <w:lang w:val="en-US" w:eastAsia="zh-CN" w:bidi="ar"/>
        </w:rPr>
      </w:pPr>
    </w:p>
    <w:p>
      <w:pPr>
        <w:numPr>
          <w:ilvl w:val="0"/>
          <w:numId w:val="0"/>
        </w:numPr>
        <w:tabs>
          <w:tab w:val="left" w:pos="1768"/>
        </w:tabs>
        <w:ind w:firstLine="2891" w:firstLineChars="800"/>
      </w:pPr>
      <w:r>
        <w:rPr>
          <w:rFonts w:ascii="仿宋" w:hAnsi="仿宋" w:eastAsia="仿宋" w:cs="仿宋"/>
          <w:b/>
          <w:bCs/>
          <w:color w:val="000000"/>
          <w:kern w:val="0"/>
          <w:sz w:val="36"/>
          <w:szCs w:val="36"/>
          <w:lang w:val="en-US" w:eastAsia="zh-CN" w:bidi="ar"/>
        </w:rPr>
        <w:t xml:space="preserve">公布的失信信息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宋体" w:hAnsi="宋体" w:eastAsia="宋体" w:cs="宋体"/>
          <w:sz w:val="32"/>
          <w:szCs w:val="32"/>
        </w:rPr>
      </w:pPr>
      <w:r>
        <w:rPr>
          <w:rFonts w:hint="eastAsia" w:ascii="宋体" w:hAnsi="宋体" w:eastAsia="宋体" w:cs="宋体"/>
          <w:b/>
          <w:bCs/>
          <w:color w:val="000000"/>
          <w:kern w:val="0"/>
          <w:sz w:val="32"/>
          <w:szCs w:val="32"/>
          <w:lang w:val="en-US" w:eastAsia="zh-CN" w:bidi="ar"/>
        </w:rPr>
        <w:t xml:space="preserve">一、基本情况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纳税人名称:新疆宏胜晟源贸易有限公司</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统一社会信用代码（纳税人识号）:91650109MA7FL0YN2Y</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注册地址:新疆乌鲁木齐市米东区古牧地东路街道办事处光明路南侧健康路西侧菜园子安置小区06幢0单元（2）层14室</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 w:eastAsia="仿宋_GB2312"/>
          <w:sz w:val="32"/>
          <w:szCs w:val="32"/>
          <w:lang w:val="en-US" w:eastAsia="zh-CN"/>
        </w:rPr>
      </w:pPr>
      <w:r>
        <w:rPr>
          <w:rFonts w:ascii="仿宋_GB2312" w:hAnsi="仿宋_GB2312" w:eastAsia="仿宋_GB2312" w:cs="仿宋_GB2312"/>
          <w:sz w:val="32"/>
          <w:u w:val="none"/>
        </w:rPr>
        <w:t>法定代表人: 王新龙            性别：男</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color w:val="000000"/>
          <w:kern w:val="0"/>
          <w:sz w:val="31"/>
          <w:szCs w:val="31"/>
          <w:lang w:val="en-US" w:eastAsia="zh-CN" w:bidi="ar"/>
        </w:rPr>
      </w:pPr>
      <w:r>
        <w:rPr>
          <w:rFonts w:ascii="仿宋_GB2312" w:hAnsi="仿宋_GB2312" w:eastAsia="仿宋_GB2312" w:cs="仿宋_GB2312"/>
          <w:sz w:val="32"/>
          <w:u w:val="none"/>
        </w:rPr>
        <w:t>身份证号码</w:t>
      </w:r>
      <w:r>
        <w:rPr>
          <w:rFonts w:hint="eastAsia" w:ascii="仿宋_GB2312" w:hAnsi="仿宋_GB2312" w:eastAsia="仿宋_GB2312" w:cs="仿宋_GB2312"/>
          <w:sz w:val="32"/>
          <w:u w:val="none"/>
          <w:lang w:eastAsia="zh-CN"/>
        </w:rPr>
        <w:t>：</w:t>
      </w:r>
      <w:r>
        <w:rPr>
          <w:rFonts w:ascii="仿宋_GB2312" w:hAnsi="仿宋_GB2312" w:eastAsia="仿宋_GB2312" w:cs="仿宋_GB2312"/>
          <w:sz w:val="32"/>
          <w:u w:val="none"/>
        </w:rPr>
        <w:t>622701********2771</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default"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 xml:space="preserve">二、案件性质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宋体" w:eastAsia="仿宋_GB2312"/>
          <w:sz w:val="32"/>
          <w:szCs w:val="30"/>
          <w:lang w:val="en-US" w:eastAsia="zh-CN"/>
        </w:rPr>
      </w:pPr>
      <w:r>
        <w:rPr>
          <w:rFonts w:ascii="仿宋_GB2312" w:hAnsi="仿宋_GB2312" w:eastAsia="仿宋_GB2312" w:cs="仿宋_GB2312"/>
          <w:sz w:val="32"/>
          <w:u w:val="none"/>
        </w:rPr>
        <w:t>走逃（失联）</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 xml:space="preserve">三、主要违法事实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 w:eastAsia="仿宋_GB2312"/>
          <w:sz w:val="24"/>
          <w:szCs w:val="24"/>
          <w:highlight w:val="green"/>
          <w:lang w:val="en-US" w:eastAsia="zh-CN"/>
        </w:rPr>
      </w:pPr>
      <w:r>
        <w:rPr>
          <w:rFonts w:ascii="仿宋_GB2312" w:hAnsi="仿宋_GB2312" w:eastAsia="仿宋_GB2312" w:cs="仿宋_GB2312"/>
          <w:sz w:val="32"/>
          <w:u w:val="none"/>
        </w:rPr>
        <w:t>经国家税务总局乌鲁木齐市税务局稽查局检查，发现其在检查所属期内，主要存在以下问题：具有偷税或者逃避追缴欠税、骗取出口退税、抗税、虚开发票等行为，不履行税收义务并脱离税务机关监管，经国家税务总局乌鲁木齐市税务局稽查局查证确认走逃（失联）。</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 xml:space="preserve">四、相关法律依据及税务处理处罚情况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华文中宋" w:hAnsi="华文中宋" w:eastAsia="华文中宋"/>
          <w:color w:val="auto"/>
          <w:sz w:val="48"/>
          <w:szCs w:val="48"/>
          <w:highlight w:val="none"/>
          <w:u w:val="none"/>
          <w:lang w:val="en-US" w:eastAsia="zh-CN"/>
        </w:rPr>
      </w:pPr>
      <w:r>
        <w:rPr>
          <w:rFonts w:ascii="仿宋_GB2312" w:hAnsi="仿宋_GB2312" w:eastAsia="仿宋_GB2312" w:cs="仿宋_GB2312"/>
          <w:sz w:val="32"/>
          <w:u w:val="none"/>
        </w:rPr>
        <w:t>依照《中华人民共和国税收征收管理法》等相关法律法规的有关规定，对其处以罚款5.00万元的行政处罚。</w:t>
      </w: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8531C"/>
    <w:rsid w:val="15102DA5"/>
    <w:rsid w:val="19975546"/>
    <w:rsid w:val="1B491D5C"/>
    <w:rsid w:val="221439A4"/>
    <w:rsid w:val="28A701EC"/>
    <w:rsid w:val="377F6CCF"/>
    <w:rsid w:val="3CA460D7"/>
    <w:rsid w:val="3E4B0DD8"/>
    <w:rsid w:val="42174AB6"/>
    <w:rsid w:val="4506531F"/>
    <w:rsid w:val="4CCB4AE8"/>
    <w:rsid w:val="4E473F50"/>
    <w:rsid w:val="58B368B4"/>
    <w:rsid w:val="606F7A47"/>
    <w:rsid w:val="62F705AA"/>
    <w:rsid w:val="68967D70"/>
    <w:rsid w:val="77EF504C"/>
    <w:rsid w:val="7857637E"/>
    <w:rsid w:val="7A0F5E41"/>
    <w:rsid w:val="7BEC15BC"/>
    <w:rsid w:val="7DB50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表单名称"/>
    <w:basedOn w:val="1"/>
    <w:qFormat/>
    <w:uiPriority w:val="0"/>
    <w:pPr>
      <w:widowControl/>
      <w:spacing w:line="360" w:lineRule="auto"/>
      <w:jc w:val="center"/>
    </w:pPr>
    <w:rPr>
      <w:rFonts w:ascii="宋体" w:hAnsi="宋体"/>
      <w:b/>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P650133郭琳</dc:creator>
  <cp:lastModifiedBy>宋瑞川</cp:lastModifiedBy>
  <dcterms:modified xsi:type="dcterms:W3CDTF">2024-11-29T05:54:07Z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