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kinsoku/>
        <w:wordWrap/>
        <w:overflowPunct/>
        <w:topLinePunct w:val="0"/>
        <w:autoSpaceDE/>
        <w:autoSpaceDN/>
        <w:bidi w:val="0"/>
        <w:adjustRightInd/>
        <w:snapToGrid/>
        <w:jc w:val="center"/>
        <w:textAlignment w:val="auto"/>
        <w:rPr>
          <w:rFonts w:hint="eastAsia" w:ascii="华文中宋" w:hAnsi="华文中宋" w:eastAsia="华文中宋"/>
          <w:color w:val="auto"/>
          <w:sz w:val="72"/>
          <w:szCs w:val="72"/>
          <w:highlight w:val="none"/>
          <w:u w:val="none"/>
        </w:rPr>
      </w:pPr>
      <w:r>
        <w:rPr>
          <w:rFonts w:hint="eastAsia" w:ascii="华文中宋" w:hAnsi="华文中宋" w:eastAsia="华文中宋"/>
          <w:color w:val="auto"/>
          <w:sz w:val="72"/>
          <w:szCs w:val="72"/>
          <w:highlight w:val="none"/>
          <w:u w:val="none"/>
        </w:rPr>
        <w:t>税务事项通知书</w:t>
      </w:r>
    </w:p>
    <w:p>
      <w:pPr>
        <w:pStyle w:val="9"/>
        <w:keepNext w:val="0"/>
        <w:keepLines w:val="0"/>
        <w:pageBreakBefore w:val="0"/>
        <w:kinsoku/>
        <w:wordWrap/>
        <w:overflowPunct/>
        <w:topLinePunct w:val="0"/>
        <w:autoSpaceDE/>
        <w:autoSpaceDN/>
        <w:bidi w:val="0"/>
        <w:adjustRightInd/>
        <w:snapToGrid/>
        <w:jc w:val="center"/>
        <w:textAlignment w:val="auto"/>
        <w:rPr>
          <w:rFonts w:hint="eastAsia" w:ascii="华文中宋" w:hAnsi="华文中宋" w:eastAsia="华文中宋"/>
          <w:color w:val="auto"/>
          <w:sz w:val="72"/>
          <w:szCs w:val="72"/>
          <w:highlight w:val="none"/>
          <w:u w:val="none"/>
        </w:rPr>
      </w:pPr>
      <w:r>
        <w:rPr>
          <w:rFonts w:hint="eastAsia" w:ascii="华文中宋" w:hAnsi="华文中宋" w:eastAsia="华文中宋"/>
          <w:color w:val="auto"/>
          <w:sz w:val="36"/>
          <w:szCs w:val="36"/>
          <w:highlight w:val="none"/>
          <w:u w:val="none"/>
          <w:lang w:eastAsia="zh-CN"/>
        </w:rPr>
        <w:t>（重大税收违法失信主体</w:t>
      </w:r>
      <w:r>
        <w:rPr>
          <w:rFonts w:hint="eastAsia" w:ascii="华文中宋" w:hAnsi="华文中宋" w:eastAsia="华文中宋"/>
          <w:color w:val="auto"/>
          <w:sz w:val="36"/>
          <w:szCs w:val="36"/>
          <w:highlight w:val="none"/>
          <w:u w:val="none"/>
          <w:lang w:val="en-US" w:eastAsia="zh-CN"/>
        </w:rPr>
        <w:t>告知</w:t>
      </w:r>
      <w:r>
        <w:rPr>
          <w:rFonts w:hint="eastAsia" w:ascii="华文中宋" w:hAnsi="华文中宋" w:eastAsia="华文中宋"/>
          <w:color w:val="auto"/>
          <w:sz w:val="36"/>
          <w:szCs w:val="36"/>
          <w:highlight w:val="none"/>
          <w:u w:val="none"/>
          <w:lang w:eastAsia="zh-CN"/>
        </w:rPr>
        <w:t>适用）</w:t>
      </w:r>
    </w:p>
    <w:p>
      <w:pPr>
        <w:pStyle w:val="9"/>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 w:eastAsia="仿宋_GB2312"/>
          <w:b w:val="0"/>
          <w:bCs/>
          <w:color w:val="auto"/>
          <w:spacing w:val="-20"/>
          <w:kern w:val="10"/>
          <w:sz w:val="32"/>
          <w:szCs w:val="32"/>
          <w:highlight w:val="none"/>
          <w:u w:val="none"/>
          <w:lang w:val="en-US" w:eastAsia="zh-CN"/>
        </w:rPr>
      </w:pPr>
      <w:bookmarkStart w:id="0" w:name="djh"/>
      <w:bookmarkEnd w:id="0"/>
      <w:r>
        <w:rPr>
          <w:rFonts w:ascii="仿宋_GB2312" w:hAnsi="仿宋_GB2312" w:eastAsia="仿宋_GB2312" w:cs="仿宋_GB2312"/>
          <w:sz w:val="32"/>
          <w:u w:val="none"/>
        </w:rPr>
        <w:t>乌税稽税通〔2024〕0903号</w:t>
      </w:r>
    </w:p>
    <w:p>
      <w:pPr>
        <w:pStyle w:val="9"/>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仿宋_GB2312" w:hAnsi="仿宋" w:eastAsia="仿宋_GB2312"/>
          <w:b w:val="0"/>
          <w:bCs/>
          <w:color w:val="auto"/>
          <w:spacing w:val="-20"/>
          <w:kern w:val="10"/>
          <w:sz w:val="10"/>
          <w:szCs w:val="10"/>
          <w:highlight w:val="none"/>
          <w:u w:val="none"/>
          <w:lang w:val="en-US" w:eastAsia="zh-CN"/>
        </w:rPr>
      </w:pPr>
      <w:r>
        <w:rPr>
          <w:rFonts w:hint="default" w:ascii="仿宋_GB2312" w:hAnsi="仿宋" w:eastAsia="仿宋_GB2312"/>
          <w:b w:val="0"/>
          <w:bCs/>
          <w:color w:val="auto"/>
          <w:spacing w:val="-20"/>
          <w:kern w:val="10"/>
          <w:sz w:val="10"/>
          <w:szCs w:val="10"/>
          <w:highlight w:val="none"/>
          <w:u w:val="none"/>
          <w:lang w:val="en-US" w:eastAsia="zh-CN"/>
        </w:rPr>
        <mc:AlternateContent>
          <mc:Choice Requires="wps">
            <w:drawing>
              <wp:anchor distT="0" distB="0" distL="114300" distR="114300" simplePos="0" relativeHeight="251659264" behindDoc="0" locked="0" layoutInCell="1" allowOverlap="1">
                <wp:simplePos x="0" y="0"/>
                <wp:positionH relativeFrom="column">
                  <wp:posOffset>-48895</wp:posOffset>
                </wp:positionH>
                <wp:positionV relativeFrom="paragraph">
                  <wp:posOffset>57150</wp:posOffset>
                </wp:positionV>
                <wp:extent cx="5643880" cy="6350"/>
                <wp:effectExtent l="0" t="8255" r="7620" b="23495"/>
                <wp:wrapNone/>
                <wp:docPr id="4" name="直接箭头连接符 4"/>
                <wp:cNvGraphicFramePr/>
                <a:graphic xmlns:a="http://schemas.openxmlformats.org/drawingml/2006/main">
                  <a:graphicData uri="http://schemas.microsoft.com/office/word/2010/wordprocessingShape">
                    <wps:wsp>
                      <wps:cNvCnPr>
                        <a:cxnSpLocks noChangeShapeType="1"/>
                      </wps:cNvCnPr>
                      <wps:spPr bwMode="auto">
                        <a:xfrm flipV="1">
                          <a:off x="0" y="0"/>
                          <a:ext cx="5643880" cy="6350"/>
                        </a:xfrm>
                        <a:prstGeom prst="straightConnector1">
                          <a:avLst/>
                        </a:prstGeom>
                        <a:noFill/>
                        <a:ln w="41275">
                          <a:solidFill>
                            <a:srgbClr val="000000"/>
                          </a:solidFill>
                          <a:round/>
                        </a:ln>
                        <a:effectLst/>
                      </wps:spPr>
                      <wps:bodyPr/>
                    </wps:wsp>
                  </a:graphicData>
                </a:graphic>
              </wp:anchor>
            </w:drawing>
          </mc:Choice>
          <mc:Fallback>
            <w:pict>
              <v:shape id="_x0000_s1026" o:spid="_x0000_s1026" o:spt="32" type="#_x0000_t32" style="position:absolute;left:0pt;flip:y;margin-left:-3.85pt;margin-top:4.5pt;height:0.5pt;width:444.4pt;z-index:251659264;mso-width-relative:page;mso-height-relative:page;" filled="f" stroked="t" coordsize="21600,21600" o:gfxdata="UEsDBAoAAAAAAIdO4kAAAAAAAAAAAAAAAAAEAAAAZHJzL1BLAwQUAAAACACHTuJAf56W7dQAAAAH&#10;AQAADwAAAGRycy9kb3ducmV2LnhtbE2Py07DMBBF90j8gzVI7FrbLEgIcSpAVGVL6YadGw952o5s&#10;p2n/vsMKlqN7dO+ZcnO2IzthiJ13CuRaAENXe9O5RsHha7vKgcWkndGjd6jgghE21e1NqQvjF/eJ&#10;p31qGJW4WGgFbUpTwXmsW7Q6rv2EjrIfH6xOdIaGm6AXKrcjfxDikVvdOVpo9YRvLdbDfrYKluH9&#10;o//uQyZ32znG1/5weVkGpe7vpHgGlvCc/mD41Sd1qMjp6GdnIhsVrLKMSAVP9BHFeS4lsCNxQgCv&#10;Sv7fv7oCUEsDBBQAAAAIAIdO4kC+waxYBAIAANoDAAAOAAAAZHJzL2Uyb0RvYy54bWytU8FuEzEQ&#10;vSPxD5bvZJM0CdEqmx4SlUuBSC29O17vroXtsWwnm/wEP4DECTgBp975Glo+g7E3TUu59MAeLNvj&#10;92bem9nZ6U4rshXOSzAFHfT6lAjDoZSmLui7y7MXU0p8YKZkCowo6F54ejp//mzW2lwMoQFVCkeQ&#10;xPi8tQVtQrB5lnneCM18D6wwGKzAaRbw6OqsdKxFdq2yYb8/yVpwpXXAhfd4u+yC9MDonkIIVSW5&#10;WALfaGFCx+qEYgEl+UZaT+ep2qoSPLytKi8CUQVFpSGtmAT367hm8xnLa8dsI/mhBPaUEh5p0kwa&#10;THqkWrLAyMbJf6i05A48VKHHQWedkOQIqhj0H3lz0TArkha02tuj6f7/0fI325UjsizoiBLDNDb8&#10;9uP1zYcvtz++//p8/fvnp7j/9pWMolWt9TkiFmbloli+Mxf2HPh7TwwsGmZqkUq+3FvkGURE9hck&#10;HrzFhOv2NZT4hm0CJN92ldOkUtJeRWAkR2/ILjVqf2yU2AXC8XI8GZ1Mp9hDjrHJyTj1MWN5ZIlY&#10;63x4JUCTuCmoD47JugkLMAYnAlyXgW3PfYg13gMi2MCZVCoNhjKkRWcGw5fjVJMHJcsYje+8q9cL&#10;5ciWxdlKX1KMkYfPHGxM2WVRJuJEGstD6jtHOm/XUO5X7s42bHkq7jCecaYenpO597/k/A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npbt1AAAAAcBAAAPAAAAAAAAAAEAIAAAACIAAABkcnMvZG93&#10;bnJldi54bWxQSwECFAAUAAAACACHTuJAvsGsWAQCAADaAwAADgAAAAAAAAABACAAAAAjAQAAZHJz&#10;L2Uyb0RvYy54bWxQSwUGAAAAAAYABgBZAQAAmQUAAAAA&#10;">
                <v:fill on="f" focussize="0,0"/>
                <v:stroke weight="3.25pt" color="#000000" joinstyle="round"/>
                <v:imagedata o:title=""/>
                <o:lock v:ext="edit" aspectratio="f"/>
              </v:shape>
            </w:pict>
          </mc:Fallback>
        </mc:AlternateContent>
      </w:r>
    </w:p>
    <w:p>
      <w:pPr>
        <w:pStyle w:val="9"/>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仿宋_GB2312" w:hAnsi="仿宋" w:eastAsia="仿宋_GB2312"/>
          <w:b w:val="0"/>
          <w:bCs/>
          <w:color w:val="auto"/>
          <w:spacing w:val="-20"/>
          <w:kern w:val="10"/>
          <w:sz w:val="32"/>
          <w:szCs w:val="32"/>
          <w:highlight w:val="none"/>
          <w:u w:val="none"/>
          <w:lang w:val="en-US" w:eastAsia="zh-CN"/>
        </w:rPr>
      </w:pPr>
      <w:bookmarkStart w:id="1" w:name="OLE_LINK4"/>
      <w:bookmarkEnd w:id="1"/>
      <w:bookmarkStart w:id="2" w:name="OLE_LINK5"/>
      <w:r>
        <w:rPr>
          <w:rFonts w:ascii="仿宋_GB2312" w:hAnsi="仿宋_GB2312" w:eastAsia="仿宋_GB2312" w:cs="仿宋_GB2312"/>
          <w:sz w:val="32"/>
          <w:u w:val="none"/>
        </w:rPr>
        <w:t>新疆宏胜晟源贸易有限公司（91650109MA7FL0YN2Y）:</w:t>
      </w:r>
    </w:p>
    <w:bookmarkEnd w:id="2"/>
    <w:p>
      <w:pPr>
        <w:keepNext w:val="0"/>
        <w:keepLines w:val="0"/>
        <w:pageBreakBefore w:val="0"/>
        <w:widowControl/>
        <w:suppressLineNumbers w:val="0"/>
        <w:kinsoku/>
        <w:wordWrap w:val="0"/>
        <w:overflowPunct/>
        <w:topLinePunct w:val="0"/>
        <w:autoSpaceDE/>
        <w:autoSpaceDN/>
        <w:bidi w:val="0"/>
        <w:adjustRightInd/>
        <w:snapToGrid/>
        <w:spacing w:afterAutospacing="0"/>
        <w:ind w:firstLine="612" w:firstLineChars="200"/>
        <w:jc w:val="left"/>
        <w:textAlignment w:val="auto"/>
        <w:rPr>
          <w:rFonts w:hint="eastAsia" w:ascii="仿宋" w:hAnsi="仿宋" w:eastAsia="仿宋" w:cs="仿宋"/>
          <w:color w:val="auto"/>
          <w:sz w:val="32"/>
          <w:szCs w:val="32"/>
          <w:highlight w:val="none"/>
          <w:u w:val="none"/>
        </w:rPr>
      </w:pPr>
      <w:bookmarkStart w:id="3" w:name="OLE_LINK6"/>
      <w:r>
        <w:rPr>
          <w:rFonts w:hint="eastAsia" w:ascii="仿宋" w:hAnsi="仿宋" w:eastAsia="仿宋" w:cs="仿宋"/>
          <w:color w:val="auto"/>
          <w:sz w:val="32"/>
          <w:szCs w:val="32"/>
          <w:highlight w:val="none"/>
          <w:u w:val="none"/>
        </w:rPr>
        <w:t>事由</w:t>
      </w:r>
      <w:r>
        <w:rPr>
          <w:rFonts w:hint="eastAsia" w:ascii="仿宋" w:hAnsi="仿宋" w:eastAsia="仿宋" w:cs="仿宋"/>
          <w:color w:val="auto"/>
          <w:sz w:val="32"/>
          <w:szCs w:val="32"/>
          <w:highlight w:val="none"/>
          <w:u w:val="none"/>
          <w:lang w:eastAsia="zh-CN"/>
        </w:rPr>
        <w:t>:</w:t>
      </w:r>
      <w:r>
        <w:rPr>
          <w:rFonts w:hint="eastAsia" w:ascii="仿宋" w:hAnsi="仿宋" w:eastAsia="仿宋" w:cs="仿宋"/>
          <w:color w:val="auto"/>
          <w:sz w:val="32"/>
          <w:szCs w:val="32"/>
          <w:highlight w:val="none"/>
          <w:u w:val="none"/>
          <w:lang w:val="en-US" w:eastAsia="zh-CN"/>
        </w:rPr>
        <w:t>拟</w:t>
      </w:r>
      <w:r>
        <w:rPr>
          <w:rFonts w:hint="eastAsia" w:ascii="仿宋" w:hAnsi="仿宋" w:eastAsia="仿宋" w:cs="仿宋"/>
          <w:color w:val="auto"/>
          <w:sz w:val="32"/>
          <w:szCs w:val="32"/>
          <w:highlight w:val="none"/>
          <w:u w:val="none"/>
          <w:lang w:eastAsia="zh-CN"/>
        </w:rPr>
        <w:t>将你单位确定为重大税收违法失信主体。</w:t>
      </w:r>
    </w:p>
    <w:bookmarkEnd w:id="3"/>
    <w:p>
      <w:pPr>
        <w:keepNext w:val="0"/>
        <w:keepLines w:val="0"/>
        <w:pageBreakBefore w:val="0"/>
        <w:widowControl/>
        <w:kinsoku/>
        <w:wordWrap w:val="0"/>
        <w:overflowPunct/>
        <w:topLinePunct w:val="0"/>
        <w:autoSpaceDE/>
        <w:autoSpaceDN/>
        <w:bidi w:val="0"/>
        <w:adjustRightInd/>
        <w:snapToGrid/>
        <w:spacing w:afterAutospacing="0"/>
        <w:ind w:firstLine="612" w:firstLineChars="200"/>
        <w:jc w:val="left"/>
        <w:textAlignment w:val="auto"/>
        <w:rPr>
          <w:rFonts w:hint="eastAsia" w:ascii="仿宋" w:hAnsi="仿宋" w:eastAsia="仿宋" w:cs="仿宋"/>
          <w:color w:val="auto"/>
          <w:sz w:val="32"/>
          <w:szCs w:val="32"/>
          <w:highlight w:val="none"/>
          <w:u w:val="none"/>
          <w:lang w:eastAsia="zh-CN"/>
        </w:rPr>
      </w:pPr>
      <w:bookmarkStart w:id="4" w:name="OLE_LINK19"/>
      <w:r>
        <w:rPr>
          <w:rFonts w:hint="eastAsia" w:ascii="仿宋" w:hAnsi="仿宋" w:eastAsia="仿宋" w:cs="仿宋"/>
          <w:color w:val="auto"/>
          <w:sz w:val="32"/>
          <w:szCs w:val="32"/>
          <w:highlight w:val="none"/>
          <w:u w:val="none"/>
        </w:rPr>
        <w:t>依据</w:t>
      </w:r>
      <w:r>
        <w:rPr>
          <w:rFonts w:hint="eastAsia" w:ascii="仿宋" w:hAnsi="仿宋" w:eastAsia="仿宋" w:cs="仿宋"/>
          <w:color w:val="auto"/>
          <w:sz w:val="32"/>
          <w:szCs w:val="32"/>
          <w:highlight w:val="none"/>
          <w:u w:val="none"/>
          <w:lang w:eastAsia="zh-CN"/>
        </w:rPr>
        <w:t>:根据《重大税收违法失信主体信息公布管理办法》（国家税务总局令第54号）第</w:t>
      </w:r>
      <w:r>
        <w:rPr>
          <w:rFonts w:hint="eastAsia" w:ascii="仿宋_GB2312" w:hAnsi="宋体" w:eastAsia="仿宋_GB2312"/>
          <w:color w:val="auto"/>
          <w:sz w:val="32"/>
          <w:szCs w:val="24"/>
          <w:highlight w:val="none"/>
          <w:u w:val="none"/>
          <w:lang w:val="en-US" w:eastAsia="zh-CN"/>
        </w:rPr>
        <w:t>八</w:t>
      </w:r>
      <w:r>
        <w:rPr>
          <w:rFonts w:hint="eastAsia" w:ascii="仿宋" w:hAnsi="仿宋" w:eastAsia="仿宋" w:cs="仿宋"/>
          <w:color w:val="auto"/>
          <w:sz w:val="32"/>
          <w:szCs w:val="32"/>
          <w:highlight w:val="none"/>
          <w:u w:val="none"/>
          <w:lang w:eastAsia="zh-CN"/>
        </w:rPr>
        <w:t>条等规定。</w:t>
      </w:r>
    </w:p>
    <w:bookmarkEnd w:id="4"/>
    <w:p>
      <w:pPr>
        <w:keepNext w:val="0"/>
        <w:keepLines w:val="0"/>
        <w:pageBreakBefore w:val="0"/>
        <w:widowControl/>
        <w:kinsoku/>
        <w:wordWrap w:val="0"/>
        <w:overflowPunct/>
        <w:topLinePunct w:val="0"/>
        <w:autoSpaceDE/>
        <w:autoSpaceDN/>
        <w:bidi w:val="0"/>
        <w:adjustRightInd/>
        <w:snapToGrid/>
        <w:ind w:firstLine="572" w:firstLineChars="200"/>
        <w:jc w:val="left"/>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30"/>
          <w:szCs w:val="30"/>
          <w:highlight w:val="none"/>
          <w:u w:val="none"/>
          <w:lang w:val="en-US" w:eastAsia="zh-CN"/>
        </w:rPr>
        <w:t>我局拟将你单位确定为重大税收违法失信主体，向社会公布失信信息</w:t>
      </w:r>
      <w:r>
        <w:rPr>
          <w:rFonts w:hint="eastAsia" w:ascii="仿宋" w:hAnsi="仿宋" w:eastAsia="仿宋" w:cs="仿宋"/>
          <w:color w:val="auto"/>
          <w:sz w:val="30"/>
          <w:szCs w:val="30"/>
          <w:highlight w:val="none"/>
          <w:u w:val="none"/>
          <w:lang w:eastAsia="zh-CN"/>
        </w:rPr>
        <w:t>（详细内容见附件）</w:t>
      </w:r>
      <w:r>
        <w:rPr>
          <w:rFonts w:hint="eastAsia" w:ascii="仿宋" w:hAnsi="仿宋" w:eastAsia="仿宋" w:cs="仿宋"/>
          <w:color w:val="auto"/>
          <w:sz w:val="30"/>
          <w:szCs w:val="30"/>
          <w:highlight w:val="none"/>
          <w:u w:val="none"/>
          <w:lang w:val="en-US" w:eastAsia="zh-CN"/>
        </w:rPr>
        <w:t>，拟将你单位失信信息在国家公共信用信息中心“信用中国”网站公示，并推送至参与联合惩戒部门依法依规采取惩戒措施，税务机关适用D级纳税人管理措施（由税务机关纳税信用管理部门按纳税信用制度执行)。</w:t>
      </w:r>
    </w:p>
    <w:p>
      <w:pPr>
        <w:keepNext w:val="0"/>
        <w:keepLines w:val="0"/>
        <w:pageBreakBefore w:val="0"/>
        <w:widowControl/>
        <w:kinsoku/>
        <w:wordWrap w:val="0"/>
        <w:overflowPunct/>
        <w:topLinePunct w:val="0"/>
        <w:autoSpaceDE/>
        <w:autoSpaceDN/>
        <w:bidi w:val="0"/>
        <w:adjustRightInd/>
        <w:snapToGrid/>
        <w:ind w:firstLine="572" w:firstLineChars="200"/>
        <w:jc w:val="left"/>
        <w:textAlignment w:val="auto"/>
        <w:rPr>
          <w:rFonts w:hint="eastAsia" w:ascii="仿宋" w:hAnsi="仿宋" w:eastAsia="仿宋" w:cs="仿宋"/>
          <w:color w:val="auto"/>
          <w:sz w:val="30"/>
          <w:szCs w:val="30"/>
          <w:highlight w:val="none"/>
          <w:u w:val="none"/>
          <w:lang w:val="en-US" w:eastAsia="zh-CN"/>
        </w:rPr>
      </w:pPr>
      <w:r>
        <w:rPr>
          <w:rFonts w:hint="eastAsia" w:ascii="仿宋" w:hAnsi="仿宋" w:eastAsia="仿宋" w:cs="仿宋"/>
          <w:color w:val="auto"/>
          <w:sz w:val="30"/>
          <w:szCs w:val="30"/>
          <w:highlight w:val="none"/>
          <w:u w:val="none"/>
          <w:lang w:val="en-US" w:eastAsia="zh-CN"/>
        </w:rPr>
        <w:t>你单位有陈述、申辩权利，请自收到本通知书之日起5个工作日内，到我局进行陈述、申辩，并提供相关证据材料；逾期不进行陈述、申辩或提供相关证据材料的，视同放弃权利。</w:t>
      </w:r>
    </w:p>
    <w:p>
      <w:pPr>
        <w:keepNext w:val="0"/>
        <w:keepLines w:val="0"/>
        <w:pageBreakBefore w:val="0"/>
        <w:widowControl/>
        <w:kinsoku/>
        <w:wordWrap w:val="0"/>
        <w:overflowPunct/>
        <w:topLinePunct w:val="0"/>
        <w:autoSpaceDE/>
        <w:autoSpaceDN/>
        <w:bidi w:val="0"/>
        <w:adjustRightInd/>
        <w:snapToGrid/>
        <w:spacing w:afterAutospacing="0"/>
        <w:ind w:firstLine="612" w:firstLineChars="200"/>
        <w:jc w:val="left"/>
        <w:textAlignment w:val="auto"/>
        <w:rPr>
          <w:rFonts w:hint="eastAsia" w:ascii="仿宋_GB2312" w:hAnsi="宋体" w:eastAsia="仿宋_GB2312"/>
          <w:color w:val="000000"/>
          <w:sz w:val="32"/>
          <w:szCs w:val="32"/>
          <w:highlight w:val="none"/>
          <w:u w:val="none"/>
          <w:lang w:eastAsia="zh-CN"/>
        </w:rPr>
      </w:pPr>
      <w:r>
        <w:rPr>
          <w:rFonts w:hint="eastAsia" w:ascii="仿宋_GB2312" w:hAnsi="宋体" w:eastAsia="仿宋_GB2312"/>
          <w:color w:val="000000"/>
          <w:sz w:val="32"/>
          <w:szCs w:val="32"/>
          <w:highlight w:val="none"/>
          <w:u w:val="none"/>
          <w:lang w:eastAsia="zh-CN"/>
        </w:rPr>
        <w:t>附件:</w:t>
      </w:r>
      <w:r>
        <w:rPr>
          <w:rFonts w:hint="eastAsia" w:ascii="仿宋_GB2312" w:hAnsi="宋体" w:eastAsia="仿宋_GB2312"/>
          <w:color w:val="000000"/>
          <w:sz w:val="32"/>
          <w:szCs w:val="32"/>
          <w:highlight w:val="none"/>
          <w:u w:val="none"/>
          <w:lang w:val="en-US" w:eastAsia="zh-CN"/>
        </w:rPr>
        <w:t>拟</w:t>
      </w:r>
      <w:r>
        <w:rPr>
          <w:rFonts w:hint="eastAsia" w:ascii="仿宋_GB2312" w:hAnsi="宋体" w:eastAsia="仿宋_GB2312"/>
          <w:color w:val="000000"/>
          <w:sz w:val="32"/>
          <w:szCs w:val="32"/>
          <w:highlight w:val="none"/>
          <w:u w:val="none"/>
          <w:lang w:eastAsia="zh-CN"/>
        </w:rPr>
        <w:t>公布的失信信息</w:t>
      </w:r>
    </w:p>
    <w:p>
      <w:pPr>
        <w:pStyle w:val="2"/>
        <w:rPr>
          <w:rFonts w:hint="eastAsia"/>
          <w:lang w:eastAsia="zh-CN"/>
        </w:rPr>
      </w:pPr>
    </w:p>
    <w:p>
      <w:pPr>
        <w:keepNext w:val="0"/>
        <w:keepLines w:val="0"/>
        <w:pageBreakBefore w:val="0"/>
        <w:widowControl/>
        <w:kinsoku/>
        <w:wordWrap w:val="0"/>
        <w:overflowPunct/>
        <w:topLinePunct w:val="0"/>
        <w:autoSpaceDE/>
        <w:autoSpaceDN/>
        <w:bidi w:val="0"/>
        <w:adjustRightInd/>
        <w:snapToGrid/>
        <w:spacing w:afterAutospacing="0"/>
        <w:ind w:firstLine="2754" w:firstLineChars="900"/>
        <w:jc w:val="left"/>
        <w:textAlignment w:val="auto"/>
        <w:rPr>
          <w:rFonts w:hint="eastAsia" w:ascii="仿宋_GB2312" w:hAnsi="宋体" w:eastAsia="仿宋_GB2312"/>
          <w:color w:val="auto"/>
          <w:sz w:val="32"/>
          <w:szCs w:val="32"/>
          <w:highlight w:val="none"/>
          <w:u w:val="none"/>
        </w:rPr>
      </w:pPr>
      <w:r>
        <w:rPr>
          <w:rFonts w:hint="eastAsia" w:ascii="仿宋_GB2312" w:hAnsi="宋体" w:eastAsia="仿宋_GB2312"/>
          <w:color w:val="auto"/>
          <w:sz w:val="32"/>
          <w:szCs w:val="32"/>
          <w:highlight w:val="none"/>
          <w:u w:val="none"/>
        </w:rPr>
        <w:t>国家税务总局</w:t>
      </w:r>
      <w:r>
        <w:rPr>
          <w:rFonts w:hint="eastAsia" w:ascii="仿宋_GB2312" w:hAnsi="宋体" w:eastAsia="仿宋_GB2312"/>
          <w:color w:val="auto"/>
          <w:sz w:val="32"/>
          <w:szCs w:val="32"/>
          <w:highlight w:val="none"/>
          <w:u w:val="none"/>
          <w:lang w:val="en-US" w:eastAsia="zh-CN"/>
        </w:rPr>
        <w:t>乌鲁木齐市</w:t>
      </w:r>
      <w:r>
        <w:rPr>
          <w:rFonts w:hint="eastAsia" w:ascii="仿宋_GB2312" w:hAnsi="宋体" w:eastAsia="仿宋_GB2312"/>
          <w:color w:val="auto"/>
          <w:sz w:val="32"/>
          <w:szCs w:val="32"/>
          <w:highlight w:val="none"/>
          <w:u w:val="none"/>
        </w:rPr>
        <w:t>税务局稽查局</w:t>
      </w:r>
    </w:p>
    <w:p>
      <w:pPr>
        <w:keepNext w:val="0"/>
        <w:keepLines w:val="0"/>
        <w:pageBreakBefore w:val="0"/>
        <w:widowControl/>
        <w:kinsoku/>
        <w:wordWrap w:val="0"/>
        <w:overflowPunct/>
        <w:topLinePunct w:val="0"/>
        <w:autoSpaceDE/>
        <w:autoSpaceDN/>
        <w:bidi w:val="0"/>
        <w:adjustRightInd/>
        <w:snapToGrid/>
        <w:spacing w:afterAutospacing="0"/>
        <w:ind w:firstLine="612" w:firstLineChars="200"/>
        <w:jc w:val="left"/>
        <w:textAlignment w:val="auto"/>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pPr>
      <w:r>
        <w:rPr>
          <w:rFonts w:hint="eastAsia" w:ascii="仿宋_GB2312" w:hAnsi="宋体" w:eastAsia="仿宋_GB2312"/>
          <w:color w:val="auto"/>
          <w:sz w:val="32"/>
          <w:szCs w:val="32"/>
          <w:highlight w:val="none"/>
          <w:u w:val="none"/>
        </w:rPr>
        <w:t xml:space="preserve"> </w:t>
      </w:r>
      <w:r>
        <w:rPr>
          <w:rFonts w:hint="eastAsia" w:ascii="仿宋_GB2312" w:hAnsi="宋体" w:eastAsia="仿宋_GB2312"/>
          <w:color w:val="auto"/>
          <w:sz w:val="32"/>
          <w:szCs w:val="32"/>
          <w:highlight w:val="none"/>
          <w:u w:val="none"/>
          <w:lang w:val="en-US" w:eastAsia="zh-CN"/>
        </w:rPr>
        <w:t xml:space="preserve">                   </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 xml:space="preserve">    2024</w:t>
      </w:r>
      <w:r>
        <w:rPr>
          <w:rFonts w:hint="eastAsia" w:ascii="仿宋_GB2312" w:hAnsi="宋体" w:eastAsia="仿宋_GB2312"/>
          <w:color w:val="auto"/>
          <w:sz w:val="32"/>
          <w:szCs w:val="32"/>
          <w:highlight w:val="none"/>
          <w:u w:val="none"/>
          <w:lang w:val="en-US" w:eastAsia="zh-CN"/>
        </w:rPr>
        <w:t>年 10 月 18 日</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 xml:space="preserve"> </w:t>
      </w:r>
    </w:p>
    <w:p>
      <w:pPr>
        <w:pStyle w:val="2"/>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pPr>
    </w:p>
    <w:p>
      <w:pPr>
        <w:pStyle w:val="2"/>
        <w:jc w:val="both"/>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pPr>
    </w:p>
    <w:p>
      <w:pPr>
        <w:numPr>
          <w:ilvl w:val="0"/>
          <w:numId w:val="0"/>
        </w:numPr>
        <w:tabs>
          <w:tab w:val="left" w:pos="1768"/>
        </w:tabs>
        <w:ind w:firstLine="3114" w:firstLineChars="900"/>
      </w:pPr>
      <w:bookmarkStart w:id="7" w:name="_GoBack"/>
      <w:bookmarkEnd w:id="7"/>
      <w:r>
        <w:rPr>
          <w:rFonts w:hint="eastAsia" w:ascii="仿宋" w:hAnsi="仿宋" w:eastAsia="仿宋" w:cs="仿宋"/>
          <w:b/>
          <w:bCs/>
          <w:color w:val="000000"/>
          <w:kern w:val="0"/>
          <w:sz w:val="36"/>
          <w:szCs w:val="36"/>
          <w:lang w:val="en-US" w:eastAsia="zh-CN" w:bidi="ar"/>
        </w:rPr>
        <w:t>拟</w:t>
      </w:r>
      <w:r>
        <w:rPr>
          <w:rFonts w:ascii="仿宋" w:hAnsi="仿宋" w:eastAsia="仿宋" w:cs="仿宋"/>
          <w:b/>
          <w:bCs/>
          <w:color w:val="000000"/>
          <w:kern w:val="0"/>
          <w:sz w:val="36"/>
          <w:szCs w:val="36"/>
          <w:lang w:val="en-US" w:eastAsia="zh-CN" w:bidi="ar"/>
        </w:rPr>
        <w:t xml:space="preserve">公布的失信信息 </w:t>
      </w:r>
    </w:p>
    <w:p>
      <w:pPr>
        <w:keepNext w:val="0"/>
        <w:keepLines w:val="0"/>
        <w:pageBreakBefore w:val="0"/>
        <w:widowControl/>
        <w:suppressLineNumbers w:val="0"/>
        <w:kinsoku/>
        <w:wordWrap/>
        <w:overflowPunct/>
        <w:topLinePunct w:val="0"/>
        <w:autoSpaceDE/>
        <w:autoSpaceDN/>
        <w:bidi w:val="0"/>
        <w:adjustRightInd/>
        <w:snapToGrid/>
        <w:ind w:firstLine="592" w:firstLineChars="200"/>
        <w:jc w:val="left"/>
        <w:textAlignment w:val="auto"/>
        <w:rPr>
          <w:rFonts w:hint="eastAsia" w:ascii="宋体" w:hAnsi="宋体" w:cs="宋体"/>
          <w:b/>
          <w:bCs/>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592" w:firstLineChars="200"/>
        <w:jc w:val="left"/>
        <w:textAlignment w:val="auto"/>
      </w:pPr>
      <w:r>
        <w:rPr>
          <w:rFonts w:hint="eastAsia" w:ascii="宋体" w:hAnsi="宋体" w:cs="宋体"/>
          <w:b/>
          <w:bCs/>
          <w:color w:val="000000"/>
          <w:kern w:val="0"/>
          <w:sz w:val="31"/>
          <w:szCs w:val="31"/>
          <w:lang w:val="en-US" w:eastAsia="zh-CN" w:bidi="ar"/>
        </w:rPr>
        <w:t>一</w:t>
      </w:r>
      <w:r>
        <w:rPr>
          <w:rFonts w:hint="eastAsia" w:ascii="宋体" w:hAnsi="宋体" w:eastAsia="宋体" w:cs="宋体"/>
          <w:b/>
          <w:bCs/>
          <w:color w:val="000000"/>
          <w:kern w:val="0"/>
          <w:sz w:val="31"/>
          <w:szCs w:val="31"/>
          <w:lang w:val="en-US" w:eastAsia="zh-CN" w:bidi="ar"/>
        </w:rPr>
        <w:t>、</w:t>
      </w:r>
      <w:r>
        <w:rPr>
          <w:rFonts w:hint="eastAsia" w:ascii="宋体" w:hAnsi="宋体" w:cs="宋体"/>
          <w:b/>
          <w:bCs/>
          <w:color w:val="000000"/>
          <w:kern w:val="0"/>
          <w:sz w:val="31"/>
          <w:szCs w:val="31"/>
          <w:lang w:val="en-US" w:eastAsia="zh-CN" w:bidi="ar"/>
        </w:rPr>
        <w:t>基本情况</w:t>
      </w:r>
      <w:r>
        <w:rPr>
          <w:rFonts w:hint="eastAsia" w:ascii="宋体" w:hAnsi="宋体" w:eastAsia="宋体" w:cs="宋体"/>
          <w:b/>
          <w:bCs/>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612" w:firstLineChars="200"/>
        <w:jc w:val="left"/>
        <w:textAlignment w:val="auto"/>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sz w:val="32"/>
          <w:u w:val="none"/>
        </w:rPr>
        <w:t>纳税人名称:新疆宏胜晟源贸易有限公司</w:t>
      </w:r>
    </w:p>
    <w:p>
      <w:pPr>
        <w:keepNext w:val="0"/>
        <w:keepLines w:val="0"/>
        <w:pageBreakBefore w:val="0"/>
        <w:widowControl/>
        <w:suppressLineNumbers w:val="0"/>
        <w:kinsoku/>
        <w:wordWrap/>
        <w:overflowPunct/>
        <w:topLinePunct w:val="0"/>
        <w:autoSpaceDE/>
        <w:autoSpaceDN/>
        <w:bidi w:val="0"/>
        <w:adjustRightInd/>
        <w:snapToGrid/>
        <w:ind w:firstLine="612" w:firstLineChars="200"/>
        <w:jc w:val="left"/>
        <w:textAlignment w:val="auto"/>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sz w:val="32"/>
          <w:u w:val="none"/>
        </w:rPr>
        <w:t>统一社会信用代码（纳税人识别号）:91650109MA7FL0YN2Y</w:t>
      </w:r>
    </w:p>
    <w:p>
      <w:pPr>
        <w:keepNext w:val="0"/>
        <w:keepLines w:val="0"/>
        <w:pageBreakBefore w:val="0"/>
        <w:widowControl/>
        <w:suppressLineNumbers w:val="0"/>
        <w:kinsoku/>
        <w:wordWrap/>
        <w:overflowPunct/>
        <w:topLinePunct w:val="0"/>
        <w:autoSpaceDE/>
        <w:autoSpaceDN/>
        <w:bidi w:val="0"/>
        <w:adjustRightInd/>
        <w:snapToGrid/>
        <w:ind w:firstLine="612" w:firstLineChars="200"/>
        <w:jc w:val="left"/>
        <w:textAlignment w:val="auto"/>
        <w:rPr>
          <w:rFonts w:hint="default" w:ascii="仿宋_GB2312" w:hAnsi="仿宋_GB2312" w:eastAsia="仿宋_GB2312" w:cs="仿宋_GB2312"/>
          <w:color w:val="000000"/>
          <w:kern w:val="0"/>
          <w:sz w:val="31"/>
          <w:szCs w:val="31"/>
          <w:lang w:val="en-US" w:eastAsia="zh-CN" w:bidi="ar"/>
        </w:rPr>
      </w:pPr>
      <w:r>
        <w:rPr>
          <w:rFonts w:ascii="仿宋_GB2312" w:hAnsi="仿宋_GB2312" w:eastAsia="仿宋_GB2312" w:cs="仿宋_GB2312"/>
          <w:sz w:val="32"/>
          <w:u w:val="none"/>
        </w:rPr>
        <w:t>注册地址:新疆乌鲁木齐市米东区古牧地东路街道办事处光明路南侧健康路西侧菜园子安置小区06幢0单元（2）层14室</w:t>
      </w:r>
    </w:p>
    <w:p>
      <w:pPr>
        <w:keepNext w:val="0"/>
        <w:keepLines w:val="0"/>
        <w:pageBreakBefore w:val="0"/>
        <w:widowControl/>
        <w:suppressLineNumbers w:val="0"/>
        <w:kinsoku/>
        <w:wordWrap/>
        <w:overflowPunct/>
        <w:topLinePunct w:val="0"/>
        <w:autoSpaceDE/>
        <w:autoSpaceDN/>
        <w:bidi w:val="0"/>
        <w:adjustRightInd/>
        <w:snapToGrid/>
        <w:ind w:firstLine="612" w:firstLineChars="200"/>
        <w:jc w:val="left"/>
        <w:textAlignment w:val="auto"/>
        <w:rPr>
          <w:rFonts w:hint="default" w:ascii="仿宋_GB2312" w:hAnsi="仿宋" w:eastAsia="仿宋_GB2312"/>
          <w:color w:val="0070C0"/>
          <w:sz w:val="24"/>
          <w:szCs w:val="24"/>
          <w:lang w:val="en-US" w:eastAsia="zh-CN"/>
        </w:rPr>
      </w:pPr>
      <w:bookmarkStart w:id="5" w:name="OLE_LINK12"/>
      <w:bookmarkEnd w:id="5"/>
      <w:r>
        <w:rPr>
          <w:rFonts w:ascii="仿宋_GB2312" w:hAnsi="仿宋_GB2312" w:eastAsia="仿宋_GB2312" w:cs="仿宋_GB2312"/>
          <w:sz w:val="32"/>
          <w:u w:val="none"/>
        </w:rPr>
        <w:t>法定代表人:王新龙     性别：男</w:t>
      </w:r>
    </w:p>
    <w:p>
      <w:pPr>
        <w:keepNext w:val="0"/>
        <w:keepLines w:val="0"/>
        <w:pageBreakBefore w:val="0"/>
        <w:widowControl/>
        <w:suppressLineNumbers w:val="0"/>
        <w:kinsoku/>
        <w:wordWrap/>
        <w:overflowPunct/>
        <w:topLinePunct w:val="0"/>
        <w:autoSpaceDE/>
        <w:autoSpaceDN/>
        <w:bidi w:val="0"/>
        <w:adjustRightInd/>
        <w:snapToGrid/>
        <w:ind w:firstLine="612" w:firstLineChars="200"/>
        <w:jc w:val="left"/>
        <w:textAlignment w:val="auto"/>
        <w:rPr>
          <w:rFonts w:hint="default" w:ascii="仿宋_GB2312" w:hAnsi="仿宋_GB2312" w:eastAsia="仿宋_GB2312" w:cs="仿宋_GB2312"/>
          <w:color w:val="000000"/>
          <w:kern w:val="0"/>
          <w:sz w:val="31"/>
          <w:szCs w:val="31"/>
          <w:lang w:val="en-US" w:eastAsia="zh-CN" w:bidi="ar"/>
        </w:rPr>
      </w:pPr>
      <w:r>
        <w:rPr>
          <w:rFonts w:ascii="仿宋_GB2312" w:hAnsi="仿宋_GB2312" w:eastAsia="仿宋_GB2312" w:cs="仿宋_GB2312"/>
          <w:sz w:val="32"/>
          <w:u w:val="none"/>
        </w:rPr>
        <w:t>身份证号码:622701********2771</w:t>
      </w:r>
    </w:p>
    <w:p>
      <w:pPr>
        <w:keepNext w:val="0"/>
        <w:keepLines w:val="0"/>
        <w:pageBreakBefore w:val="0"/>
        <w:widowControl/>
        <w:suppressLineNumbers w:val="0"/>
        <w:kinsoku/>
        <w:wordWrap/>
        <w:overflowPunct/>
        <w:topLinePunct w:val="0"/>
        <w:autoSpaceDE/>
        <w:autoSpaceDN/>
        <w:bidi w:val="0"/>
        <w:adjustRightInd/>
        <w:snapToGrid/>
        <w:ind w:firstLine="592" w:firstLineChars="200"/>
        <w:jc w:val="left"/>
        <w:textAlignment w:val="auto"/>
        <w:rPr>
          <w:rFonts w:hint="default"/>
          <w:lang w:val="en-US"/>
        </w:rPr>
      </w:pPr>
      <w:r>
        <w:rPr>
          <w:rFonts w:hint="eastAsia" w:ascii="宋体" w:hAnsi="宋体" w:eastAsia="宋体" w:cs="宋体"/>
          <w:b/>
          <w:bCs/>
          <w:color w:val="000000"/>
          <w:kern w:val="0"/>
          <w:sz w:val="31"/>
          <w:szCs w:val="31"/>
          <w:lang w:val="en-US" w:eastAsia="zh-CN" w:bidi="ar"/>
        </w:rPr>
        <w:t xml:space="preserve">二、案件性质 </w:t>
      </w:r>
      <w:r>
        <w:rPr>
          <w:rFonts w:hint="eastAsia" w:ascii="宋体" w:hAnsi="宋体" w:cs="宋体"/>
          <w:b/>
          <w:bCs/>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612" w:firstLineChars="200"/>
        <w:jc w:val="left"/>
        <w:textAlignment w:val="auto"/>
        <w:rPr>
          <w:rFonts w:hint="eastAsia" w:ascii="仿宋_GB2312" w:hAnsi="仿宋_GB2312" w:eastAsia="仿宋_GB2312" w:cs="仿宋_GB2312"/>
          <w:color w:val="000000"/>
          <w:kern w:val="0"/>
          <w:sz w:val="31"/>
          <w:szCs w:val="31"/>
          <w:lang w:val="en-US" w:eastAsia="zh-CN" w:bidi="ar"/>
        </w:rPr>
      </w:pPr>
      <w:bookmarkStart w:id="6" w:name="OLE_LINK9"/>
      <w:bookmarkEnd w:id="6"/>
      <w:r>
        <w:rPr>
          <w:rFonts w:ascii="仿宋_GB2312" w:hAnsi="仿宋_GB2312" w:eastAsia="仿宋_GB2312" w:cs="仿宋_GB2312"/>
          <w:sz w:val="32"/>
          <w:u w:val="none"/>
        </w:rPr>
        <w:t>走逃（失联）</w:t>
      </w:r>
    </w:p>
    <w:p>
      <w:pPr>
        <w:keepNext w:val="0"/>
        <w:keepLines w:val="0"/>
        <w:pageBreakBefore w:val="0"/>
        <w:widowControl/>
        <w:suppressLineNumbers w:val="0"/>
        <w:kinsoku/>
        <w:wordWrap/>
        <w:overflowPunct/>
        <w:topLinePunct w:val="0"/>
        <w:autoSpaceDE/>
        <w:autoSpaceDN/>
        <w:bidi w:val="0"/>
        <w:adjustRightInd/>
        <w:snapToGrid/>
        <w:ind w:firstLine="592" w:firstLineChars="200"/>
        <w:jc w:val="left"/>
        <w:textAlignment w:val="auto"/>
      </w:pPr>
      <w:r>
        <w:rPr>
          <w:rFonts w:hint="eastAsia" w:ascii="宋体" w:hAnsi="宋体" w:eastAsia="宋体" w:cs="宋体"/>
          <w:b/>
          <w:bCs/>
          <w:color w:val="000000"/>
          <w:kern w:val="0"/>
          <w:sz w:val="31"/>
          <w:szCs w:val="31"/>
          <w:lang w:val="en-US" w:eastAsia="zh-CN" w:bidi="ar"/>
        </w:rPr>
        <w:t xml:space="preserve">三、主要违法事实 </w:t>
      </w:r>
    </w:p>
    <w:p>
      <w:pPr>
        <w:keepNext w:val="0"/>
        <w:keepLines w:val="0"/>
        <w:pageBreakBefore w:val="0"/>
        <w:widowControl/>
        <w:suppressLineNumbers w:val="0"/>
        <w:kinsoku/>
        <w:wordWrap/>
        <w:overflowPunct/>
        <w:topLinePunct w:val="0"/>
        <w:autoSpaceDE/>
        <w:autoSpaceDN/>
        <w:bidi w:val="0"/>
        <w:adjustRightInd/>
        <w:snapToGrid/>
        <w:ind w:firstLine="612"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ascii="仿宋_GB2312" w:hAnsi="仿宋_GB2312" w:eastAsia="仿宋_GB2312" w:cs="仿宋_GB2312"/>
          <w:sz w:val="32"/>
          <w:u w:val="none"/>
        </w:rPr>
        <w:t>经国家税务总局乌鲁木齐市税务局稽查局检查，发现其在检查所属期内，主要存在以下问题：具有偷税或者逃避追缴欠税、骗取出口退税、抗税、虚开发票等行为，不履行税收义务并脱离税务机关监管，经国家税务总局乌鲁木齐市税务局稽查局查证确认走逃（失联）。</w:t>
      </w:r>
    </w:p>
    <w:p>
      <w:pPr>
        <w:keepNext w:val="0"/>
        <w:keepLines w:val="0"/>
        <w:pageBreakBefore w:val="0"/>
        <w:widowControl/>
        <w:suppressLineNumbers w:val="0"/>
        <w:kinsoku/>
        <w:wordWrap/>
        <w:overflowPunct/>
        <w:topLinePunct w:val="0"/>
        <w:autoSpaceDE/>
        <w:autoSpaceDN/>
        <w:bidi w:val="0"/>
        <w:adjustRightInd/>
        <w:snapToGrid/>
        <w:ind w:firstLine="592" w:firstLineChars="200"/>
        <w:jc w:val="left"/>
        <w:textAlignment w:val="auto"/>
        <w:rPr>
          <w:rFonts w:hint="eastAsia" w:ascii="宋体" w:hAnsi="宋体" w:eastAsia="宋体" w:cs="宋体"/>
          <w:b/>
          <w:bCs/>
          <w:color w:val="000000"/>
          <w:kern w:val="0"/>
          <w:sz w:val="31"/>
          <w:szCs w:val="31"/>
          <w:lang w:val="en-US" w:eastAsia="zh-CN" w:bidi="ar"/>
        </w:rPr>
      </w:pPr>
      <w:r>
        <w:rPr>
          <w:rFonts w:hint="eastAsia" w:ascii="宋体" w:hAnsi="宋体" w:eastAsia="宋体" w:cs="宋体"/>
          <w:b/>
          <w:bCs/>
          <w:color w:val="000000"/>
          <w:kern w:val="0"/>
          <w:sz w:val="31"/>
          <w:szCs w:val="31"/>
          <w:lang w:val="en-US" w:eastAsia="zh-CN" w:bidi="ar"/>
        </w:rPr>
        <w:t xml:space="preserve">四、相关法律依据及税务处理处罚情况 </w:t>
      </w:r>
    </w:p>
    <w:p>
      <w:pPr>
        <w:keepNext w:val="0"/>
        <w:keepLines w:val="0"/>
        <w:widowControl/>
        <w:suppressLineNumbers w:val="0"/>
        <w:ind w:firstLine="612" w:firstLineChars="200"/>
        <w:jc w:val="left"/>
        <w:rPr>
          <w:rFonts w:hint="eastAsia" w:ascii="仿宋_GB2312" w:hAnsi="仿宋_GB2312" w:eastAsia="仿宋_GB2312" w:cs="仿宋_GB2312"/>
          <w:color w:val="000000"/>
          <w:kern w:val="0"/>
          <w:sz w:val="31"/>
          <w:szCs w:val="31"/>
          <w:lang w:val="en-US" w:eastAsia="zh-CN" w:bidi="ar"/>
        </w:rPr>
      </w:pPr>
      <w:r>
        <w:rPr>
          <w:rFonts w:ascii="仿宋_GB2312" w:hAnsi="仿宋_GB2312" w:eastAsia="仿宋_GB2312" w:cs="仿宋_GB2312"/>
          <w:sz w:val="32"/>
          <w:u w:val="none"/>
        </w:rPr>
        <w:t>依照《中华人民共和国税收征收管理法》等相关法律法规的有关规定，对其处以罚款5.00万元的行政处罚。</w:t>
      </w:r>
    </w:p>
    <w:p>
      <w:pPr>
        <w:keepNext w:val="0"/>
        <w:keepLines w:val="0"/>
        <w:pageBreakBefore w:val="0"/>
        <w:widowControl/>
        <w:kinsoku/>
        <w:wordWrap w:val="0"/>
        <w:overflowPunct/>
        <w:topLinePunct w:val="0"/>
        <w:autoSpaceDE/>
        <w:autoSpaceDN/>
        <w:bidi w:val="0"/>
        <w:adjustRightInd/>
        <w:snapToGrid/>
        <w:spacing w:afterAutospacing="0"/>
        <w:ind w:firstLine="612" w:firstLineChars="200"/>
        <w:jc w:val="left"/>
        <w:textAlignment w:val="auto"/>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pPr>
    </w:p>
    <w:p/>
    <w:sectPr>
      <w:headerReference r:id="rId3" w:type="default"/>
      <w:footerReference r:id="rId4" w:type="default"/>
      <w:pgSz w:w="11906" w:h="16838"/>
      <w:pgMar w:top="2098" w:right="1531" w:bottom="1701" w:left="1531" w:header="851" w:footer="1418" w:gutter="0"/>
      <w:cols w:space="720" w:num="1"/>
      <w:titlePg/>
      <w:docGrid w:type="linesAndChars" w:linePitch="592" w:charSpace="-30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Fonts w:ascii="宋体"/>
        <w:sz w:val="28"/>
        <w:szCs w:val="28"/>
      </w:rPr>
    </w:pPr>
    <w:r>
      <w:rPr>
        <w:rStyle w:val="7"/>
        <w:rFonts w:ascii="宋体" w:hAnsi="宋体" w:cs="宋体"/>
        <w:sz w:val="28"/>
        <w:szCs w:val="28"/>
      </w:rPr>
      <w:t xml:space="preserve">— </w:t>
    </w:r>
    <w:r>
      <w:rPr>
        <w:rFonts w:ascii="宋体" w:hAnsi="宋体" w:cs="宋体"/>
        <w:sz w:val="28"/>
        <w:szCs w:val="28"/>
      </w:rPr>
      <w:fldChar w:fldCharType="begin"/>
    </w:r>
    <w:r>
      <w:rPr>
        <w:rStyle w:val="7"/>
        <w:rFonts w:ascii="宋体" w:hAnsi="宋体" w:cs="宋体"/>
        <w:sz w:val="28"/>
        <w:szCs w:val="28"/>
      </w:rPr>
      <w:instrText xml:space="preserve">PAGE  </w:instrText>
    </w:r>
    <w:r>
      <w:rPr>
        <w:rFonts w:ascii="宋体" w:hAnsi="宋体" w:cs="宋体"/>
        <w:sz w:val="28"/>
        <w:szCs w:val="28"/>
      </w:rPr>
      <w:fldChar w:fldCharType="separate"/>
    </w:r>
    <w:r>
      <w:rPr>
        <w:rStyle w:val="7"/>
        <w:rFonts w:ascii="宋体" w:hAnsi="宋体" w:cs="宋体"/>
        <w:sz w:val="28"/>
        <w:szCs w:val="28"/>
      </w:rPr>
      <w:t>2</w:t>
    </w:r>
    <w:r>
      <w:rPr>
        <w:rFonts w:ascii="宋体" w:hAnsi="宋体" w:cs="宋体"/>
        <w:sz w:val="28"/>
        <w:szCs w:val="28"/>
      </w:rPr>
      <w:fldChar w:fldCharType="end"/>
    </w:r>
    <w:r>
      <w:rPr>
        <w:rStyle w:val="7"/>
        <w:rFonts w:ascii="宋体" w:hAnsi="宋体" w:cs="宋体"/>
        <w:sz w:val="28"/>
        <w:szCs w:val="28"/>
      </w:rPr>
      <w:t xml:space="preserve"> —</w: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623CAC"/>
    <w:rsid w:val="0ED44258"/>
    <w:rsid w:val="38581D35"/>
    <w:rsid w:val="3CD81D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able of figures"/>
    <w:basedOn w:val="1"/>
    <w:next w:val="1"/>
    <w:qFormat/>
    <w:uiPriority w:val="0"/>
    <w:pPr>
      <w:jc w:val="center"/>
    </w:pPr>
    <w:rPr>
      <w:sz w:val="18"/>
    </w:rPr>
  </w:style>
  <w:style w:type="paragraph" w:styleId="3">
    <w:name w:val="footer"/>
    <w:basedOn w:val="1"/>
    <w:uiPriority w:val="99"/>
    <w:pPr>
      <w:tabs>
        <w:tab w:val="center" w:pos="4153"/>
        <w:tab w:val="right" w:pos="8306"/>
      </w:tabs>
      <w:snapToGrid w:val="0"/>
      <w:jc w:val="left"/>
    </w:pPr>
    <w:rPr>
      <w:sz w:val="18"/>
      <w:szCs w:val="18"/>
    </w:rPr>
  </w:style>
  <w:style w:type="paragraph" w:styleId="4">
    <w:name w:val="header"/>
    <w:basedOn w:val="1"/>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99"/>
  </w:style>
  <w:style w:type="paragraph" w:customStyle="1" w:styleId="8">
    <w:name w:val="_Style 6"/>
    <w:basedOn w:val="1"/>
    <w:qFormat/>
    <w:uiPriority w:val="0"/>
    <w:rPr>
      <w:rFonts w:ascii="Tahoma" w:hAnsi="Tahoma"/>
      <w:sz w:val="24"/>
      <w:szCs w:val="20"/>
    </w:rPr>
  </w:style>
  <w:style w:type="paragraph" w:customStyle="1" w:styleId="9">
    <w:name w:val="表单名称"/>
    <w:basedOn w:val="1"/>
    <w:qFormat/>
    <w:uiPriority w:val="0"/>
    <w:pPr>
      <w:widowControl/>
      <w:spacing w:line="360" w:lineRule="auto"/>
      <w:jc w:val="center"/>
    </w:pPr>
    <w:rPr>
      <w:rFonts w:ascii="宋体" w:hAnsi="宋体"/>
      <w:b/>
      <w:kern w:val="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P650133郭琳</dc:creator>
  <cp:lastModifiedBy>薛新燕</cp:lastModifiedBy>
  <dcterms:modified xsi:type="dcterms:W3CDTF">2024-10-21T10:58:38Z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