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sz w:val="32"/>
          <w:u w:val="none"/>
        </w:rPr>
        <w:t>乌税稽通〔2024〕2001号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ascii="仿宋_GB2312" w:hAnsi="仿宋_GB2312" w:eastAsia="仿宋_GB2312" w:cs="仿宋_GB2312"/>
          <w:sz w:val="32"/>
          <w:u w:val="none"/>
        </w:rPr>
      </w:pPr>
      <w:bookmarkStart w:id="1" w:name="OLE_LINK4"/>
      <w:bookmarkEnd w:id="1"/>
      <w:bookmarkStart w:id="2" w:name="OLE_LINK5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新疆华西灏泽煤炭贸易有限公司（91650103313300725Q）: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2560" w:firstLineChars="8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2024年1月23日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纳税人名称:新疆华西灏泽煤炭贸易有限公司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统一社会信用代码:91650103313300725Q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注册地址:新疆乌鲁木齐市友好南路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136</w:t>
      </w:r>
      <w:r>
        <w:rPr>
          <w:rFonts w:ascii="仿宋_GB2312" w:hAnsi="仿宋_GB2312" w:eastAsia="仿宋_GB2312" w:cs="仿宋_GB2312"/>
          <w:sz w:val="32"/>
          <w:u w:val="none"/>
        </w:rPr>
        <w:t>号瑞昌大厦１栋５层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508</w:t>
      </w:r>
      <w:r>
        <w:rPr>
          <w:rFonts w:ascii="仿宋_GB2312" w:hAnsi="仿宋_GB2312" w:eastAsia="仿宋_GB2312" w:cs="仿宋_GB2312"/>
          <w:sz w:val="32"/>
          <w:u w:val="none"/>
        </w:rPr>
        <w:t>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法定代表人:高鹏     性别：男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身份证号码:220202********4533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虚开增值税专用发票或者虚开用于骗取出口退税、抵扣税款的其他发票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经国家税务总局乌鲁木齐市税务局稽查局检查，发现其在2014年9月1日至2017年7月31日期间，主要存在以下问题：让他人为自己开具与实际经营业务情况不符的增值税专用发票269份，金额2605.23万元，税额442.89万元。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7" w:name="_GoBack"/>
      <w:bookmarkEnd w:id="7"/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依照《中华人民共和国税收征收管理法》等相关法律法规的有关规定，对其处以追缴税款973.80万元的行政处理、处以罚款486.90万元的行政处罚。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A4B4B"/>
    <w:rsid w:val="285603DE"/>
    <w:rsid w:val="2D04680B"/>
    <w:rsid w:val="310265BD"/>
    <w:rsid w:val="7C6619F8"/>
    <w:rsid w:val="7DE43B3D"/>
    <w:rsid w:val="7FE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薛新燕</cp:lastModifiedBy>
  <dcterms:modified xsi:type="dcterms:W3CDTF">2024-01-23T05:39:03Z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