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确认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hAnsi="仿宋" w:eastAsia="仿宋_GB2312"/>
          <w:b w:val="0"/>
          <w:color w:val="000000" w:themeColor="text1"/>
          <w:kern w:val="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/>
          <w:b w:val="0"/>
          <w:bCs/>
          <w:color w:val="000000" w:themeColor="text1"/>
          <w:spacing w:val="-20"/>
          <w:kern w:val="10"/>
          <w:sz w:val="32"/>
          <w:szCs w:val="32"/>
          <w:highlight w:val="none"/>
          <w:u w:val="none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333375</wp:posOffset>
                </wp:positionV>
                <wp:extent cx="5643880" cy="6350"/>
                <wp:effectExtent l="0" t="8255" r="7620" b="234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4.4pt;margin-top:26.25pt;height:0.5pt;width:444.4pt;z-index:251659264;mso-width-relative:page;mso-height-relative:page;" filled="f" stroked="t" coordsize="21600,21600" o:gfxdata="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KBsvtUAAAAIAQAADwAAAAAAAAABACAAAAAiAAAAZHJzL2Rv&#10;d25yZXYueG1sUEsBAhQAFAAAAAgAh07iQCR3+SYEAgAA2gMAAA4AAAAAAAAAAQAgAAAAJAEAAGRy&#10;cy9lMm9Eb2MueG1sUEsFBgAAAAAGAAYAWQEAAJo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乌税稽</w:t>
      </w:r>
      <w:r>
        <w:rPr>
          <w:rFonts w:hint="eastAsia" w:ascii="仿宋_GB2312" w:hAnsi="宋体" w:eastAsia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仿宋_GB2312" w:hAnsi="仿宋" w:eastAsia="仿宋_GB2312"/>
          <w:b w:val="0"/>
          <w:color w:val="000000" w:themeColor="text1"/>
          <w:kern w:val="2"/>
          <w:highlight w:val="none"/>
          <w:u w:val="none"/>
          <w14:textFill>
            <w14:solidFill>
              <w14:schemeClr w14:val="tx1"/>
            </w14:solidFill>
          </w14:textFill>
        </w:rPr>
        <w:t>〔</w:t>
      </w:r>
      <w:bookmarkStart w:id="0" w:name="OLE_LINK25"/>
      <w:r>
        <w:rPr>
          <w:rFonts w:hint="eastAsia" w:ascii="仿宋_GB2312" w:hAnsi="仿宋" w:eastAsia="仿宋_GB2312"/>
          <w:b w:val="0"/>
          <w:color w:val="000000" w:themeColor="text1"/>
          <w:kern w:val="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bookmarkEnd w:id="0"/>
      <w:r>
        <w:rPr>
          <w:rFonts w:hint="eastAsia" w:ascii="仿宋_GB2312" w:hAnsi="仿宋" w:eastAsia="仿宋_GB2312"/>
          <w:b w:val="0"/>
          <w:color w:val="000000" w:themeColor="text1"/>
          <w:kern w:val="2"/>
          <w:highlight w:val="none"/>
          <w:u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" w:eastAsia="仿宋_GB2312"/>
          <w:b w:val="0"/>
          <w:color w:val="000000" w:themeColor="text1"/>
          <w:kern w:val="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0612</w:t>
      </w:r>
      <w:r>
        <w:rPr>
          <w:rFonts w:hint="eastAsia" w:ascii="仿宋_GB2312" w:hAnsi="仿宋" w:eastAsia="仿宋_GB2312"/>
          <w:b w:val="0"/>
          <w:color w:val="000000" w:themeColor="text1"/>
          <w:kern w:val="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pacing w:val="-20"/>
          <w:kern w:val="10"/>
          <w:sz w:val="30"/>
          <w:szCs w:val="30"/>
          <w:lang w:eastAsia="zh-CN"/>
        </w:rPr>
        <w:t>新疆天源利燃气设备有限公司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91650100742230972N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>事由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:将你单位确定为重大税收违法失信主体。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>依据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:根据《重大税收违法失信主体信息公布管理办法》（国家税务总局令第54号）第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条等规定。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你单位符合《重大税收违法失信主体信息公布管理办法》（国家税务总局令第54号）第六条相关规定，我局将你单位确定为重大税收违法失信主体，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向社会公布失信信息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（详细内容见附件），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将你单位失信信息在国家公共信用信息中心“信用中国”网站公示，并推送至参与联合惩戒部门依法依规采取惩戒措施，税务机关适用D级纳税人管理措施（由税务机关纳税信用管理部门按纳税信用相关制度执行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jc w:val="left"/>
        <w:textAlignment w:val="auto"/>
        <w:outlineLvl w:val="0"/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  <w:lang w:eastAsia="zh-CN"/>
        </w:rPr>
        <w:t>你单位如对本通知书不服，可以自收到本通知书之日起六十日内依法向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  <w:lang w:eastAsia="zh-CN"/>
        </w:rPr>
        <w:t>税务局申请行政复议，或者自收到本通知书之日起六个月内依法向人民法院起诉。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  <w:u w:val="none"/>
          <w:lang w:eastAsia="zh-CN"/>
        </w:rPr>
        <w:t>附件:公布的失信信息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1800" w:firstLineChars="600"/>
        <w:jc w:val="left"/>
        <w:textAlignment w:val="auto"/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</w:rPr>
        <w:t>国家税务总局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jc w:val="left"/>
        <w:textAlignment w:val="auto"/>
        <w:rPr>
          <w:rFonts w:hint="eastAsia" w:ascii="仿宋_GB2312" w:hAnsi="宋体" w:eastAsia="仿宋_GB2312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2023 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/>
        <w:suppressLineNumbers w:val="0"/>
        <w:ind w:firstLine="3253" w:firstLineChars="900"/>
        <w:jc w:val="left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1" w:name="OLE_LINK27"/>
    </w:p>
    <w:p>
      <w:pPr>
        <w:keepNext w:val="0"/>
        <w:keepLines w:val="0"/>
        <w:widowControl/>
        <w:suppressLineNumbers w:val="0"/>
        <w:ind w:firstLine="2530" w:firstLineChars="70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基本情况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纳税人名称:</w:t>
      </w:r>
      <w:r>
        <w:rPr>
          <w:rFonts w:hint="eastAsia" w:ascii="仿宋_GB2312" w:hAnsi="宋体" w:eastAsia="仿宋_GB2312"/>
          <w:color w:val="000000"/>
          <w:spacing w:val="-20"/>
          <w:kern w:val="10"/>
          <w:sz w:val="32"/>
          <w:szCs w:val="30"/>
          <w:lang w:eastAsia="zh-CN"/>
        </w:rPr>
        <w:t>新疆天源利燃气设备有限公司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sz w:val="32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统一社会信用代码（纳税人识别号）:</w:t>
      </w:r>
      <w:r>
        <w:rPr>
          <w:rFonts w:hint="eastAsia" w:ascii="仿宋_GB2312" w:hAnsi="宋体" w:eastAsia="仿宋_GB2312"/>
          <w:color w:val="000000"/>
          <w:spacing w:val="-20"/>
          <w:kern w:val="10"/>
          <w:sz w:val="32"/>
          <w:szCs w:val="30"/>
          <w:lang w:eastAsia="zh-CN"/>
        </w:rPr>
        <w:t>91650100742230972N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注册地址: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新疆乌鲁木齐市沙依巴克区友好北路利民社区西八家户路81号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法定代表人:</w:t>
      </w:r>
      <w:bookmarkStart w:id="2" w:name="OLE_LINK12"/>
      <w:r>
        <w:rPr>
          <w:rFonts w:hint="eastAsia" w:ascii="仿宋_GB2312" w:hAnsi="仿宋" w:eastAsia="仿宋_GB2312"/>
          <w:sz w:val="32"/>
          <w:szCs w:val="32"/>
          <w:lang w:eastAsia="zh-CN"/>
        </w:rPr>
        <w:t>洪金春</w:t>
      </w:r>
      <w:r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  <w:t xml:space="preserve">     </w:t>
      </w:r>
      <w:bookmarkEnd w:id="2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身份证号码: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350583********1016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二、案件性质 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虚开增值税专用发票或者用于骗取出口退税、抵扣税款的其他发票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三、主要违法事实 </w:t>
      </w:r>
    </w:p>
    <w:p>
      <w:pPr>
        <w:ind w:firstLine="640" w:firstLineChars="200"/>
        <w:jc w:val="left"/>
        <w:rPr>
          <w:rFonts w:hint="default" w:ascii="仿宋_GB2312" w:hAnsi="宋体" w:eastAsia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经国家税务总局乌鲁木齐市税务局稽查局检查，发现其在2017年1月1日至</w:t>
      </w:r>
      <w:bookmarkStart w:id="3" w:name="jcssqjz"/>
      <w:bookmarkEnd w:id="3"/>
      <w:r>
        <w:rPr>
          <w:rFonts w:hint="eastAsia" w:ascii="仿宋_GB2312" w:hAnsi="宋体" w:eastAsia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2017年12月31日期间，主要存在以下问题：让他人为自己开具与实际经营业务情况不符的增值税专用发票2份，金额14.07万元，税额2.39万元，价税合计为16.46万元。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四、相关法律依据及税务处理处罚情况 </w:t>
      </w:r>
    </w:p>
    <w:bookmarkEnd w:id="1"/>
    <w:p>
      <w:pPr>
        <w:ind w:firstLine="640" w:firstLineChars="200"/>
        <w:jc w:val="left"/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依照《中华人民共和国税收征收管理法》等相关法律法规的有关规定，对其处以追缴税款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2.68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万元的行政处理、处以罚款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1.28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万元的行政处罚。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Yzc3MzAzMzk5NzliZjcyNTA0OGViYWNlZWZlN2IifQ=="/>
  </w:docVars>
  <w:rsids>
    <w:rsidRoot w:val="00000000"/>
    <w:rsid w:val="17CA26E5"/>
    <w:rsid w:val="55E46635"/>
    <w:rsid w:val="618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user</cp:lastModifiedBy>
  <dcterms:modified xsi:type="dcterms:W3CDTF">2023-09-13T08:49:28Z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E73AD1B17AAE44829F036E6279534288_12</vt:lpwstr>
  </property>
</Properties>
</file>