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（重大税收违法失信主体确定适用）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" w:eastAsia="仿宋_GB2312"/>
          <w:b w:val="0"/>
          <w:color w:val="auto"/>
          <w:kern w:val="2"/>
          <w:highlight w:val="none"/>
          <w:u w:val="none"/>
        </w:rPr>
      </w:pPr>
      <w:r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乌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税稽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税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通〔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〕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  <w:lang w:val="en-US" w:eastAsia="zh-CN"/>
        </w:rPr>
        <w:t>012</w:t>
      </w:r>
      <w:r>
        <w:rPr>
          <w:rFonts w:hint="eastAsia" w:ascii="仿宋_GB2312" w:hAnsi="仿宋" w:eastAsia="仿宋_GB2312"/>
          <w:b w:val="0"/>
          <w:color w:val="auto"/>
          <w:kern w:val="2"/>
          <w:highlight w:val="none"/>
          <w:u w:val="none"/>
        </w:rPr>
        <w:t>号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-6350</wp:posOffset>
                </wp:positionV>
                <wp:extent cx="5643880" cy="6350"/>
                <wp:effectExtent l="0" t="20320" r="13970" b="304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5pt;margin-top:-0.5pt;height:0.5pt;width:444.4pt;z-index:251659264;mso-width-relative:page;mso-height-relative:page;" filled="f" stroked="t" coordsize="21600,21600" o:gfxdata="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BG4Z1AAAAAY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lang w:eastAsia="zh-CN"/>
        </w:rPr>
        <w:t>新疆天舜康元医药有限公司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" w:eastAsia="仿宋_GB2312"/>
          <w:sz w:val="32"/>
          <w:lang w:eastAsia="zh-CN"/>
        </w:rPr>
        <w:t>91650100776099597T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事由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:将你（你单位）确定为重大税收违法失信主体。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依据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:根据《重大税收违法失信主体信息公布管理办法》（国家税务总局令第54号）第十条等规定。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（你单位）符合《重大税收违法失信主体信息公布管理办法》（国家税务总局令第54号）第六条相关规定，我局将你（你单位）确定为重大税收违法失信主体。向社会公布失信信息（详细信息见附件），将你（你单位）失信信息推送至参与联合惩戒部门和信用中国网站公示，在土地供应、检验检疫监督管理、政府采购、银行授信、政策性资金投放等方面被有关部门参考使用，税务机关适用 D 级纳税人管理措施（由税务机关纳税信用管理部门按纳税信用制度执行）。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你（你单位）如对本通知书不服，可以自收到本通知书之日起六十日内依法向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附件:公布的失信信息</w:t>
      </w:r>
      <w:r>
        <w:rPr>
          <w:rFonts w:ascii="仿宋_GB2312" w:hAnsi="宋体" w:eastAsia="仿宋_GB2312"/>
          <w:color w:val="000000"/>
          <w:sz w:val="32"/>
          <w:szCs w:val="24"/>
          <w:highlight w:val="none"/>
          <w:u w:val="none"/>
        </w:rPr>
        <w:t xml:space="preserve">  </w:t>
      </w:r>
      <w:r>
        <w:rPr>
          <w:rFonts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3840" w:firstLineChars="1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</w:pPr>
      <w:r>
        <w:rPr>
          <w:rFonts w:ascii="仿宋_GB2312" w:hAnsi="宋体" w:eastAsia="仿宋_GB2312"/>
          <w:color w:val="auto"/>
          <w:sz w:val="32"/>
          <w:szCs w:val="24"/>
          <w:highlight w:val="none"/>
          <w:u w:val="none"/>
        </w:rPr>
        <w:t xml:space="preserve">   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>国家税务总局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税务局稽查局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       2023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27 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</w:rPr>
        <w:t>日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18C0"/>
    <w:rsid w:val="0EB400C8"/>
    <w:rsid w:val="11230D9B"/>
    <w:rsid w:val="17BB732C"/>
    <w:rsid w:val="1D3F4194"/>
    <w:rsid w:val="248C3CE9"/>
    <w:rsid w:val="268434B6"/>
    <w:rsid w:val="32F61C73"/>
    <w:rsid w:val="3FE01EBD"/>
    <w:rsid w:val="49C018CA"/>
    <w:rsid w:val="4E651724"/>
    <w:rsid w:val="55581539"/>
    <w:rsid w:val="583D315A"/>
    <w:rsid w:val="5DA12DBE"/>
    <w:rsid w:val="620361FE"/>
    <w:rsid w:val="6C025860"/>
    <w:rsid w:val="6EFD18C0"/>
    <w:rsid w:val="70800914"/>
    <w:rsid w:val="7D441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477</Characters>
  <Lines>0</Lines>
  <Paragraphs>0</Paragraphs>
  <TotalTime>0</TotalTime>
  <ScaleCrop>false</ScaleCrop>
  <LinksUpToDate>false</LinksUpToDate>
  <CharactersWithSpaces>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2022-04-29T09:03:00Z</dcterms:created>
  <dc:creator>guest</dc:creator>
  <cp:lastModifiedBy>user</cp:lastModifiedBy>
  <cp:lastPrinted>2022-05-23T11:11:07Z</cp:lastPrinted>
  <dcterms:modified xsi:type="dcterms:W3CDTF">2023-04-14T10:42:24Z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F1F10C549F234221AEFE0FC632D46D2B_13</vt:lpwstr>
  </property>
</Properties>
</file>