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159BF">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14:paraId="2DEDAE80">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bookmarkStart w:id="33" w:name="_GoBack"/>
      <w:bookmarkEnd w:id="33"/>
    </w:p>
    <w:p w14:paraId="2CA1EE26">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5D8AC982">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16C014C7">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7FB4E152">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国家税务总局五家渠税务局2025年非执法类辅助性服务项目</w:t>
      </w:r>
      <w:bookmarkEnd w:id="0"/>
    </w:p>
    <w:p w14:paraId="1CF37164">
      <w:pPr>
        <w:widowControl w:val="0"/>
        <w:spacing w:before="0" w:after="0" w:line="360" w:lineRule="auto"/>
        <w:jc w:val="both"/>
        <w:rPr>
          <w:rFonts w:hint="eastAsia" w:ascii="宋体" w:hAnsi="宋体" w:eastAsia="宋体" w:cs="宋体"/>
          <w:kern w:val="2"/>
          <w:sz w:val="32"/>
          <w:szCs w:val="32"/>
          <w:lang w:eastAsia="zh-CN"/>
        </w:rPr>
      </w:pPr>
    </w:p>
    <w:p w14:paraId="3DB70384">
      <w:pPr>
        <w:widowControl w:val="0"/>
        <w:spacing w:before="0" w:after="0" w:line="360" w:lineRule="auto"/>
        <w:jc w:val="both"/>
        <w:rPr>
          <w:rFonts w:ascii="宋体" w:hAnsi="宋体" w:eastAsia="宋体" w:cs="宋体"/>
          <w:kern w:val="2"/>
          <w:sz w:val="32"/>
          <w:szCs w:val="32"/>
          <w:lang w:eastAsia="zh-CN"/>
        </w:rPr>
      </w:pPr>
    </w:p>
    <w:p w14:paraId="57FB66A4">
      <w:pPr>
        <w:widowControl w:val="0"/>
        <w:spacing w:before="0" w:after="0" w:line="360" w:lineRule="auto"/>
        <w:jc w:val="both"/>
        <w:rPr>
          <w:rFonts w:hint="eastAsia" w:ascii="宋体" w:hAnsi="宋体" w:eastAsia="宋体" w:cs="宋体"/>
          <w:kern w:val="2"/>
          <w:sz w:val="32"/>
          <w:szCs w:val="32"/>
          <w:lang w:eastAsia="zh-CN"/>
        </w:rPr>
      </w:pPr>
    </w:p>
    <w:p w14:paraId="459E0722">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2025年0</w:t>
      </w:r>
      <w:r>
        <w:rPr>
          <w:rFonts w:hint="eastAsia" w:ascii="宋体" w:hAnsi="宋体" w:eastAsia="宋体" w:cs="宋体"/>
          <w:sz w:val="36"/>
          <w:szCs w:val="36"/>
          <w:lang w:val="en-US" w:eastAsia="zh-CN"/>
        </w:rPr>
        <w:t>3</w:t>
      </w:r>
      <w:r>
        <w:rPr>
          <w:rFonts w:hint="eastAsia" w:ascii="宋体" w:hAnsi="宋体" w:eastAsia="宋体" w:cs="宋体"/>
          <w:sz w:val="36"/>
          <w:szCs w:val="36"/>
          <w:lang w:eastAsia="zh-CN"/>
        </w:rPr>
        <w:t>月</w:t>
      </w:r>
      <w:bookmarkEnd w:id="1"/>
    </w:p>
    <w:p w14:paraId="537A631E">
      <w:pPr>
        <w:spacing w:before="0" w:after="0" w:line="360" w:lineRule="auto"/>
        <w:jc w:val="center"/>
      </w:pPr>
      <w:r>
        <w:br w:type="page"/>
      </w:r>
    </w:p>
    <w:p w14:paraId="7F7908F7">
      <w:pPr>
        <w:spacing w:before="0" w:after="0" w:line="360" w:lineRule="auto"/>
        <w:jc w:val="center"/>
        <w:rPr>
          <w:rFonts w:ascii="宋体" w:hAnsi="宋体" w:eastAsia="宋体" w:cs="宋体"/>
          <w:sz w:val="32"/>
        </w:rPr>
      </w:pPr>
      <w:r>
        <w:rPr>
          <w:rFonts w:ascii="宋体" w:hAnsi="宋体" w:eastAsia="宋体" w:cs="宋体"/>
          <w:sz w:val="32"/>
        </w:rPr>
        <w:t>目 录</w:t>
      </w:r>
    </w:p>
    <w:p w14:paraId="1E53FE18">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"1-3" \h \z \u</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_Toc12554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1.1项目背景</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_Toc12554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48BF1A52">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_Toc4046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rPr>
        <w:t>1.1.1项目目的、意义及背景</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_Toc4046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030BFD68">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_Toc8586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1.2项目内容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_Toc8586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17B065BB">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_Toc8619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rPr>
        <w:t>1.2.</w:t>
      </w:r>
      <w:r>
        <w:rPr>
          <w:rFonts w:hint="eastAsia" w:ascii="仿宋_GB2312" w:hAnsi="仿宋_GB2312" w:eastAsia="仿宋_GB2312" w:cs="仿宋_GB2312"/>
          <w:szCs w:val="28"/>
          <w:lang w:val="en-US" w:eastAsia="zh-CN"/>
        </w:rPr>
        <w:t>1</w:t>
      </w:r>
      <w:r>
        <w:rPr>
          <w:rFonts w:hint="eastAsia" w:ascii="仿宋_GB2312" w:hAnsi="仿宋_GB2312" w:eastAsia="仿宋_GB2312" w:cs="仿宋_GB2312"/>
          <w:szCs w:val="28"/>
        </w:rPr>
        <w:t>采购内容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_Toc8619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3B083534">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_Toc763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rPr>
        <w:t>1.2.</w:t>
      </w:r>
      <w:r>
        <w:rPr>
          <w:rFonts w:hint="eastAsia" w:ascii="仿宋_GB2312" w:hAnsi="仿宋_GB2312" w:eastAsia="仿宋_GB2312" w:cs="仿宋_GB2312"/>
          <w:szCs w:val="28"/>
          <w:lang w:val="en-US" w:eastAsia="zh-CN"/>
        </w:rPr>
        <w:t>2</w:t>
      </w:r>
      <w:r>
        <w:rPr>
          <w:rFonts w:hint="eastAsia" w:ascii="仿宋_GB2312" w:hAnsi="仿宋_GB2312" w:eastAsia="仿宋_GB2312" w:cs="仿宋_GB2312"/>
          <w:szCs w:val="28"/>
        </w:rPr>
        <w:t>项目实施要求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778E9FA8">
      <w:pPr>
        <w:pStyle w:val="13"/>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_Toc29923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kern w:val="36"/>
        </w:rPr>
        <w:t>2投标/响应要求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_Toc29923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70FF5ED8">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_Toc27853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2.1对供应商的要求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_Toc27853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46642AA2">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_Toc11929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rPr>
        <w:t>2.1.1必备资质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_Toc11929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50CCD62B">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_Toc30022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highlight w:val="none"/>
        </w:rPr>
        <w:t>2.1.</w:t>
      </w:r>
      <w:r>
        <w:rPr>
          <w:rFonts w:hint="eastAsia" w:ascii="仿宋_GB2312" w:hAnsi="仿宋_GB2312" w:eastAsia="仿宋_GB2312" w:cs="仿宋_GB2312"/>
          <w:szCs w:val="28"/>
          <w:highlight w:val="none"/>
          <w:lang w:val="en-US" w:eastAsia="zh-CN"/>
        </w:rPr>
        <w:t>2</w:t>
      </w:r>
      <w:r>
        <w:rPr>
          <w:rFonts w:hint="eastAsia" w:ascii="仿宋_GB2312" w:hAnsi="仿宋_GB2312" w:eastAsia="仿宋_GB2312" w:cs="仿宋_GB2312"/>
          <w:szCs w:val="28"/>
          <w:highlight w:val="none"/>
        </w:rPr>
        <w:t>是否允许联合体</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_Toc30022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1223527B">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_Toc8957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rPr>
        <w:t>2.1.</w:t>
      </w:r>
      <w:r>
        <w:rPr>
          <w:rFonts w:hint="eastAsia" w:ascii="仿宋_GB2312" w:hAnsi="仿宋_GB2312" w:eastAsia="仿宋_GB2312" w:cs="仿宋_GB2312"/>
          <w:szCs w:val="28"/>
          <w:lang w:val="en-US" w:eastAsia="zh-CN"/>
        </w:rPr>
        <w:t>3</w:t>
      </w:r>
      <w:r>
        <w:rPr>
          <w:rFonts w:hint="eastAsia" w:ascii="仿宋_GB2312" w:hAnsi="仿宋_GB2312" w:eastAsia="仿宋_GB2312" w:cs="仿宋_GB2312"/>
          <w:szCs w:val="28"/>
        </w:rPr>
        <w:t>是否专门面向中小企业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_Toc8957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3BC3E967">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_Toc25294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2.2技术部分投标/响应内容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_Toc25294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75FE6163">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_Toc7656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rPr>
        <w:t>2.2.1技术投标/响应总要求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_Toc7656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43138DD0">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_Toc15528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rPr>
        <w:t>2.2.2投标/响应方案要求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_Toc15528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64D4520D">
      <w:pPr>
        <w:pStyle w:val="13"/>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_Toc28981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kern w:val="36"/>
        </w:rPr>
        <w:t>3项目需求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_Toc28981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1B7A7981">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_Toc24147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3.1总体要求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_Toc24147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6736558B">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_Toc32532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3.2服务内容和要求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_Toc32532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1BE8A85A">
      <w:pPr>
        <w:pStyle w:val="13"/>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_Toc2866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kern w:val="36"/>
        </w:rPr>
        <w:t>4人员要求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3A9A9929">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_Toc26529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4.1总体要求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_Toc26529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22EF7F5C">
      <w:pPr>
        <w:pStyle w:val="13"/>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_Toc11305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kern w:val="36"/>
        </w:rPr>
        <w:t>5管理实施要求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_Toc11305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61F9E0B0">
      <w:pPr>
        <w:pStyle w:val="13"/>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_Toc29304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kern w:val="36"/>
          <w:szCs w:val="32"/>
        </w:rPr>
        <w:t>6风险管控要求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_Toc29304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05B9F13A">
      <w:pPr>
        <w:pStyle w:val="13"/>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_Toc443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kern w:val="36"/>
        </w:rPr>
        <w:t>7履约验收要求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7DACB23E">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_Toc18381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7.1总体要求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_Toc18381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083D4B00">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_Toc7866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7.2具体要求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_Toc7866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776B139C">
      <w:pPr>
        <w:pStyle w:val="13"/>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_Toc20599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kern w:val="36"/>
        </w:rPr>
        <w:t>8其他要求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_Toc20599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0D664AB1">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_Toc16867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8.1必备要求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_Toc16867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6CA59706">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_Toc6955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rPr>
        <w:t>8.1.1通用必备要求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_Toc6955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18991B4D">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_Toc609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8.2付款安排建议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2B280A8B">
      <w:pPr>
        <w:pStyle w:val="15"/>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_Toc16515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i w:val="0"/>
          <w:iCs w:val="0"/>
        </w:rPr>
        <w:t>8.3其他要求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_Toc16515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2ED630DF">
      <w:pPr>
        <w:pStyle w:val="10"/>
        <w:keepNext w:val="0"/>
        <w:keepLines w:val="0"/>
        <w:pageBreakBefore w:val="0"/>
        <w:widowControl/>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_Toc1023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szCs w:val="28"/>
        </w:rPr>
        <w:t>8.3.1保密要求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692CAC9A">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Cs w:val="24"/>
        </w:rPr>
        <w:sectPr>
          <w:footerReference r:id="rId3" w:type="default"/>
          <w:pgSz w:w="11906" w:h="16838"/>
          <w:pgMar w:top="1440" w:right="1440" w:bottom="1440" w:left="1440" w:header="708" w:footer="708" w:gutter="0"/>
          <w:cols w:space="708" w:num="1"/>
          <w:docGrid w:linePitch="360" w:charSpace="0"/>
        </w:sectPr>
      </w:pPr>
      <w:r>
        <w:rPr>
          <w:rFonts w:hint="eastAsia" w:ascii="仿宋_GB2312" w:hAnsi="仿宋_GB2312" w:eastAsia="仿宋_GB2312" w:cs="仿宋_GB2312"/>
          <w:szCs w:val="24"/>
        </w:rPr>
        <w:fldChar w:fldCharType="end"/>
      </w:r>
    </w:p>
    <w:p w14:paraId="2A223E9E">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ascii="仿宋_GB2312" w:hAnsi="仿宋_GB2312" w:eastAsia="仿宋_GB2312" w:cs="仿宋_GB2312"/>
          <w:b/>
          <w:bCs/>
          <w:sz w:val="32"/>
          <w:szCs w:val="32"/>
        </w:rPr>
      </w:pPr>
      <w:r>
        <w:rPr>
          <w:rFonts w:ascii="仿宋_GB2312" w:hAnsi="仿宋_GB2312" w:eastAsia="仿宋_GB2312" w:cs="仿宋_GB2312"/>
          <w:b/>
          <w:bCs/>
          <w:kern w:val="36"/>
          <w:sz w:val="32"/>
          <w:szCs w:val="32"/>
        </w:rPr>
        <w:t>1项目概述</w:t>
      </w:r>
    </w:p>
    <w:p w14:paraId="2EA7AACF">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2" w:name="_Toc12554"/>
      <w:r>
        <w:rPr>
          <w:rFonts w:ascii="仿宋_GB2312" w:hAnsi="仿宋_GB2312" w:eastAsia="仿宋_GB2312" w:cs="仿宋_GB2312"/>
          <w:i w:val="0"/>
          <w:iCs w:val="0"/>
          <w:sz w:val="28"/>
          <w:szCs w:val="28"/>
        </w:rPr>
        <w:t>1.1项目背景</w:t>
      </w:r>
      <w:bookmarkEnd w:id="2"/>
    </w:p>
    <w:p w14:paraId="40AD3F98">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3" w:name="_Toc4046"/>
      <w:r>
        <w:rPr>
          <w:rFonts w:ascii="仿宋_GB2312" w:hAnsi="仿宋_GB2312" w:eastAsia="仿宋_GB2312" w:cs="仿宋_GB2312"/>
          <w:sz w:val="28"/>
          <w:szCs w:val="28"/>
        </w:rPr>
        <w:t>1.1.1项目目的、意义及背景</w:t>
      </w:r>
      <w:bookmarkEnd w:id="3"/>
    </w:p>
    <w:p w14:paraId="43449FC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28"/>
          <w:szCs w:val="28"/>
        </w:rPr>
      </w:pPr>
      <w:r>
        <w:rPr>
          <w:rFonts w:ascii="仿宋_GB2312" w:hAnsi="仿宋_GB2312" w:eastAsia="仿宋_GB2312" w:cs="仿宋_GB2312"/>
          <w:sz w:val="28"/>
          <w:szCs w:val="28"/>
        </w:rPr>
        <w:t>为满足国家税务总局</w:t>
      </w:r>
      <w:r>
        <w:rPr>
          <w:rFonts w:hint="eastAsia" w:ascii="仿宋_GB2312" w:hAnsi="仿宋_GB2312" w:eastAsia="仿宋_GB2312" w:cs="仿宋_GB2312"/>
          <w:sz w:val="28"/>
          <w:szCs w:val="28"/>
          <w:lang w:eastAsia="zh-CN"/>
        </w:rPr>
        <w:t>五家渠</w:t>
      </w:r>
      <w:r>
        <w:rPr>
          <w:rFonts w:ascii="仿宋_GB2312" w:hAnsi="仿宋_GB2312" w:eastAsia="仿宋_GB2312" w:cs="仿宋_GB2312"/>
          <w:sz w:val="28"/>
          <w:szCs w:val="28"/>
        </w:rPr>
        <w:t>税务局工作需求，保障税收工作顺利开展，进一步优化税收营商环境，为纳税人缴费人提供更加高效优质的纳税服务，国家税务总局</w:t>
      </w:r>
      <w:r>
        <w:rPr>
          <w:rFonts w:hint="eastAsia" w:ascii="仿宋_GB2312" w:hAnsi="仿宋_GB2312" w:eastAsia="仿宋_GB2312" w:cs="仿宋_GB2312"/>
          <w:sz w:val="28"/>
          <w:szCs w:val="28"/>
          <w:lang w:eastAsia="zh-CN"/>
        </w:rPr>
        <w:t>五家渠</w:t>
      </w:r>
      <w:r>
        <w:rPr>
          <w:rFonts w:ascii="仿宋_GB2312" w:hAnsi="仿宋_GB2312" w:eastAsia="仿宋_GB2312" w:cs="仿宋_GB2312"/>
          <w:sz w:val="28"/>
          <w:szCs w:val="28"/>
        </w:rPr>
        <w:t>税务局拟采购非执法类辅助性</w:t>
      </w:r>
      <w:r>
        <w:rPr>
          <w:rFonts w:hint="eastAsia" w:ascii="仿宋_GB2312" w:hAnsi="仿宋_GB2312" w:eastAsia="仿宋_GB2312" w:cs="仿宋_GB2312"/>
          <w:sz w:val="28"/>
          <w:szCs w:val="28"/>
          <w:lang w:val="en-US" w:eastAsia="zh-CN"/>
        </w:rPr>
        <w:t>服</w:t>
      </w:r>
      <w:r>
        <w:rPr>
          <w:rFonts w:ascii="仿宋_GB2312" w:hAnsi="仿宋_GB2312" w:eastAsia="仿宋_GB2312" w:cs="仿宋_GB2312"/>
          <w:sz w:val="28"/>
          <w:szCs w:val="28"/>
        </w:rPr>
        <w:t>务。</w:t>
      </w:r>
    </w:p>
    <w:p w14:paraId="42F3D8AE">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4" w:name="_Toc8586"/>
      <w:r>
        <w:rPr>
          <w:rFonts w:ascii="仿宋_GB2312" w:hAnsi="仿宋_GB2312" w:eastAsia="仿宋_GB2312" w:cs="仿宋_GB2312"/>
          <w:i w:val="0"/>
          <w:iCs w:val="0"/>
        </w:rPr>
        <w:t>1.2项目内容</w:t>
      </w:r>
      <w:bookmarkEnd w:id="4"/>
    </w:p>
    <w:p w14:paraId="4E3B6CFE">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5" w:name="_Toc8619"/>
      <w:r>
        <w:rPr>
          <w:rFonts w:ascii="仿宋_GB2312" w:hAnsi="仿宋_GB2312" w:eastAsia="仿宋_GB2312" w:cs="仿宋_GB2312"/>
          <w:sz w:val="28"/>
          <w:szCs w:val="28"/>
        </w:rPr>
        <w:t>1.2.</w:t>
      </w:r>
      <w:r>
        <w:rPr>
          <w:rFonts w:hint="eastAsia" w:ascii="仿宋_GB2312" w:hAnsi="仿宋_GB2312" w:eastAsia="仿宋_GB2312" w:cs="仿宋_GB2312"/>
          <w:sz w:val="28"/>
          <w:szCs w:val="28"/>
          <w:lang w:val="en-US" w:eastAsia="zh-CN"/>
        </w:rPr>
        <w:t>1</w:t>
      </w:r>
      <w:r>
        <w:rPr>
          <w:rFonts w:ascii="仿宋_GB2312" w:hAnsi="仿宋_GB2312" w:eastAsia="仿宋_GB2312" w:cs="仿宋_GB2312"/>
          <w:sz w:val="28"/>
          <w:szCs w:val="28"/>
        </w:rPr>
        <w:t>采购内容</w:t>
      </w:r>
      <w:bookmarkEnd w:id="5"/>
    </w:p>
    <w:p w14:paraId="0E8457DA">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本项目预算最高控制价金额为</w:t>
      </w:r>
      <w:r>
        <w:rPr>
          <w:rFonts w:hint="eastAsia" w:ascii="仿宋_GB2312" w:hAnsi="仿宋_GB2312" w:eastAsia="仿宋_GB2312" w:cs="仿宋_GB2312"/>
          <w:sz w:val="28"/>
          <w:szCs w:val="28"/>
          <w:lang w:val="en-US" w:eastAsia="zh-CN"/>
        </w:rPr>
        <w:t>190万</w:t>
      </w:r>
      <w:r>
        <w:rPr>
          <w:rFonts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采购内容为国家税务总局</w:t>
      </w:r>
      <w:r>
        <w:rPr>
          <w:rFonts w:hint="eastAsia" w:ascii="仿宋_GB2312" w:hAnsi="仿宋_GB2312" w:eastAsia="仿宋_GB2312" w:cs="仿宋_GB2312"/>
          <w:sz w:val="28"/>
          <w:szCs w:val="28"/>
          <w:lang w:eastAsia="zh-CN"/>
        </w:rPr>
        <w:t>五家渠</w:t>
      </w:r>
      <w:r>
        <w:rPr>
          <w:rFonts w:ascii="仿宋_GB2312" w:hAnsi="仿宋_GB2312" w:eastAsia="仿宋_GB2312" w:cs="仿宋_GB2312"/>
          <w:sz w:val="28"/>
          <w:szCs w:val="28"/>
        </w:rPr>
        <w:t>税务局</w:t>
      </w:r>
      <w:r>
        <w:rPr>
          <w:rFonts w:hint="eastAsia" w:ascii="仿宋_GB2312" w:hAnsi="仿宋_GB2312" w:eastAsia="仿宋_GB2312" w:cs="仿宋_GB2312"/>
          <w:sz w:val="28"/>
          <w:szCs w:val="28"/>
          <w:lang w:val="en-US" w:eastAsia="zh-CN"/>
        </w:rPr>
        <w:t>办税服务厅</w:t>
      </w:r>
      <w:r>
        <w:rPr>
          <w:rFonts w:ascii="仿宋_GB2312" w:hAnsi="仿宋_GB2312" w:eastAsia="仿宋_GB2312" w:cs="仿宋_GB2312"/>
          <w:sz w:val="28"/>
          <w:szCs w:val="28"/>
        </w:rPr>
        <w:t>导税服务、税费辅导服务、热线咨询服务、基础服务、</w:t>
      </w:r>
      <w:r>
        <w:rPr>
          <w:rFonts w:hint="eastAsia" w:ascii="仿宋_GB2312" w:hAnsi="仿宋_GB2312" w:eastAsia="仿宋_GB2312" w:cs="仿宋_GB2312"/>
          <w:sz w:val="28"/>
          <w:szCs w:val="28"/>
          <w:lang w:eastAsia="zh-CN"/>
        </w:rPr>
        <w:t>社保服务、</w:t>
      </w:r>
      <w:r>
        <w:rPr>
          <w:rFonts w:ascii="仿宋_GB2312" w:hAnsi="仿宋_GB2312" w:eastAsia="仿宋_GB2312" w:cs="仿宋_GB2312"/>
          <w:sz w:val="28"/>
          <w:szCs w:val="28"/>
        </w:rPr>
        <w:t>采购人需要的临时调配等其他相关服务。</w:t>
      </w:r>
    </w:p>
    <w:p w14:paraId="1CD711F8">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6" w:name="_Toc763"/>
      <w:r>
        <w:rPr>
          <w:rFonts w:ascii="仿宋_GB2312" w:hAnsi="仿宋_GB2312" w:eastAsia="仿宋_GB2312" w:cs="仿宋_GB2312"/>
          <w:sz w:val="28"/>
          <w:szCs w:val="28"/>
        </w:rPr>
        <w:t>1.2.</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rPr>
        <w:t>项目实施要求</w:t>
      </w:r>
      <w:bookmarkEnd w:id="6"/>
    </w:p>
    <w:p w14:paraId="4D904555">
      <w:pPr>
        <w:pStyle w:val="6"/>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r>
        <w:rPr>
          <w:rFonts w:ascii="仿宋_GB2312" w:hAnsi="仿宋_GB2312" w:eastAsia="仿宋_GB2312" w:cs="仿宋_GB2312"/>
        </w:rPr>
        <w:t>1.2.</w:t>
      </w:r>
      <w:r>
        <w:rPr>
          <w:rFonts w:hint="eastAsia" w:ascii="仿宋_GB2312" w:hAnsi="仿宋_GB2312" w:eastAsia="仿宋_GB2312" w:cs="仿宋_GB2312"/>
          <w:lang w:val="en-US" w:eastAsia="zh-CN"/>
        </w:rPr>
        <w:t>2</w:t>
      </w:r>
      <w:r>
        <w:rPr>
          <w:rFonts w:ascii="仿宋_GB2312" w:hAnsi="仿宋_GB2312" w:eastAsia="仿宋_GB2312" w:cs="仿宋_GB2312"/>
        </w:rPr>
        <w:t>.1实施范围要求</w:t>
      </w:r>
    </w:p>
    <w:p w14:paraId="29A0D863">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新疆五家渠市猛进北路行政服务中心办税服务区、新疆五家渠军垦南路304号办税服务区、芳草湖农场430号办税服务区、奇台农场富强东街30号办税服务区。</w:t>
      </w:r>
    </w:p>
    <w:p w14:paraId="34B0C576">
      <w:pPr>
        <w:pStyle w:val="6"/>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r>
        <w:rPr>
          <w:rFonts w:ascii="仿宋_GB2312" w:hAnsi="仿宋_GB2312" w:eastAsia="仿宋_GB2312" w:cs="仿宋_GB2312"/>
        </w:rPr>
        <w:t>1.2.</w:t>
      </w:r>
      <w:r>
        <w:rPr>
          <w:rFonts w:hint="eastAsia" w:ascii="仿宋_GB2312" w:hAnsi="仿宋_GB2312" w:eastAsia="仿宋_GB2312" w:cs="仿宋_GB2312"/>
          <w:lang w:val="en-US" w:eastAsia="zh-CN"/>
        </w:rPr>
        <w:t>2</w:t>
      </w:r>
      <w:r>
        <w:rPr>
          <w:rFonts w:ascii="仿宋_GB2312" w:hAnsi="仿宋_GB2312" w:eastAsia="仿宋_GB2312" w:cs="仿宋_GB2312"/>
        </w:rPr>
        <w:t>.2实施时间要求</w:t>
      </w:r>
    </w:p>
    <w:p w14:paraId="7E79E293">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自签订合同之日起一年。</w:t>
      </w:r>
    </w:p>
    <w:p w14:paraId="180A4869">
      <w:pPr>
        <w:pStyle w:val="6"/>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r>
        <w:rPr>
          <w:rFonts w:ascii="仿宋_GB2312" w:hAnsi="仿宋_GB2312" w:eastAsia="仿宋_GB2312" w:cs="仿宋_GB2312"/>
        </w:rPr>
        <w:t>1.2.</w:t>
      </w:r>
      <w:r>
        <w:rPr>
          <w:rFonts w:hint="eastAsia" w:ascii="仿宋_GB2312" w:hAnsi="仿宋_GB2312" w:eastAsia="仿宋_GB2312" w:cs="仿宋_GB2312"/>
          <w:lang w:val="en-US" w:eastAsia="zh-CN"/>
        </w:rPr>
        <w:t>2</w:t>
      </w:r>
      <w:r>
        <w:rPr>
          <w:rFonts w:ascii="仿宋_GB2312" w:hAnsi="仿宋_GB2312" w:eastAsia="仿宋_GB2312" w:cs="仿宋_GB2312"/>
        </w:rPr>
        <w:t>.3实施地点要求</w:t>
      </w:r>
    </w:p>
    <w:p w14:paraId="020812EE">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default" w:ascii="仿宋_GB2312" w:hAnsi="仿宋_GB2312" w:eastAsia="仿宋_GB2312" w:cs="仿宋_GB2312"/>
          <w:sz w:val="28"/>
          <w:szCs w:val="28"/>
          <w:lang w:val="en-US" w:eastAsia="zh-CN"/>
        </w:rPr>
      </w:pPr>
      <w:bookmarkStart w:id="7" w:name="_Toc29923"/>
      <w:r>
        <w:rPr>
          <w:rFonts w:hint="eastAsia" w:ascii="仿宋_GB2312" w:hAnsi="仿宋_GB2312" w:eastAsia="仿宋_GB2312" w:cs="仿宋_GB2312"/>
          <w:sz w:val="28"/>
          <w:szCs w:val="28"/>
          <w:lang w:val="en-US" w:eastAsia="zh-CN"/>
        </w:rPr>
        <w:t>新疆五家渠市猛进北路行政服务中心办税服务区、五家渠税务局第一税务所（新疆五家渠军垦南路304号办税服务区）、芳草湖税务所（芳草湖农场430号办税服务区）、奇台农场税务所（奇台农场富强东街30号办税服务区）。</w:t>
      </w:r>
    </w:p>
    <w:p w14:paraId="06CDCAA4">
      <w:pPr>
        <w:pStyle w:val="3"/>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ascii="仿宋_GB2312" w:hAnsi="仿宋_GB2312" w:eastAsia="仿宋_GB2312" w:cs="仿宋_GB2312"/>
          <w:b/>
          <w:bCs/>
          <w:sz w:val="32"/>
          <w:szCs w:val="32"/>
        </w:rPr>
      </w:pPr>
      <w:r>
        <w:rPr>
          <w:rFonts w:ascii="仿宋_GB2312" w:hAnsi="仿宋_GB2312" w:eastAsia="仿宋_GB2312" w:cs="仿宋_GB2312"/>
          <w:kern w:val="36"/>
        </w:rPr>
        <w:t>2投标/响应要求</w:t>
      </w:r>
      <w:bookmarkEnd w:id="7"/>
    </w:p>
    <w:p w14:paraId="0DC140E9">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8" w:name="_Toc27853"/>
      <w:r>
        <w:rPr>
          <w:rFonts w:ascii="仿宋_GB2312" w:hAnsi="仿宋_GB2312" w:eastAsia="仿宋_GB2312" w:cs="仿宋_GB2312"/>
          <w:i w:val="0"/>
          <w:iCs w:val="0"/>
        </w:rPr>
        <w:t>2.1对供应商的要求</w:t>
      </w:r>
      <w:bookmarkEnd w:id="8"/>
    </w:p>
    <w:p w14:paraId="3A8D3E37">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9" w:name="_Toc11929"/>
      <w:r>
        <w:rPr>
          <w:rFonts w:ascii="仿宋_GB2312" w:hAnsi="仿宋_GB2312" w:eastAsia="仿宋_GB2312" w:cs="仿宋_GB2312"/>
          <w:sz w:val="28"/>
          <w:szCs w:val="28"/>
        </w:rPr>
        <w:t>2.1.1必备资质</w:t>
      </w:r>
      <w:bookmarkEnd w:id="9"/>
    </w:p>
    <w:p w14:paraId="1806FF95">
      <w:pPr>
        <w:pStyle w:val="6"/>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rPr>
      </w:pPr>
      <w:r>
        <w:rPr>
          <w:rFonts w:ascii="仿宋_GB2312" w:hAnsi="仿宋_GB2312" w:eastAsia="仿宋_GB2312" w:cs="仿宋_GB2312"/>
        </w:rPr>
        <w:t>2.1.1.1投标人应遵守有关国家法律、法规和条例,具备《中华人民共和国政府采购法》第二十二条的规定和本文件中规定的条件。</w:t>
      </w:r>
    </w:p>
    <w:p w14:paraId="6F7ABDB3">
      <w:pPr>
        <w:pStyle w:val="5"/>
        <w:keepNext w:val="0"/>
        <w:spacing w:before="0" w:beforeLines="0" w:after="0" w:afterLines="0" w:line="560" w:lineRule="exact"/>
        <w:jc w:val="both"/>
        <w:outlineLvl w:val="0"/>
        <w:rPr>
          <w:rFonts w:ascii="仿宋_GB2312" w:hAnsi="仿宋_GB2312" w:eastAsia="仿宋_GB2312" w:cs="仿宋_GB2312"/>
          <w:sz w:val="28"/>
          <w:szCs w:val="28"/>
        </w:rPr>
      </w:pPr>
      <w:r>
        <w:rPr>
          <w:rFonts w:ascii="仿宋_GB2312" w:hAnsi="仿宋_GB2312" w:eastAsia="仿宋_GB2312" w:cs="仿宋_GB2312"/>
          <w:sz w:val="28"/>
          <w:szCs w:val="28"/>
        </w:rPr>
        <w:t>2.1.2优选资质/优选指标</w:t>
      </w:r>
    </w:p>
    <w:p w14:paraId="1BA99145">
      <w:pPr>
        <w:pStyle w:val="5"/>
        <w:keepNext w:val="0"/>
        <w:spacing w:before="0" w:beforeLines="0" w:after="0" w:afterLines="0" w:line="560" w:lineRule="exact"/>
        <w:jc w:val="both"/>
        <w:outlineLvl w:val="0"/>
        <w:rPr>
          <w:rFonts w:hint="eastAsia"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rPr>
        <w:t>2.1.2.1</w:t>
      </w:r>
      <w:r>
        <w:rPr>
          <w:rFonts w:hint="eastAsia" w:ascii="仿宋_GB2312" w:hAnsi="仿宋_GB2312" w:eastAsia="仿宋_GB2312" w:cs="仿宋_GB2312"/>
          <w:i w:val="0"/>
          <w:iCs w:val="0"/>
          <w:sz w:val="28"/>
          <w:szCs w:val="28"/>
          <w:lang w:val="en-US" w:eastAsia="zh-CN"/>
        </w:rPr>
        <w:t>相关证书</w:t>
      </w:r>
    </w:p>
    <w:p w14:paraId="4E99348A">
      <w:pPr>
        <w:pStyle w:val="5"/>
        <w:keepNext w:val="0"/>
        <w:spacing w:before="0" w:beforeLines="0" w:after="0" w:afterLines="0" w:line="560" w:lineRule="exact"/>
        <w:jc w:val="both"/>
        <w:outlineLvl w:val="0"/>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lang w:val="en-US" w:eastAsia="zh-CN"/>
        </w:rPr>
        <w:t>无。</w:t>
      </w:r>
    </w:p>
    <w:p w14:paraId="2CB273C6">
      <w:pPr>
        <w:pStyle w:val="5"/>
        <w:keepNext w:val="0"/>
        <w:spacing w:before="0" w:beforeLines="0" w:after="0" w:afterLines="0" w:line="560" w:lineRule="exact"/>
        <w:jc w:val="both"/>
        <w:outlineLvl w:val="0"/>
        <w:rPr>
          <w:rFonts w:ascii="仿宋_GB2312" w:hAnsi="仿宋_GB2312" w:eastAsia="仿宋_GB2312" w:cs="仿宋_GB2312"/>
          <w:b/>
          <w:bCs/>
          <w:sz w:val="28"/>
          <w:szCs w:val="28"/>
        </w:rPr>
      </w:pPr>
      <w:r>
        <w:rPr>
          <w:rFonts w:ascii="仿宋_GB2312" w:hAnsi="仿宋_GB2312" w:eastAsia="仿宋_GB2312" w:cs="仿宋_GB2312"/>
          <w:i w:val="0"/>
          <w:iCs w:val="0"/>
          <w:sz w:val="28"/>
          <w:szCs w:val="28"/>
        </w:rPr>
        <w:t>2.1.2.</w:t>
      </w:r>
      <w:r>
        <w:rPr>
          <w:rFonts w:hint="eastAsia" w:ascii="仿宋_GB2312" w:hAnsi="仿宋_GB2312" w:eastAsia="仿宋_GB2312" w:cs="仿宋_GB2312"/>
          <w:i w:val="0"/>
          <w:iCs w:val="0"/>
          <w:sz w:val="28"/>
          <w:szCs w:val="28"/>
          <w:lang w:val="en-US" w:eastAsia="zh-CN"/>
        </w:rPr>
        <w:t>2</w:t>
      </w:r>
      <w:r>
        <w:rPr>
          <w:rFonts w:ascii="仿宋_GB2312" w:hAnsi="仿宋_GB2312" w:eastAsia="仿宋_GB2312" w:cs="仿宋_GB2312"/>
          <w:i w:val="0"/>
          <w:iCs w:val="0"/>
          <w:sz w:val="28"/>
          <w:szCs w:val="28"/>
        </w:rPr>
        <w:t>成功案例</w:t>
      </w:r>
    </w:p>
    <w:p w14:paraId="643E145F">
      <w:pPr>
        <w:pStyle w:val="22"/>
        <w:spacing w:beforeLines="0" w:afterLines="0" w:line="560" w:lineRule="exact"/>
        <w:ind w:firstLine="560" w:firstLineChars="200"/>
        <w:jc w:val="both"/>
      </w:pPr>
      <w:r>
        <w:rPr>
          <w:rFonts w:hint="eastAsia" w:ascii="仿宋_GB2312" w:hAnsi="仿宋_GB2312" w:eastAsia="仿宋_GB2312" w:cs="仿宋_GB2312"/>
          <w:sz w:val="28"/>
          <w:szCs w:val="28"/>
          <w:lang w:val="en-US" w:eastAsia="zh-CN"/>
        </w:rPr>
        <w:t>提供</w:t>
      </w:r>
      <w:r>
        <w:rPr>
          <w:rFonts w:ascii="仿宋_GB2312" w:hAnsi="仿宋_GB2312" w:eastAsia="仿宋_GB2312" w:cs="仿宋_GB2312"/>
          <w:sz w:val="28"/>
          <w:szCs w:val="28"/>
        </w:rPr>
        <w:t>2022年1月1日</w:t>
      </w:r>
      <w:r>
        <w:rPr>
          <w:rFonts w:hint="eastAsia" w:ascii="仿宋_GB2312" w:hAnsi="仿宋_GB2312" w:eastAsia="仿宋_GB2312" w:cs="仿宋_GB2312"/>
          <w:sz w:val="28"/>
          <w:szCs w:val="28"/>
          <w:lang w:val="en-US" w:eastAsia="zh-CN"/>
        </w:rPr>
        <w:t>以来</w:t>
      </w:r>
      <w:r>
        <w:rPr>
          <w:rFonts w:ascii="仿宋_GB2312" w:hAnsi="仿宋_GB2312" w:eastAsia="仿宋_GB2312" w:cs="仿宋_GB2312"/>
          <w:sz w:val="28"/>
          <w:szCs w:val="28"/>
        </w:rPr>
        <w:t>（以合同签定时间为准），供应商独立承担的类似项目案例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给予加分</w:t>
      </w:r>
      <w:r>
        <w:rPr>
          <w:rFonts w:ascii="仿宋_GB2312" w:hAnsi="仿宋_GB2312" w:eastAsia="仿宋_GB2312" w:cs="仿宋_GB2312"/>
          <w:sz w:val="28"/>
          <w:szCs w:val="28"/>
        </w:rPr>
        <w:t>。</w:t>
      </w:r>
    </w:p>
    <w:p w14:paraId="7A39F745">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highlight w:val="none"/>
        </w:rPr>
      </w:pPr>
      <w:bookmarkStart w:id="10" w:name="_Toc30022"/>
      <w:r>
        <w:rPr>
          <w:rFonts w:ascii="仿宋_GB2312" w:hAnsi="仿宋_GB2312" w:eastAsia="仿宋_GB2312" w:cs="仿宋_GB2312"/>
          <w:sz w:val="28"/>
          <w:szCs w:val="28"/>
          <w:highlight w:val="none"/>
        </w:rPr>
        <w:t>2.1.</w:t>
      </w:r>
      <w:r>
        <w:rPr>
          <w:rFonts w:hint="eastAsia" w:ascii="仿宋_GB2312" w:hAnsi="仿宋_GB2312" w:eastAsia="仿宋_GB2312" w:cs="仿宋_GB2312"/>
          <w:sz w:val="28"/>
          <w:szCs w:val="28"/>
          <w:highlight w:val="none"/>
          <w:lang w:val="en-US" w:eastAsia="zh-CN"/>
        </w:rPr>
        <w:t>3</w:t>
      </w:r>
      <w:r>
        <w:rPr>
          <w:rFonts w:ascii="仿宋_GB2312" w:hAnsi="仿宋_GB2312" w:eastAsia="仿宋_GB2312" w:cs="仿宋_GB2312"/>
          <w:sz w:val="28"/>
          <w:szCs w:val="28"/>
          <w:highlight w:val="none"/>
        </w:rPr>
        <w:t>是否允许联合体</w:t>
      </w:r>
      <w:bookmarkEnd w:id="10"/>
    </w:p>
    <w:p w14:paraId="4C4BF793">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否</w:t>
      </w:r>
    </w:p>
    <w:p w14:paraId="57D8DC96">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11" w:name="_Toc8957"/>
      <w:r>
        <w:rPr>
          <w:rFonts w:ascii="仿宋_GB2312" w:hAnsi="仿宋_GB2312" w:eastAsia="仿宋_GB2312" w:cs="仿宋_GB2312"/>
          <w:sz w:val="28"/>
          <w:szCs w:val="28"/>
        </w:rPr>
        <w:t>2.1.</w:t>
      </w:r>
      <w:r>
        <w:rPr>
          <w:rFonts w:hint="eastAsia" w:ascii="仿宋_GB2312" w:hAnsi="仿宋_GB2312" w:eastAsia="仿宋_GB2312" w:cs="仿宋_GB2312"/>
          <w:sz w:val="28"/>
          <w:szCs w:val="28"/>
          <w:lang w:val="en-US" w:eastAsia="zh-CN"/>
        </w:rPr>
        <w:t>4</w:t>
      </w:r>
      <w:r>
        <w:rPr>
          <w:rFonts w:ascii="仿宋_GB2312" w:hAnsi="仿宋_GB2312" w:eastAsia="仿宋_GB2312" w:cs="仿宋_GB2312"/>
          <w:sz w:val="28"/>
          <w:szCs w:val="28"/>
        </w:rPr>
        <w:t>是否专门面向中小企业</w:t>
      </w:r>
      <w:bookmarkEnd w:id="11"/>
    </w:p>
    <w:p w14:paraId="43134624">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本项目专门面向中小企业采购项目</w:t>
      </w:r>
    </w:p>
    <w:p w14:paraId="3C8CC6B8">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12" w:name="_Toc25294"/>
      <w:r>
        <w:rPr>
          <w:rFonts w:ascii="仿宋_GB2312" w:hAnsi="仿宋_GB2312" w:eastAsia="仿宋_GB2312" w:cs="仿宋_GB2312"/>
          <w:i w:val="0"/>
          <w:iCs w:val="0"/>
        </w:rPr>
        <w:t>2.2技术部分投标/响应内容</w:t>
      </w:r>
      <w:bookmarkEnd w:id="12"/>
    </w:p>
    <w:p w14:paraId="628F0658">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13" w:name="_Toc7656"/>
      <w:r>
        <w:rPr>
          <w:rFonts w:ascii="仿宋_GB2312" w:hAnsi="仿宋_GB2312" w:eastAsia="仿宋_GB2312" w:cs="仿宋_GB2312"/>
          <w:sz w:val="28"/>
          <w:szCs w:val="28"/>
        </w:rPr>
        <w:t>2.2.1技术投标/响应总要求</w:t>
      </w:r>
      <w:bookmarkEnd w:id="13"/>
    </w:p>
    <w:p w14:paraId="6CF5C009">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（一）符合《中华人民共和国政府采购法》第二十二条的相关规定：</w:t>
      </w:r>
    </w:p>
    <w:p w14:paraId="4E3A8211">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1.具有独立承担民事责任的能力；</w:t>
      </w:r>
    </w:p>
    <w:p w14:paraId="7EE14F19">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2.具有良好的商业信誉和健全的财务会计制度；</w:t>
      </w:r>
    </w:p>
    <w:p w14:paraId="690BFCFB">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3.具有履行合同所必需的设备和专业技术能力；</w:t>
      </w:r>
    </w:p>
    <w:p w14:paraId="3634D5F5">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4.具有依法缴纳税收和社会保障资金的良好记录；</w:t>
      </w:r>
    </w:p>
    <w:p w14:paraId="06A3ED33">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5.参加政府采购活动前三年内，在经营活动中没有重大违法记录；</w:t>
      </w:r>
    </w:p>
    <w:p w14:paraId="7953CC9E">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6.法律、行政法规规定的其他条件。</w:t>
      </w:r>
    </w:p>
    <w:p w14:paraId="06222FD1">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（二）本项目属于专门面向中小企业采购的项目。投标人须为符合本项目采购标的对应行业划分标准的中小企业(监狱企业、残疾人福利单位视同小微企业)。</w:t>
      </w:r>
    </w:p>
    <w:p w14:paraId="197AB4C2">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（三）本项目不接受联合体投标。</w:t>
      </w:r>
    </w:p>
    <w:p w14:paraId="5FB97428">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14" w:name="_Toc15528"/>
      <w:r>
        <w:rPr>
          <w:rFonts w:ascii="仿宋_GB2312" w:hAnsi="仿宋_GB2312" w:eastAsia="仿宋_GB2312" w:cs="仿宋_GB2312"/>
          <w:sz w:val="28"/>
          <w:szCs w:val="28"/>
        </w:rPr>
        <w:t>2.2.2投标/响应方案要求</w:t>
      </w:r>
      <w:bookmarkEnd w:id="14"/>
    </w:p>
    <w:p w14:paraId="240997F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highlight w:val="yellow"/>
          <w:lang w:val="en-US" w:eastAsia="en-US"/>
        </w:rPr>
      </w:pPr>
      <w:r>
        <w:rPr>
          <w:rFonts w:ascii="仿宋_GB2312" w:hAnsi="仿宋_GB2312" w:eastAsia="仿宋_GB2312" w:cs="仿宋_GB2312"/>
          <w:sz w:val="28"/>
          <w:szCs w:val="28"/>
          <w:lang w:val="en-US" w:eastAsia="en-US"/>
        </w:rPr>
        <w:t>以下相关方案，若作为评审因素，则投标人应在满足★关键指标项要求的前提下，根据项目特点和采购需求，制定更为完整、详细、可操作性强的方案。</w:t>
      </w:r>
    </w:p>
    <w:p w14:paraId="37EC9C1C">
      <w:pPr>
        <w:pStyle w:val="22"/>
        <w:keepNext w:val="0"/>
        <w:keepLines w:val="0"/>
        <w:pageBreakBefore w:val="0"/>
        <w:widowControl/>
        <w:kinsoku/>
        <w:wordWrap/>
        <w:overflowPunct/>
        <w:topLinePunct w:val="0"/>
        <w:autoSpaceDE/>
        <w:autoSpaceDN/>
        <w:bidi w:val="0"/>
        <w:adjustRightInd/>
        <w:snapToGrid/>
        <w:spacing w:line="560" w:lineRule="exact"/>
        <w:ind w:left="0" w:firstLine="641"/>
        <w:jc w:val="both"/>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1.项目需求理解</w:t>
      </w:r>
    </w:p>
    <w:p w14:paraId="45AE7217">
      <w:pPr>
        <w:pStyle w:val="22"/>
        <w:keepNext w:val="0"/>
        <w:keepLines w:val="0"/>
        <w:pageBreakBefore w:val="0"/>
        <w:widowControl/>
        <w:kinsoku/>
        <w:wordWrap/>
        <w:overflowPunct/>
        <w:topLinePunct w:val="0"/>
        <w:autoSpaceDE/>
        <w:autoSpaceDN/>
        <w:bidi w:val="0"/>
        <w:adjustRightInd/>
        <w:snapToGrid/>
        <w:spacing w:line="560" w:lineRule="exact"/>
        <w:ind w:left="0" w:firstLine="641"/>
        <w:jc w:val="both"/>
        <w:textAlignment w:val="auto"/>
        <w:rPr>
          <w:rFonts w:hint="eastAsia"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en-US"/>
        </w:rPr>
        <w:t>供应商应详细阐述对本包整体技术业务需求内容的理解，深入分析并提供详细的需求分析说明。</w:t>
      </w:r>
    </w:p>
    <w:p w14:paraId="0746EC59">
      <w:pPr>
        <w:pStyle w:val="22"/>
        <w:keepNext w:val="0"/>
        <w:keepLines w:val="0"/>
        <w:pageBreakBefore w:val="0"/>
        <w:widowControl/>
        <w:kinsoku/>
        <w:wordWrap/>
        <w:overflowPunct/>
        <w:topLinePunct w:val="0"/>
        <w:autoSpaceDE/>
        <w:autoSpaceDN/>
        <w:bidi w:val="0"/>
        <w:adjustRightInd/>
        <w:snapToGrid/>
        <w:spacing w:line="560" w:lineRule="exact"/>
        <w:ind w:left="0" w:firstLine="641"/>
        <w:jc w:val="both"/>
        <w:textAlignment w:val="auto"/>
        <w:rPr>
          <w:rFonts w:hint="eastAsia" w:ascii="仿宋_GB2312" w:hAnsi="仿宋_GB2312" w:eastAsia="仿宋_GB2312" w:cs="仿宋_GB2312"/>
          <w:sz w:val="28"/>
          <w:szCs w:val="28"/>
          <w:lang w:val="zh-CN" w:eastAsia="en-US"/>
        </w:rPr>
      </w:pPr>
      <w:bookmarkStart w:id="15" w:name="_Toc28981"/>
      <w:r>
        <w:rPr>
          <w:rFonts w:hint="eastAsia" w:ascii="仿宋_GB2312" w:hAnsi="仿宋_GB2312" w:eastAsia="仿宋_GB2312" w:cs="仿宋_GB2312"/>
          <w:sz w:val="28"/>
          <w:szCs w:val="28"/>
          <w:lang w:val="zh-CN" w:eastAsia="en-US"/>
        </w:rPr>
        <w:t>2.对服务方案的响应</w:t>
      </w:r>
    </w:p>
    <w:p w14:paraId="3FE63FD4">
      <w:pPr>
        <w:pStyle w:val="22"/>
        <w:keepNext w:val="0"/>
        <w:keepLines w:val="0"/>
        <w:pageBreakBefore w:val="0"/>
        <w:widowControl/>
        <w:kinsoku/>
        <w:wordWrap/>
        <w:overflowPunct/>
        <w:topLinePunct w:val="0"/>
        <w:autoSpaceDE/>
        <w:autoSpaceDN/>
        <w:bidi w:val="0"/>
        <w:adjustRightInd/>
        <w:snapToGrid/>
        <w:spacing w:line="560" w:lineRule="exact"/>
        <w:ind w:left="0" w:firstLine="641"/>
        <w:jc w:val="both"/>
        <w:textAlignment w:val="auto"/>
        <w:rPr>
          <w:rFonts w:hint="eastAsia" w:ascii="仿宋_GB2312" w:hAnsi="仿宋_GB2312" w:eastAsia="仿宋_GB2312" w:cs="仿宋_GB2312"/>
          <w:sz w:val="28"/>
          <w:szCs w:val="28"/>
          <w:lang w:val="zh-CN" w:eastAsia="en-US"/>
        </w:rPr>
      </w:pPr>
      <w:r>
        <w:rPr>
          <w:rFonts w:hint="eastAsia" w:ascii="仿宋_GB2312" w:hAnsi="仿宋_GB2312" w:eastAsia="仿宋_GB2312" w:cs="仿宋_GB2312"/>
          <w:sz w:val="28"/>
          <w:szCs w:val="28"/>
          <w:lang w:val="zh-CN" w:eastAsia="en-US"/>
        </w:rPr>
        <w:t>在投标文件中详细阐述项目</w:t>
      </w:r>
      <w:r>
        <w:rPr>
          <w:rFonts w:hint="eastAsia" w:ascii="仿宋_GB2312" w:hAnsi="仿宋_GB2312" w:eastAsia="仿宋_GB2312" w:cs="仿宋_GB2312"/>
          <w:sz w:val="28"/>
          <w:szCs w:val="28"/>
          <w:lang w:val="en-US" w:eastAsia="zh-CN"/>
        </w:rPr>
        <w:t>岗前</w:t>
      </w:r>
      <w:r>
        <w:rPr>
          <w:rFonts w:hint="eastAsia" w:ascii="仿宋_GB2312" w:hAnsi="仿宋_GB2312" w:eastAsia="仿宋_GB2312" w:cs="仿宋_GB2312"/>
          <w:sz w:val="28"/>
          <w:szCs w:val="28"/>
          <w:lang w:val="zh-CN" w:eastAsia="en-US"/>
        </w:rPr>
        <w:t>培训管理方案、</w:t>
      </w:r>
      <w:r>
        <w:rPr>
          <w:rFonts w:hint="eastAsia" w:ascii="仿宋_GB2312" w:hAnsi="仿宋_GB2312" w:eastAsia="仿宋_GB2312" w:cs="仿宋_GB2312"/>
          <w:sz w:val="28"/>
          <w:szCs w:val="28"/>
          <w:lang w:val="zh-CN" w:eastAsia="zh-CN"/>
        </w:rPr>
        <w:t>驻场管理人员方案、应急预案方案、考核管理方案、人员</w:t>
      </w:r>
      <w:r>
        <w:rPr>
          <w:rFonts w:hint="eastAsia" w:ascii="仿宋_GB2312" w:hAnsi="仿宋_GB2312" w:eastAsia="仿宋_GB2312" w:cs="仿宋_GB2312"/>
          <w:sz w:val="28"/>
          <w:szCs w:val="28"/>
          <w:lang w:val="en-US" w:eastAsia="zh-CN"/>
        </w:rPr>
        <w:t>管理</w:t>
      </w:r>
      <w:r>
        <w:rPr>
          <w:rFonts w:hint="eastAsia" w:ascii="仿宋_GB2312" w:hAnsi="仿宋_GB2312" w:eastAsia="仿宋_GB2312" w:cs="仿宋_GB2312"/>
          <w:sz w:val="28"/>
          <w:szCs w:val="28"/>
          <w:lang w:val="zh-CN" w:eastAsia="zh-CN"/>
        </w:rPr>
        <w:t>方案、</w:t>
      </w:r>
      <w:r>
        <w:rPr>
          <w:rFonts w:hint="eastAsia" w:ascii="仿宋_GB2312" w:hAnsi="仿宋_GB2312" w:eastAsia="仿宋_GB2312" w:cs="仿宋_GB2312"/>
          <w:sz w:val="28"/>
          <w:szCs w:val="28"/>
          <w:lang w:val="zh-CN" w:eastAsia="en-US"/>
        </w:rPr>
        <w:t>以及</w:t>
      </w:r>
      <w:r>
        <w:rPr>
          <w:rFonts w:hint="eastAsia" w:ascii="仿宋_GB2312" w:hAnsi="仿宋_GB2312" w:eastAsia="仿宋_GB2312" w:cs="仿宋_GB2312"/>
          <w:sz w:val="28"/>
          <w:szCs w:val="28"/>
          <w:lang w:val="zh-CN" w:eastAsia="zh-CN"/>
        </w:rPr>
        <w:t>资产管理制度</w:t>
      </w:r>
      <w:r>
        <w:rPr>
          <w:rFonts w:hint="eastAsia" w:ascii="仿宋_GB2312" w:hAnsi="仿宋_GB2312" w:eastAsia="仿宋_GB2312" w:cs="仿宋_GB2312"/>
          <w:sz w:val="28"/>
          <w:szCs w:val="28"/>
          <w:lang w:val="zh-CN" w:eastAsia="en-US"/>
        </w:rPr>
        <w:t>等内容。同时要对招标文件中所提供的各项服务以及如何适用于采购人的需求作详细说明。此项内容作为考察供应商是否具备完成本项目能力的重要依据。</w:t>
      </w:r>
    </w:p>
    <w:p w14:paraId="7E9A9790">
      <w:pPr>
        <w:pStyle w:val="3"/>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ascii="仿宋_GB2312" w:hAnsi="仿宋_GB2312" w:eastAsia="仿宋_GB2312" w:cs="仿宋_GB2312"/>
          <w:b/>
          <w:bCs/>
          <w:sz w:val="32"/>
          <w:szCs w:val="32"/>
        </w:rPr>
      </w:pPr>
      <w:r>
        <w:rPr>
          <w:rFonts w:ascii="仿宋_GB2312" w:hAnsi="仿宋_GB2312" w:eastAsia="仿宋_GB2312" w:cs="仿宋_GB2312"/>
          <w:kern w:val="36"/>
        </w:rPr>
        <w:t>3项目需求</w:t>
      </w:r>
      <w:bookmarkEnd w:id="15"/>
    </w:p>
    <w:p w14:paraId="58FB28F3">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16" w:name="_Toc24147"/>
      <w:r>
        <w:rPr>
          <w:rFonts w:ascii="仿宋_GB2312" w:hAnsi="仿宋_GB2312" w:eastAsia="仿宋_GB2312" w:cs="仿宋_GB2312"/>
          <w:i w:val="0"/>
          <w:iCs w:val="0"/>
        </w:rPr>
        <w:t>3.1总体要求</w:t>
      </w:r>
      <w:bookmarkEnd w:id="16"/>
    </w:p>
    <w:p w14:paraId="72696045">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为更好地保障税收工作的开展，着力深化“放管服”改革、“便民办税春风行动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不断优化营商环境</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结合</w:t>
      </w:r>
      <w:r>
        <w:rPr>
          <w:rFonts w:hint="eastAsia" w:ascii="仿宋_GB2312" w:hAnsi="仿宋_GB2312" w:eastAsia="仿宋_GB2312" w:cs="仿宋_GB2312"/>
          <w:sz w:val="28"/>
          <w:szCs w:val="28"/>
          <w:lang w:eastAsia="zh-CN"/>
        </w:rPr>
        <w:t>五家渠</w:t>
      </w:r>
      <w:r>
        <w:rPr>
          <w:rFonts w:hint="eastAsia" w:ascii="仿宋_GB2312" w:hAnsi="仿宋_GB2312" w:eastAsia="仿宋_GB2312" w:cs="仿宋_GB2312"/>
          <w:sz w:val="28"/>
          <w:szCs w:val="28"/>
        </w:rPr>
        <w:t>税务局实际情况</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持续做好办税服务厅兜底保障，</w:t>
      </w:r>
      <w:r>
        <w:rPr>
          <w:rFonts w:hint="eastAsia" w:ascii="仿宋_GB2312" w:hAnsi="仿宋_GB2312" w:eastAsia="仿宋_GB2312" w:cs="仿宋_GB2312"/>
          <w:sz w:val="28"/>
          <w:szCs w:val="28"/>
          <w:lang w:eastAsia="zh-CN"/>
        </w:rPr>
        <w:t>力争</w:t>
      </w:r>
      <w:r>
        <w:rPr>
          <w:rFonts w:hint="eastAsia" w:ascii="仿宋_GB2312" w:hAnsi="仿宋_GB2312" w:eastAsia="仿宋_GB2312" w:cs="仿宋_GB2312"/>
          <w:sz w:val="28"/>
          <w:szCs w:val="28"/>
        </w:rPr>
        <w:t>为纳税人缴费人提供更加高效优质的纳税服务</w:t>
      </w:r>
      <w:r>
        <w:rPr>
          <w:rFonts w:hint="eastAsia" w:ascii="仿宋_GB2312" w:hAnsi="仿宋_GB2312" w:eastAsia="仿宋_GB2312" w:cs="仿宋_GB2312"/>
          <w:sz w:val="28"/>
          <w:szCs w:val="28"/>
          <w:lang w:eastAsia="zh-CN"/>
        </w:rPr>
        <w:t>。</w:t>
      </w:r>
    </w:p>
    <w:p w14:paraId="61518CBE">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17" w:name="_Toc32532"/>
      <w:r>
        <w:rPr>
          <w:rFonts w:ascii="仿宋_GB2312" w:hAnsi="仿宋_GB2312" w:eastAsia="仿宋_GB2312" w:cs="仿宋_GB2312"/>
          <w:i w:val="0"/>
          <w:iCs w:val="0"/>
        </w:rPr>
        <w:t>3.2服务内容和要求</w:t>
      </w:r>
      <w:bookmarkEnd w:id="17"/>
    </w:p>
    <w:p w14:paraId="1694E431">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（一）导税服务</w:t>
      </w:r>
    </w:p>
    <w:p w14:paraId="2A999A2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主要引导纳税人缴费人在相关的服务区域或窗口办理税费事项；辅导纳税人填写资料；协助纳税人核对资料和表单填写的完整性；解答纳税人缴费人办理税费事项咨询；宣传税费法律法规政策；维护办税服务厅秩序，以及为纳税人缴费人提供准确、快捷的其他指引服务等，具体内容如下：</w:t>
      </w:r>
    </w:p>
    <w:p w14:paraId="1A72E02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1.引导服务：引导纳税人缴费人到相关服务区域或窗口办理税费事项，帮助其了解、熟悉办税流程，提供准确、快捷的指引，做到合理有效分流人员，减少排队等候时间。</w:t>
      </w:r>
    </w:p>
    <w:p w14:paraId="100C0CD1">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2.资料预检：‌在纳税人缴费人办理业务之前，对提供的资料‌进行初步检查，</w:t>
      </w:r>
      <w:r>
        <w:rPr>
          <w:rFonts w:hint="eastAsia" w:ascii="仿宋_GB2312" w:hAnsi="仿宋_GB2312" w:eastAsia="仿宋_GB2312" w:cs="仿宋_GB2312"/>
          <w:sz w:val="28"/>
          <w:szCs w:val="28"/>
          <w:lang w:val="en-US" w:eastAsia="zh-CN"/>
        </w:rPr>
        <w:t>协助</w:t>
      </w:r>
      <w:r>
        <w:rPr>
          <w:rFonts w:ascii="仿宋_GB2312" w:hAnsi="仿宋_GB2312" w:eastAsia="仿宋_GB2312" w:cs="仿宋_GB2312"/>
          <w:sz w:val="28"/>
          <w:szCs w:val="28"/>
          <w:lang w:val="en-US" w:eastAsia="en-US"/>
        </w:rPr>
        <w:t>对所需要的资料进行复印，‌确保资料的完整性和正确性。</w:t>
      </w:r>
    </w:p>
    <w:p w14:paraId="75524898">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3.咨询辅导：解答纳税人缴费人一般性涉税咨询，辅导正确填写相关表格和涉税资料。‌</w:t>
      </w:r>
    </w:p>
    <w:p w14:paraId="545E75C5">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4.秩序维护：维护办税服务点的秩序，确保纳税人缴费人有序办理税费业务。</w:t>
      </w:r>
    </w:p>
    <w:p w14:paraId="4718FD27">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5.日常管理：负责办税服务厅便民药箱、便民雨伞、复印机等便民服务设施的日常管理，检查纳税人缴费人办理税费业务需要的设施、用品是否完好，提出相关改进措施。</w:t>
      </w:r>
    </w:p>
    <w:p w14:paraId="7D9BDF4A">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6.问题记录</w:t>
      </w:r>
      <w:r>
        <w:rPr>
          <w:rFonts w:hint="eastAsia" w:ascii="仿宋_GB2312" w:hAnsi="仿宋_GB2312" w:eastAsia="仿宋_GB2312" w:cs="仿宋_GB2312"/>
          <w:sz w:val="28"/>
          <w:szCs w:val="28"/>
          <w:lang w:val="en-US" w:eastAsia="zh-CN"/>
        </w:rPr>
        <w:t>、</w:t>
      </w:r>
      <w:r>
        <w:rPr>
          <w:rFonts w:ascii="仿宋_GB2312" w:hAnsi="仿宋_GB2312" w:eastAsia="仿宋_GB2312" w:cs="仿宋_GB2312"/>
          <w:sz w:val="28"/>
          <w:szCs w:val="28"/>
          <w:lang w:val="en-US" w:eastAsia="en-US"/>
        </w:rPr>
        <w:t>跟踪：对导税、咨询过程中发现的问题进行记录，对需回复的事项进行记录并跟踪，记录当天服务过程中发现的问题和需要跟踪服务的事项，并提交</w:t>
      </w:r>
      <w:r>
        <w:rPr>
          <w:rFonts w:hint="eastAsia" w:ascii="仿宋_GB2312" w:hAnsi="仿宋_GB2312" w:eastAsia="仿宋_GB2312" w:cs="仿宋_GB2312"/>
          <w:sz w:val="28"/>
          <w:szCs w:val="28"/>
          <w:lang w:val="en-US" w:eastAsia="zh-CN"/>
        </w:rPr>
        <w:t>大厅负责人</w:t>
      </w:r>
      <w:r>
        <w:rPr>
          <w:rFonts w:ascii="仿宋_GB2312" w:hAnsi="仿宋_GB2312" w:eastAsia="仿宋_GB2312" w:cs="仿宋_GB2312"/>
          <w:sz w:val="28"/>
          <w:szCs w:val="28"/>
          <w:lang w:val="en-US" w:eastAsia="en-US"/>
        </w:rPr>
        <w:t>。</w:t>
      </w:r>
    </w:p>
    <w:p w14:paraId="0000D21E">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（二）税费辅导服务</w:t>
      </w:r>
    </w:p>
    <w:p w14:paraId="2FE73AC1">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主要辅导纳税人缴费人使用自助设备，协助纳税人缴费人在全国统一规范电子税务局网页端、电子税务局APP、自然人电子税务局扣缴端、个人所得税APP、社保缴费小程序、社保费管理客户端等办理相关业务，发放税费宣传资料，帮助其了解熟悉税费办理流程，提供相关的政策咨询以及解答一些较为复杂的办税疑难等，具体内容如下：</w:t>
      </w:r>
    </w:p>
    <w:p w14:paraId="119C8B01">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1.设备管理：负责自助服务区相关设备的日常管理；</w:t>
      </w:r>
      <w:r>
        <w:rPr>
          <w:rFonts w:hint="eastAsia" w:ascii="仿宋_GB2312" w:hAnsi="仿宋_GB2312" w:eastAsia="仿宋_GB2312" w:cs="仿宋_GB2312"/>
          <w:sz w:val="28"/>
          <w:szCs w:val="28"/>
          <w:lang w:val="en-US" w:eastAsia="zh-CN"/>
        </w:rPr>
        <w:t>新疆五家渠市猛进北路行政服务中心办税服务区</w:t>
      </w:r>
      <w:r>
        <w:rPr>
          <w:rFonts w:ascii="仿宋_GB2312" w:hAnsi="仿宋_GB2312" w:eastAsia="仿宋_GB2312" w:cs="仿宋_GB2312"/>
          <w:sz w:val="28"/>
          <w:szCs w:val="28"/>
          <w:lang w:val="en-US" w:eastAsia="en-US"/>
        </w:rPr>
        <w:t>计算机及其他设备</w:t>
      </w:r>
      <w:r>
        <w:rPr>
          <w:rFonts w:hint="eastAsia" w:ascii="仿宋_GB2312" w:hAnsi="仿宋_GB2312" w:eastAsia="仿宋_GB2312" w:cs="仿宋_GB2312"/>
          <w:sz w:val="28"/>
          <w:szCs w:val="28"/>
          <w:lang w:val="en-US" w:eastAsia="zh-CN"/>
        </w:rPr>
        <w:t>6</w:t>
      </w:r>
      <w:r>
        <w:rPr>
          <w:rFonts w:ascii="仿宋_GB2312" w:hAnsi="仿宋_GB2312" w:eastAsia="仿宋_GB2312" w:cs="仿宋_GB2312"/>
          <w:sz w:val="28"/>
          <w:szCs w:val="28"/>
          <w:lang w:val="en-US" w:eastAsia="en-US"/>
        </w:rPr>
        <w:t>套</w:t>
      </w:r>
      <w:r>
        <w:rPr>
          <w:rFonts w:hint="eastAsia" w:ascii="仿宋_GB2312" w:hAnsi="仿宋_GB2312" w:eastAsia="仿宋_GB2312" w:cs="仿宋_GB2312"/>
          <w:sz w:val="28"/>
          <w:szCs w:val="28"/>
          <w:lang w:val="en-US" w:eastAsia="zh-CN"/>
        </w:rPr>
        <w:t>、五家渠税务局第一税务所（新疆五家渠军垦南路304号办税服务区）</w:t>
      </w:r>
      <w:r>
        <w:rPr>
          <w:rFonts w:ascii="仿宋_GB2312" w:hAnsi="仿宋_GB2312" w:eastAsia="仿宋_GB2312" w:cs="仿宋_GB2312"/>
          <w:sz w:val="28"/>
          <w:szCs w:val="28"/>
          <w:lang w:val="en-US" w:eastAsia="en-US"/>
        </w:rPr>
        <w:t>计算机及其他设备</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lang w:val="en-US" w:eastAsia="en-US"/>
        </w:rPr>
        <w:t>套</w:t>
      </w:r>
      <w:r>
        <w:rPr>
          <w:rFonts w:hint="eastAsia" w:ascii="仿宋_GB2312" w:hAnsi="仿宋_GB2312" w:eastAsia="仿宋_GB2312" w:cs="仿宋_GB2312"/>
          <w:sz w:val="28"/>
          <w:szCs w:val="28"/>
          <w:lang w:val="en-US" w:eastAsia="zh-CN"/>
        </w:rPr>
        <w:t>、芳草湖税务所（芳草湖农场430号办税服务区）</w:t>
      </w:r>
      <w:r>
        <w:rPr>
          <w:rFonts w:ascii="仿宋_GB2312" w:hAnsi="仿宋_GB2312" w:eastAsia="仿宋_GB2312" w:cs="仿宋_GB2312"/>
          <w:sz w:val="28"/>
          <w:szCs w:val="28"/>
          <w:lang w:val="en-US" w:eastAsia="en-US"/>
        </w:rPr>
        <w:t>计算机及其他设备</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lang w:val="en-US" w:eastAsia="en-US"/>
        </w:rPr>
        <w:t>套</w:t>
      </w:r>
      <w:r>
        <w:rPr>
          <w:rFonts w:hint="eastAsia" w:ascii="仿宋_GB2312" w:hAnsi="仿宋_GB2312" w:eastAsia="仿宋_GB2312" w:cs="仿宋_GB2312"/>
          <w:sz w:val="28"/>
          <w:szCs w:val="28"/>
          <w:lang w:val="en-US" w:eastAsia="zh-CN"/>
        </w:rPr>
        <w:t>、奇台农场税务所（奇台农场富强东街30号办税服务区）</w:t>
      </w:r>
      <w:r>
        <w:rPr>
          <w:rFonts w:ascii="仿宋_GB2312" w:hAnsi="仿宋_GB2312" w:eastAsia="仿宋_GB2312" w:cs="仿宋_GB2312"/>
          <w:sz w:val="28"/>
          <w:szCs w:val="28"/>
          <w:lang w:val="en-US" w:eastAsia="en-US"/>
        </w:rPr>
        <w:t>计算机及其他设备</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lang w:val="en-US" w:eastAsia="en-US"/>
        </w:rPr>
        <w:t>套</w:t>
      </w:r>
      <w:r>
        <w:rPr>
          <w:rFonts w:hint="eastAsia" w:ascii="仿宋_GB2312" w:hAnsi="仿宋_GB2312" w:eastAsia="仿宋_GB2312" w:cs="仿宋_GB2312"/>
          <w:sz w:val="28"/>
          <w:szCs w:val="28"/>
          <w:lang w:val="en-US" w:eastAsia="zh-CN"/>
        </w:rPr>
        <w:t>。</w:t>
      </w:r>
    </w:p>
    <w:p w14:paraId="11C9BBE0">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2.咨询辅导：帮助纳税人缴费人了解、熟悉税费办理流程，辅导纳税人缴费人正确填写相关表格和涉税资料，提供相关的政策咨询以及解答一些较为复杂的办税疑难问题等。‌</w:t>
      </w:r>
    </w:p>
    <w:p w14:paraId="778D4BA2">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3.政策宣传：‌向纳税人缴费人进行政策宣传并发放最新税费宣传资料，‌确保纳税人缴费人能够及时了解到最新的税费政策，帮助纳税人缴费人顺利完成相关业务。</w:t>
      </w:r>
    </w:p>
    <w:p w14:paraId="1D5841D6">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4.自助办税辅导：辅导纳税人缴费人在全国统一规范电子税务局网页端、电子税务局APP、自然人电子税务局扣缴端、个人所得税APP、社保缴费小程序、社保费管理客户端等办理相关业务。</w:t>
      </w:r>
    </w:p>
    <w:p w14:paraId="5099840A">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5.问题收集并反馈：收集纳税人缴费人高频咨询辅导的问题并向</w:t>
      </w:r>
      <w:r>
        <w:rPr>
          <w:rFonts w:hint="eastAsia" w:ascii="仿宋_GB2312" w:hAnsi="仿宋_GB2312" w:eastAsia="仿宋_GB2312" w:cs="仿宋_GB2312"/>
          <w:sz w:val="28"/>
          <w:szCs w:val="28"/>
          <w:lang w:val="en-US" w:eastAsia="zh-CN"/>
        </w:rPr>
        <w:t>大厅负责人</w:t>
      </w:r>
      <w:r>
        <w:rPr>
          <w:rFonts w:ascii="仿宋_GB2312" w:hAnsi="仿宋_GB2312" w:eastAsia="仿宋_GB2312" w:cs="仿宋_GB2312"/>
          <w:sz w:val="28"/>
          <w:szCs w:val="28"/>
          <w:lang w:val="en-US" w:eastAsia="en-US"/>
        </w:rPr>
        <w:t>进行反馈。</w:t>
      </w:r>
    </w:p>
    <w:p w14:paraId="1374AE53">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（三）热线咨询服务</w:t>
      </w:r>
    </w:p>
    <w:p w14:paraId="3DCC983E">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主要负责接听12366咨询服务热线，为纳税人缴费人提供税费咨询服务、办税指南服务，远程帮办服务，同时受理纳税服务投诉、涉税违法举报等，具体内容如下：</w:t>
      </w:r>
    </w:p>
    <w:p w14:paraId="5EDFD7EE">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1.税费咨询服务：为纳税人缴费人提供国家税收法律法规、规章及规范性文件等方面的咨询；解答纳税人缴费人关于税务登记、税费申报、税费缴纳、发票管理等问题。</w:t>
      </w:r>
    </w:p>
    <w:p w14:paraId="5AA32266">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2.办税指南服务：为纳税人缴费人办理税务登记、发票领购、申报纳税、社保缴费等业务提供详细的咨询服务，告知纳税人缴费人所需提交资料、办理时间和地点等；指导纳税人缴费人使用全国统一规范电子税务局网页端、电子税务局APP、自然人电子税务局扣缴端、个人所得税APP、社保缴费小程序、社保费管理客户端等办理相关业务，包括如何网上申报、开具数电发票、提交发票额度调整申请等。</w:t>
      </w:r>
    </w:p>
    <w:p w14:paraId="17494903">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en-US"/>
        </w:rPr>
        <w:t>3.远程帮办服务：为纳税人缴费人提供部分基础服务</w:t>
      </w:r>
      <w:r>
        <w:rPr>
          <w:rFonts w:hint="eastAsia" w:ascii="仿宋_GB2312" w:hAnsi="仿宋_GB2312" w:eastAsia="仿宋_GB2312" w:cs="仿宋_GB2312"/>
          <w:sz w:val="28"/>
          <w:szCs w:val="28"/>
          <w:lang w:val="en-US" w:eastAsia="zh-CN"/>
        </w:rPr>
        <w:t>。</w:t>
      </w:r>
    </w:p>
    <w:p w14:paraId="4AEDA7A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4.</w:t>
      </w:r>
      <w:r>
        <w:rPr>
          <w:rFonts w:hint="default" w:ascii="仿宋_GB2312" w:hAnsi="仿宋_GB2312" w:eastAsia="仿宋_GB2312" w:cs="仿宋_GB2312"/>
          <w:sz w:val="28"/>
          <w:szCs w:val="28"/>
          <w:lang w:val="en-US" w:eastAsia="en-US" w:bidi="ar-SA"/>
        </w:rPr>
        <w:t>记录和转办</w:t>
      </w:r>
      <w:r>
        <w:rPr>
          <w:rFonts w:ascii="仿宋_GB2312" w:hAnsi="仿宋_GB2312" w:eastAsia="仿宋_GB2312" w:cs="仿宋_GB2312"/>
          <w:sz w:val="28"/>
          <w:szCs w:val="28"/>
          <w:lang w:val="en-US" w:eastAsia="en-US" w:bidi="ar-SA"/>
        </w:rPr>
        <w:t>投诉</w:t>
      </w:r>
      <w:r>
        <w:rPr>
          <w:rFonts w:hint="default" w:ascii="仿宋_GB2312" w:hAnsi="仿宋_GB2312" w:eastAsia="仿宋_GB2312" w:cs="仿宋_GB2312"/>
          <w:sz w:val="28"/>
          <w:szCs w:val="28"/>
          <w:lang w:val="en-US" w:eastAsia="en-US" w:bidi="ar-SA"/>
        </w:rPr>
        <w:t>和举报</w:t>
      </w:r>
      <w:r>
        <w:rPr>
          <w:rFonts w:ascii="仿宋_GB2312" w:hAnsi="仿宋_GB2312" w:eastAsia="仿宋_GB2312" w:cs="仿宋_GB2312"/>
          <w:sz w:val="28"/>
          <w:szCs w:val="28"/>
          <w:lang w:val="en-US" w:eastAsia="en-US"/>
        </w:rPr>
        <w:t>：</w:t>
      </w:r>
      <w:r>
        <w:rPr>
          <w:rFonts w:hint="eastAsia" w:ascii="仿宋_GB2312" w:hAnsi="仿宋_GB2312" w:eastAsia="仿宋_GB2312" w:cs="仿宋_GB2312"/>
          <w:sz w:val="28"/>
          <w:szCs w:val="28"/>
          <w:lang w:val="en-US" w:eastAsia="zh-CN"/>
        </w:rPr>
        <w:t>记录和转办</w:t>
      </w:r>
      <w:r>
        <w:rPr>
          <w:rFonts w:ascii="仿宋_GB2312" w:hAnsi="仿宋_GB2312" w:eastAsia="仿宋_GB2312" w:cs="仿宋_GB2312"/>
          <w:sz w:val="28"/>
          <w:szCs w:val="28"/>
          <w:lang w:val="en-US" w:eastAsia="en-US"/>
        </w:rPr>
        <w:t>纳税人缴费人对税务机关工作人员在税费服务过程中，为按规定要求提供相关服务的投诉，如：服务态度不好、办税效率低等；</w:t>
      </w:r>
      <w:r>
        <w:rPr>
          <w:rFonts w:hint="eastAsia" w:ascii="仿宋_GB2312" w:hAnsi="仿宋_GB2312" w:eastAsia="仿宋_GB2312" w:cs="仿宋_GB2312"/>
          <w:sz w:val="28"/>
          <w:szCs w:val="28"/>
          <w:lang w:val="en-US" w:eastAsia="zh-CN"/>
        </w:rPr>
        <w:t>记录和转办</w:t>
      </w:r>
      <w:r>
        <w:rPr>
          <w:rFonts w:ascii="仿宋_GB2312" w:hAnsi="仿宋_GB2312" w:eastAsia="仿宋_GB2312" w:cs="仿宋_GB2312"/>
          <w:sz w:val="28"/>
          <w:szCs w:val="28"/>
          <w:lang w:val="en-US" w:eastAsia="en-US"/>
        </w:rPr>
        <w:t>纳税人缴费人对税务机关工作人员在税收工作中的违法违纪行为的举报，如税务干部索贿受贿等。</w:t>
      </w:r>
    </w:p>
    <w:p w14:paraId="5177082F">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5.</w:t>
      </w:r>
      <w:r>
        <w:rPr>
          <w:rFonts w:hint="eastAsia" w:ascii="仿宋_GB2312" w:hAnsi="仿宋_GB2312" w:eastAsia="仿宋_GB2312" w:cs="仿宋_GB2312"/>
          <w:sz w:val="28"/>
          <w:szCs w:val="28"/>
          <w:lang w:val="en-US" w:eastAsia="zh-CN"/>
        </w:rPr>
        <w:t>记录和转办</w:t>
      </w:r>
      <w:r>
        <w:rPr>
          <w:rFonts w:ascii="仿宋_GB2312" w:hAnsi="仿宋_GB2312" w:eastAsia="仿宋_GB2312" w:cs="仿宋_GB2312"/>
          <w:sz w:val="28"/>
          <w:szCs w:val="28"/>
          <w:lang w:val="en-US" w:eastAsia="en-US"/>
        </w:rPr>
        <w:t>涉税违法举报：</w:t>
      </w:r>
      <w:r>
        <w:rPr>
          <w:rFonts w:hint="eastAsia" w:ascii="仿宋_GB2312" w:hAnsi="仿宋_GB2312" w:eastAsia="仿宋_GB2312" w:cs="仿宋_GB2312"/>
          <w:sz w:val="28"/>
          <w:szCs w:val="28"/>
          <w:lang w:val="en-US" w:eastAsia="zh-CN"/>
        </w:rPr>
        <w:t>记录和转办</w:t>
      </w:r>
      <w:r>
        <w:rPr>
          <w:rFonts w:ascii="仿宋_GB2312" w:hAnsi="仿宋_GB2312" w:eastAsia="仿宋_GB2312" w:cs="仿宋_GB2312"/>
          <w:sz w:val="28"/>
          <w:szCs w:val="28"/>
          <w:lang w:val="en-US" w:eastAsia="en-US"/>
        </w:rPr>
        <w:t>对发票的开具、取得、使用等环节存在的违法违规行为进行举报，如应开具而未开具发票，开具虚假发票等。‌</w:t>
      </w:r>
    </w:p>
    <w:p w14:paraId="33A57BB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（四）基础服务</w:t>
      </w:r>
    </w:p>
    <w:p w14:paraId="621A1F96">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协助</w:t>
      </w:r>
      <w:r>
        <w:rPr>
          <w:rFonts w:ascii="仿宋_GB2312" w:hAnsi="仿宋_GB2312" w:eastAsia="仿宋_GB2312" w:cs="仿宋_GB2312"/>
          <w:sz w:val="28"/>
          <w:szCs w:val="28"/>
          <w:lang w:val="en-US" w:eastAsia="en-US"/>
        </w:rPr>
        <w:t>办理税费业务，咨询辅导，政策解答等，具体内容如下：</w:t>
      </w:r>
    </w:p>
    <w:p w14:paraId="1C2CAA3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1</w:t>
      </w:r>
      <w:r>
        <w:rPr>
          <w:rFonts w:hint="eastAsia" w:ascii="仿宋_GB2312" w:hAnsi="仿宋_GB2312" w:eastAsia="仿宋_GB2312" w:cs="仿宋_GB2312"/>
          <w:sz w:val="28"/>
          <w:szCs w:val="28"/>
          <w:lang w:val="en-US" w:eastAsia="zh-CN"/>
        </w:rPr>
        <w:t>.协助</w:t>
      </w:r>
      <w:r>
        <w:rPr>
          <w:rFonts w:ascii="仿宋_GB2312" w:hAnsi="仿宋_GB2312" w:eastAsia="仿宋_GB2312" w:cs="仿宋_GB2312"/>
          <w:sz w:val="28"/>
          <w:szCs w:val="28"/>
          <w:lang w:val="en-US" w:eastAsia="en-US"/>
        </w:rPr>
        <w:t>办理税费业务：</w:t>
      </w:r>
      <w:r>
        <w:rPr>
          <w:rFonts w:hint="eastAsia" w:ascii="仿宋_GB2312" w:hAnsi="仿宋_GB2312" w:eastAsia="仿宋_GB2312" w:cs="仿宋_GB2312"/>
          <w:sz w:val="28"/>
          <w:szCs w:val="28"/>
          <w:lang w:val="en-US" w:eastAsia="zh-CN"/>
        </w:rPr>
        <w:t>协助</w:t>
      </w:r>
      <w:r>
        <w:rPr>
          <w:rFonts w:ascii="仿宋_GB2312" w:hAnsi="仿宋_GB2312" w:eastAsia="仿宋_GB2312" w:cs="仿宋_GB2312"/>
          <w:sz w:val="28"/>
          <w:szCs w:val="28"/>
          <w:lang w:val="en-US" w:eastAsia="en-US"/>
        </w:rPr>
        <w:t>‌办理实名信息采集、纳税人（扣缴义务人）身份信息备案、税务登记信息补录、存款账户账号备案、签订税三方（委托）划缴协议、跨区域涉税事项报验登记、跨区税源登记等业务。</w:t>
      </w:r>
    </w:p>
    <w:p w14:paraId="78433583">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2.资料整理：按日收集整理职责范围内相关纸质资料、及时向相关部门传递并按规定时限装订。</w:t>
      </w:r>
    </w:p>
    <w:p w14:paraId="5E4003A2">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3.其他：帮助纳税人缴费人了解、熟悉税费办理流程，解答纳税人缴费人税费咨询，税费政策宣传等。</w:t>
      </w:r>
    </w:p>
    <w:p w14:paraId="30FA385B">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w:t>
      </w:r>
      <w:r>
        <w:rPr>
          <w:rFonts w:hint="eastAsia" w:ascii="仿宋_GB2312" w:hAnsi="仿宋_GB2312" w:eastAsia="仿宋_GB2312" w:cs="仿宋_GB2312"/>
          <w:sz w:val="28"/>
          <w:szCs w:val="28"/>
          <w:lang w:val="en-US" w:eastAsia="zh-CN"/>
        </w:rPr>
        <w:t>五</w:t>
      </w:r>
      <w:r>
        <w:rPr>
          <w:rFonts w:ascii="仿宋_GB2312" w:hAnsi="仿宋_GB2312" w:eastAsia="仿宋_GB2312" w:cs="仿宋_GB2312"/>
          <w:sz w:val="28"/>
          <w:szCs w:val="28"/>
          <w:lang w:val="en-US" w:eastAsia="en-US"/>
        </w:rPr>
        <w:t>）</w:t>
      </w:r>
      <w:r>
        <w:rPr>
          <w:rFonts w:hint="eastAsia" w:ascii="仿宋_GB2312" w:hAnsi="仿宋_GB2312" w:eastAsia="仿宋_GB2312" w:cs="仿宋_GB2312"/>
          <w:sz w:val="28"/>
          <w:szCs w:val="28"/>
          <w:lang w:val="en-US" w:eastAsia="zh-CN"/>
        </w:rPr>
        <w:t>社保</w:t>
      </w:r>
      <w:r>
        <w:rPr>
          <w:rFonts w:ascii="仿宋_GB2312" w:hAnsi="仿宋_GB2312" w:eastAsia="仿宋_GB2312" w:cs="仿宋_GB2312"/>
          <w:sz w:val="28"/>
          <w:szCs w:val="28"/>
          <w:lang w:val="en-US" w:eastAsia="en-US"/>
        </w:rPr>
        <w:t>服务</w:t>
      </w:r>
    </w:p>
    <w:p w14:paraId="0939AEB4">
      <w:pPr>
        <w:keepNext w:val="0"/>
        <w:keepLines w:val="0"/>
        <w:pageBreakBefore w:val="0"/>
        <w:widowControl/>
        <w:kinsoku/>
        <w:wordWrap/>
        <w:overflowPunct/>
        <w:topLinePunct w:val="0"/>
        <w:autoSpaceDE/>
        <w:autoSpaceDN/>
        <w:bidi w:val="0"/>
        <w:adjustRightInd/>
        <w:snapToGrid/>
        <w:spacing w:beforeLines="0" w:afterLines="0" w:line="560" w:lineRule="exact"/>
        <w:ind w:left="200" w:firstLine="560" w:firstLineChars="200"/>
        <w:jc w:val="left"/>
        <w:textAlignment w:val="auto"/>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zh-CN" w:bidi="ar-SA"/>
        </w:rPr>
        <w:t>线上线下</w:t>
      </w:r>
      <w:r>
        <w:rPr>
          <w:rFonts w:hint="eastAsia" w:ascii="仿宋_GB2312" w:hAnsi="仿宋_GB2312" w:eastAsia="仿宋_GB2312" w:cs="仿宋_GB2312"/>
          <w:sz w:val="28"/>
          <w:szCs w:val="28"/>
          <w:lang w:val="en-US" w:eastAsia="en-US" w:bidi="ar-SA"/>
        </w:rPr>
        <w:t>接收并处理缴费人提出的征缴数据不清、数据有误等情况，查找缴费人提出的客户端申报有误、操作出错等问题原因并提出解决办法。</w:t>
      </w:r>
      <w:r>
        <w:rPr>
          <w:rFonts w:hint="eastAsia" w:ascii="仿宋_GB2312" w:hAnsi="仿宋_GB2312" w:eastAsia="仿宋_GB2312" w:cs="仿宋_GB2312"/>
          <w:sz w:val="28"/>
          <w:szCs w:val="28"/>
          <w:lang w:val="zh-CN" w:eastAsia="en-US" w:bidi="ar-SA"/>
        </w:rPr>
        <w:t>根据缴费人提出的申请，处理密码重置、删除预处理信息等业务。</w:t>
      </w:r>
    </w:p>
    <w:p w14:paraId="7D77448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w:t>
      </w:r>
      <w:r>
        <w:rPr>
          <w:rFonts w:hint="eastAsia" w:ascii="仿宋_GB2312" w:hAnsi="仿宋_GB2312" w:eastAsia="仿宋_GB2312" w:cs="仿宋_GB2312"/>
          <w:sz w:val="28"/>
          <w:szCs w:val="28"/>
          <w:lang w:val="en-US" w:eastAsia="zh-CN"/>
        </w:rPr>
        <w:t>六</w:t>
      </w:r>
      <w:r>
        <w:rPr>
          <w:rFonts w:ascii="仿宋_GB2312" w:hAnsi="仿宋_GB2312" w:eastAsia="仿宋_GB2312" w:cs="仿宋_GB2312"/>
          <w:sz w:val="28"/>
          <w:szCs w:val="28"/>
          <w:lang w:val="en-US" w:eastAsia="en-US"/>
        </w:rPr>
        <w:t>）采购人需要的临时调配等其他相关服务</w:t>
      </w:r>
    </w:p>
    <w:p w14:paraId="26FCD96C">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主要包括对纳税人生产经营情况产生重大影响的特殊税务事项、税收政策和业务变化情况，以及纳税人权利和义务向纳税人进行提示提醒，或对有遵从意愿但有遵从困难的特定纳税人就其履行纳税义务的时间和要求进行提示提醒等，具体内容如下：</w:t>
      </w:r>
    </w:p>
    <w:p w14:paraId="37F2D4B1">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1.提醒服务：包括新办户注意事项提醒、特殊税务事项提醒、涉税业务办理提醒、纳税人权利与义务提醒、税收政策信息提醒；在纳税申报期内，在申报期结束前通过电话、短信等多种方式对未申报纳税人进行提醒等。</w:t>
      </w:r>
    </w:p>
    <w:p w14:paraId="40B1974B">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ascii="仿宋_GB2312" w:hAnsi="仿宋_GB2312" w:eastAsia="仿宋_GB2312" w:cs="仿宋_GB2312"/>
          <w:sz w:val="28"/>
          <w:szCs w:val="28"/>
          <w:lang w:val="en-US" w:eastAsia="en-US"/>
        </w:rPr>
        <w:t>2.临时调配的其他相关服务在原有服务人员能完成的情况下可不另外提供人员。</w:t>
      </w:r>
    </w:p>
    <w:p w14:paraId="7E32E6B5">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宋体" w:hAnsi="宋体" w:eastAsia="宋体" w:cs="宋体"/>
          <w:color w:val="auto"/>
          <w:sz w:val="32"/>
          <w:szCs w:val="32"/>
          <w:lang w:val="en-US" w:eastAsia="zh-CN"/>
        </w:rPr>
      </w:pPr>
      <w:r>
        <w:rPr>
          <w:rFonts w:ascii="仿宋_GB2312" w:hAnsi="仿宋_GB2312" w:eastAsia="仿宋_GB2312" w:cs="仿宋_GB2312"/>
          <w:sz w:val="28"/>
          <w:szCs w:val="28"/>
          <w:lang w:val="en-US" w:eastAsia="en-US"/>
        </w:rPr>
        <w:t>3.其他。</w:t>
      </w:r>
      <w:bookmarkStart w:id="18" w:name="_Toc2866"/>
    </w:p>
    <w:p w14:paraId="4091FE7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工作量参考表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2196"/>
        <w:gridCol w:w="1650"/>
        <w:gridCol w:w="1268"/>
      </w:tblGrid>
      <w:tr w14:paraId="3184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7C7F762">
            <w:pPr>
              <w:pStyle w:val="2"/>
              <w:keepNext w:val="0"/>
              <w:keepLines w:val="0"/>
              <w:pageBreakBefore w:val="0"/>
              <w:widowControl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b/>
                <w:bCs/>
                <w:color w:val="auto"/>
                <w:sz w:val="21"/>
                <w:szCs w:val="21"/>
                <w:highlight w:val="none"/>
                <w:lang w:val="en-US" w:eastAsia="zh-CN" w:bidi="ar"/>
              </w:rPr>
            </w:pPr>
          </w:p>
          <w:p w14:paraId="4D91A2D0">
            <w:pPr>
              <w:pStyle w:val="2"/>
              <w:keepNext w:val="0"/>
              <w:keepLines w:val="0"/>
              <w:pageBreakBefore w:val="0"/>
              <w:widowControl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lang w:val="en-US" w:eastAsia="zh-CN" w:bidi="ar"/>
              </w:rPr>
              <w:t>序号</w:t>
            </w:r>
          </w:p>
        </w:tc>
        <w:tc>
          <w:tcPr>
            <w:tcW w:w="1704" w:type="dxa"/>
            <w:noWrap w:val="0"/>
            <w:vAlign w:val="center"/>
          </w:tcPr>
          <w:p w14:paraId="38A33B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2"/>
                <w:sz w:val="21"/>
                <w:szCs w:val="21"/>
                <w:highlight w:val="none"/>
                <w:lang w:val="en-US" w:eastAsia="zh-CN" w:bidi="ar"/>
              </w:rPr>
            </w:pPr>
            <w:r>
              <w:rPr>
                <w:rFonts w:hint="eastAsia" w:ascii="仿宋_GB2312" w:hAnsi="仿宋_GB2312" w:eastAsia="仿宋_GB2312" w:cs="仿宋_GB2312"/>
                <w:b/>
                <w:bCs/>
                <w:color w:val="auto"/>
                <w:sz w:val="21"/>
                <w:szCs w:val="21"/>
                <w:highlight w:val="none"/>
                <w:lang w:val="en-US" w:eastAsia="zh-CN" w:bidi="ar"/>
              </w:rPr>
              <w:t>服务内容</w:t>
            </w:r>
          </w:p>
        </w:tc>
        <w:tc>
          <w:tcPr>
            <w:tcW w:w="2196" w:type="dxa"/>
            <w:noWrap w:val="0"/>
            <w:vAlign w:val="center"/>
          </w:tcPr>
          <w:p w14:paraId="1A8293B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2"/>
                <w:sz w:val="21"/>
                <w:szCs w:val="21"/>
                <w:highlight w:val="none"/>
                <w:lang w:val="en-US" w:eastAsia="zh-CN" w:bidi="ar"/>
              </w:rPr>
            </w:pPr>
            <w:r>
              <w:rPr>
                <w:rFonts w:hint="eastAsia" w:ascii="仿宋_GB2312" w:hAnsi="仿宋_GB2312" w:eastAsia="仿宋_GB2312" w:cs="仿宋_GB2312"/>
                <w:b/>
                <w:bCs/>
                <w:color w:val="auto"/>
                <w:sz w:val="21"/>
                <w:szCs w:val="21"/>
                <w:highlight w:val="none"/>
                <w:lang w:val="en-US" w:eastAsia="zh-CN" w:bidi="ar"/>
              </w:rPr>
              <w:t>办公地点</w:t>
            </w:r>
          </w:p>
        </w:tc>
        <w:tc>
          <w:tcPr>
            <w:tcW w:w="1650" w:type="dxa"/>
            <w:noWrap w:val="0"/>
            <w:vAlign w:val="center"/>
          </w:tcPr>
          <w:p w14:paraId="11145D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2"/>
                <w:sz w:val="21"/>
                <w:szCs w:val="21"/>
                <w:highlight w:val="none"/>
                <w:lang w:val="en-US" w:eastAsia="zh-CN" w:bidi="ar"/>
              </w:rPr>
            </w:pPr>
            <w:r>
              <w:rPr>
                <w:rFonts w:hint="eastAsia" w:ascii="仿宋_GB2312" w:hAnsi="仿宋_GB2312" w:eastAsia="仿宋_GB2312" w:cs="仿宋_GB2312"/>
                <w:b/>
                <w:bCs/>
                <w:color w:val="auto"/>
                <w:sz w:val="21"/>
                <w:szCs w:val="21"/>
                <w:highlight w:val="none"/>
                <w:lang w:val="en-US" w:eastAsia="zh-CN" w:bidi="ar"/>
              </w:rPr>
              <w:t>日均总辅导人数（人次）</w:t>
            </w:r>
          </w:p>
        </w:tc>
        <w:tc>
          <w:tcPr>
            <w:tcW w:w="1268" w:type="dxa"/>
            <w:noWrap w:val="0"/>
            <w:vAlign w:val="center"/>
          </w:tcPr>
          <w:p w14:paraId="6CFD4C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color w:val="auto"/>
                <w:kern w:val="2"/>
                <w:sz w:val="21"/>
                <w:szCs w:val="21"/>
                <w:highlight w:val="none"/>
                <w:lang w:val="en-US" w:eastAsia="zh-CN" w:bidi="ar"/>
              </w:rPr>
            </w:pPr>
            <w:r>
              <w:rPr>
                <w:rFonts w:hint="eastAsia" w:ascii="仿宋_GB2312" w:hAnsi="仿宋_GB2312" w:eastAsia="仿宋_GB2312" w:cs="仿宋_GB2312"/>
                <w:b/>
                <w:bCs/>
                <w:color w:val="auto"/>
                <w:sz w:val="21"/>
                <w:szCs w:val="21"/>
                <w:highlight w:val="none"/>
                <w:lang w:val="en-US" w:eastAsia="zh-CN" w:bidi="ar"/>
              </w:rPr>
              <w:t>人日均服务量（人）</w:t>
            </w:r>
          </w:p>
        </w:tc>
      </w:tr>
      <w:tr w14:paraId="1174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14:paraId="66516E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1704" w:type="dxa"/>
            <w:vMerge w:val="restart"/>
            <w:noWrap w:val="0"/>
            <w:vAlign w:val="center"/>
          </w:tcPr>
          <w:p w14:paraId="1532F1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SA"/>
              </w:rPr>
              <w:t>导税服务</w:t>
            </w:r>
          </w:p>
        </w:tc>
        <w:tc>
          <w:tcPr>
            <w:tcW w:w="2196" w:type="dxa"/>
            <w:noWrap w:val="0"/>
            <w:vAlign w:val="center"/>
          </w:tcPr>
          <w:p w14:paraId="4D386B2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新疆五家渠市猛进北路行政服务中心办税服务区</w:t>
            </w:r>
          </w:p>
        </w:tc>
        <w:tc>
          <w:tcPr>
            <w:tcW w:w="1650" w:type="dxa"/>
            <w:noWrap w:val="0"/>
            <w:vAlign w:val="center"/>
          </w:tcPr>
          <w:p w14:paraId="72B82AD5">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145</w:t>
            </w:r>
          </w:p>
        </w:tc>
        <w:tc>
          <w:tcPr>
            <w:tcW w:w="1268" w:type="dxa"/>
            <w:vMerge w:val="restart"/>
            <w:noWrap w:val="0"/>
            <w:vAlign w:val="center"/>
          </w:tcPr>
          <w:p w14:paraId="417FC3D0">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67</w:t>
            </w:r>
          </w:p>
        </w:tc>
      </w:tr>
      <w:tr w14:paraId="6AE5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264E83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1704" w:type="dxa"/>
            <w:vMerge w:val="continue"/>
            <w:noWrap w:val="0"/>
            <w:vAlign w:val="center"/>
          </w:tcPr>
          <w:p w14:paraId="2B7E91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2196" w:type="dxa"/>
            <w:noWrap w:val="0"/>
            <w:vAlign w:val="center"/>
          </w:tcPr>
          <w:p w14:paraId="77E651C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新疆五家渠军垦南路304号办税服务区</w:t>
            </w:r>
          </w:p>
        </w:tc>
        <w:tc>
          <w:tcPr>
            <w:tcW w:w="1650" w:type="dxa"/>
            <w:noWrap w:val="0"/>
            <w:vAlign w:val="center"/>
          </w:tcPr>
          <w:p w14:paraId="7DEBF4C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65</w:t>
            </w:r>
          </w:p>
        </w:tc>
        <w:tc>
          <w:tcPr>
            <w:tcW w:w="1268" w:type="dxa"/>
            <w:vMerge w:val="continue"/>
            <w:noWrap w:val="0"/>
            <w:vAlign w:val="center"/>
          </w:tcPr>
          <w:p w14:paraId="39B580FC">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r>
      <w:tr w14:paraId="08F7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46796D7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39205674">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697ED0E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芳草湖农场430号办税服务区</w:t>
            </w:r>
          </w:p>
        </w:tc>
        <w:tc>
          <w:tcPr>
            <w:tcW w:w="1650" w:type="dxa"/>
            <w:noWrap w:val="0"/>
            <w:vAlign w:val="center"/>
          </w:tcPr>
          <w:p w14:paraId="7C212E7D">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30</w:t>
            </w:r>
          </w:p>
        </w:tc>
        <w:tc>
          <w:tcPr>
            <w:tcW w:w="1268" w:type="dxa"/>
            <w:vMerge w:val="continue"/>
            <w:noWrap w:val="0"/>
            <w:vAlign w:val="center"/>
          </w:tcPr>
          <w:p w14:paraId="058560EA">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r>
      <w:tr w14:paraId="1B09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4A1E631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354DC116">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13F9E090">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奇台农场富强东街30号办税服务区</w:t>
            </w:r>
          </w:p>
        </w:tc>
        <w:tc>
          <w:tcPr>
            <w:tcW w:w="1650" w:type="dxa"/>
            <w:noWrap w:val="0"/>
            <w:vAlign w:val="center"/>
          </w:tcPr>
          <w:p w14:paraId="4807F04E">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25</w:t>
            </w:r>
          </w:p>
        </w:tc>
        <w:tc>
          <w:tcPr>
            <w:tcW w:w="1268" w:type="dxa"/>
            <w:vMerge w:val="continue"/>
            <w:noWrap w:val="0"/>
            <w:vAlign w:val="center"/>
          </w:tcPr>
          <w:p w14:paraId="0C68A63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r>
      <w:tr w14:paraId="0606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14:paraId="57D5FA5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1704" w:type="dxa"/>
            <w:vMerge w:val="restart"/>
            <w:noWrap w:val="0"/>
            <w:vAlign w:val="center"/>
          </w:tcPr>
          <w:p w14:paraId="7031FD80">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lang w:val="en-US" w:eastAsia="zh-CN" w:bidi="ar-SA"/>
              </w:rPr>
              <w:t>税费咨询辅导服务</w:t>
            </w:r>
          </w:p>
        </w:tc>
        <w:tc>
          <w:tcPr>
            <w:tcW w:w="2196" w:type="dxa"/>
            <w:noWrap w:val="0"/>
            <w:vAlign w:val="center"/>
          </w:tcPr>
          <w:p w14:paraId="5E978C7C">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新疆五家渠市猛进北路行政服务中心办税服务区</w:t>
            </w:r>
          </w:p>
        </w:tc>
        <w:tc>
          <w:tcPr>
            <w:tcW w:w="1650" w:type="dxa"/>
            <w:noWrap w:val="0"/>
            <w:vAlign w:val="center"/>
          </w:tcPr>
          <w:p w14:paraId="3C3685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65</w:t>
            </w:r>
          </w:p>
        </w:tc>
        <w:tc>
          <w:tcPr>
            <w:tcW w:w="1268" w:type="dxa"/>
            <w:vMerge w:val="restart"/>
            <w:noWrap w:val="0"/>
            <w:vAlign w:val="center"/>
          </w:tcPr>
          <w:p w14:paraId="56CED7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54</w:t>
            </w:r>
          </w:p>
        </w:tc>
      </w:tr>
      <w:tr w14:paraId="5C97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15960A5D">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54EF025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032F1655">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新疆五家渠军垦南路304号办税服务区</w:t>
            </w:r>
          </w:p>
        </w:tc>
        <w:tc>
          <w:tcPr>
            <w:tcW w:w="1650" w:type="dxa"/>
            <w:noWrap w:val="0"/>
            <w:vAlign w:val="center"/>
          </w:tcPr>
          <w:p w14:paraId="6EA5EC90">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100</w:t>
            </w:r>
          </w:p>
        </w:tc>
        <w:tc>
          <w:tcPr>
            <w:tcW w:w="1268" w:type="dxa"/>
            <w:vMerge w:val="continue"/>
            <w:noWrap w:val="0"/>
            <w:vAlign w:val="center"/>
          </w:tcPr>
          <w:p w14:paraId="65707B84">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p>
        </w:tc>
      </w:tr>
      <w:tr w14:paraId="44F6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401E5E44">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0850DF13">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05DC0F78">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芳草湖农场430号办税服务区</w:t>
            </w:r>
          </w:p>
        </w:tc>
        <w:tc>
          <w:tcPr>
            <w:tcW w:w="1650" w:type="dxa"/>
            <w:noWrap w:val="0"/>
            <w:vAlign w:val="center"/>
          </w:tcPr>
          <w:p w14:paraId="1AA7D956">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30</w:t>
            </w:r>
          </w:p>
        </w:tc>
        <w:tc>
          <w:tcPr>
            <w:tcW w:w="1268" w:type="dxa"/>
            <w:vMerge w:val="continue"/>
            <w:noWrap w:val="0"/>
            <w:vAlign w:val="center"/>
          </w:tcPr>
          <w:p w14:paraId="2D6FA3E9">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p>
        </w:tc>
      </w:tr>
      <w:tr w14:paraId="791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5383CB54">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6743142C">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30078440">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lang w:val="en-US" w:eastAsia="zh-CN" w:bidi="ar-SA"/>
              </w:rPr>
              <w:t>奇台农场富强东街30号办税服务区</w:t>
            </w:r>
          </w:p>
        </w:tc>
        <w:tc>
          <w:tcPr>
            <w:tcW w:w="1650" w:type="dxa"/>
            <w:noWrap w:val="0"/>
            <w:vAlign w:val="center"/>
          </w:tcPr>
          <w:p w14:paraId="21C882B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20</w:t>
            </w:r>
          </w:p>
        </w:tc>
        <w:tc>
          <w:tcPr>
            <w:tcW w:w="1268" w:type="dxa"/>
            <w:vMerge w:val="continue"/>
            <w:noWrap w:val="0"/>
            <w:vAlign w:val="center"/>
          </w:tcPr>
          <w:p w14:paraId="7081303E">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p>
        </w:tc>
      </w:tr>
      <w:tr w14:paraId="2F7C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704" w:type="dxa"/>
            <w:vMerge w:val="restart"/>
            <w:noWrap w:val="0"/>
            <w:vAlign w:val="center"/>
          </w:tcPr>
          <w:p w14:paraId="256F8492">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w:t>
            </w:r>
          </w:p>
        </w:tc>
        <w:tc>
          <w:tcPr>
            <w:tcW w:w="1704" w:type="dxa"/>
            <w:vMerge w:val="restart"/>
            <w:noWrap w:val="0"/>
            <w:vAlign w:val="center"/>
          </w:tcPr>
          <w:p w14:paraId="7D745874">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热线咨询服务</w:t>
            </w:r>
          </w:p>
        </w:tc>
        <w:tc>
          <w:tcPr>
            <w:tcW w:w="2196" w:type="dxa"/>
            <w:noWrap w:val="0"/>
            <w:vAlign w:val="center"/>
          </w:tcPr>
          <w:p w14:paraId="116BCFB6">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新疆五家渠市猛进北路行政服务中心办税服务区</w:t>
            </w:r>
          </w:p>
        </w:tc>
        <w:tc>
          <w:tcPr>
            <w:tcW w:w="1650" w:type="dxa"/>
            <w:noWrap w:val="0"/>
            <w:vAlign w:val="center"/>
          </w:tcPr>
          <w:p w14:paraId="7FD5D5C8">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105</w:t>
            </w:r>
          </w:p>
        </w:tc>
        <w:tc>
          <w:tcPr>
            <w:tcW w:w="1268" w:type="dxa"/>
            <w:vMerge w:val="restart"/>
            <w:noWrap w:val="0"/>
            <w:vAlign w:val="center"/>
          </w:tcPr>
          <w:p w14:paraId="1FC0E05D">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70</w:t>
            </w:r>
          </w:p>
        </w:tc>
      </w:tr>
      <w:tr w14:paraId="2D00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090D35B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41DF8343">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27A35B92">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新疆五家渠军垦南路304号办税服务区</w:t>
            </w:r>
          </w:p>
        </w:tc>
        <w:tc>
          <w:tcPr>
            <w:tcW w:w="1650" w:type="dxa"/>
            <w:noWrap w:val="0"/>
            <w:vAlign w:val="center"/>
          </w:tcPr>
          <w:p w14:paraId="1819AF6A">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300</w:t>
            </w:r>
          </w:p>
        </w:tc>
        <w:tc>
          <w:tcPr>
            <w:tcW w:w="1268" w:type="dxa"/>
            <w:vMerge w:val="continue"/>
            <w:noWrap w:val="0"/>
            <w:vAlign w:val="center"/>
          </w:tcPr>
          <w:p w14:paraId="16E0C1A7">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p>
        </w:tc>
      </w:tr>
      <w:tr w14:paraId="5C8F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564D181D">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44E7BED2">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211C0317">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芳草湖农场430号办税服务区</w:t>
            </w:r>
          </w:p>
        </w:tc>
        <w:tc>
          <w:tcPr>
            <w:tcW w:w="1650" w:type="dxa"/>
            <w:noWrap w:val="0"/>
            <w:vAlign w:val="center"/>
          </w:tcPr>
          <w:p w14:paraId="4F2EA14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80</w:t>
            </w:r>
          </w:p>
        </w:tc>
        <w:tc>
          <w:tcPr>
            <w:tcW w:w="1268" w:type="dxa"/>
            <w:vMerge w:val="continue"/>
            <w:noWrap w:val="0"/>
            <w:vAlign w:val="center"/>
          </w:tcPr>
          <w:p w14:paraId="040DE327">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p>
        </w:tc>
      </w:tr>
      <w:tr w14:paraId="7E08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7D4D4022">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5A799B55">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62B90664">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奇台农场富强东街30号办税服务区</w:t>
            </w:r>
          </w:p>
        </w:tc>
        <w:tc>
          <w:tcPr>
            <w:tcW w:w="1650" w:type="dxa"/>
            <w:noWrap w:val="0"/>
            <w:vAlign w:val="center"/>
          </w:tcPr>
          <w:p w14:paraId="72B378EB">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75</w:t>
            </w:r>
          </w:p>
        </w:tc>
        <w:tc>
          <w:tcPr>
            <w:tcW w:w="1268" w:type="dxa"/>
            <w:vMerge w:val="continue"/>
            <w:noWrap w:val="0"/>
            <w:vAlign w:val="center"/>
          </w:tcPr>
          <w:p w14:paraId="7F3604B8">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p>
        </w:tc>
      </w:tr>
      <w:tr w14:paraId="4F49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14:paraId="77FE6813">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w:t>
            </w:r>
          </w:p>
        </w:tc>
        <w:tc>
          <w:tcPr>
            <w:tcW w:w="1704" w:type="dxa"/>
            <w:vMerge w:val="restart"/>
            <w:noWrap w:val="0"/>
            <w:vAlign w:val="center"/>
          </w:tcPr>
          <w:p w14:paraId="40738C38">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基础服务</w:t>
            </w:r>
          </w:p>
        </w:tc>
        <w:tc>
          <w:tcPr>
            <w:tcW w:w="2196" w:type="dxa"/>
            <w:noWrap w:val="0"/>
            <w:vAlign w:val="center"/>
          </w:tcPr>
          <w:p w14:paraId="7F303567">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新疆五家渠市猛进北路行政服务中心办税服务区</w:t>
            </w:r>
          </w:p>
        </w:tc>
        <w:tc>
          <w:tcPr>
            <w:tcW w:w="1650" w:type="dxa"/>
            <w:noWrap w:val="0"/>
            <w:vAlign w:val="center"/>
          </w:tcPr>
          <w:p w14:paraId="2853860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120</w:t>
            </w:r>
          </w:p>
        </w:tc>
        <w:tc>
          <w:tcPr>
            <w:tcW w:w="1268" w:type="dxa"/>
            <w:vMerge w:val="restart"/>
            <w:noWrap w:val="0"/>
            <w:vAlign w:val="center"/>
          </w:tcPr>
          <w:p w14:paraId="5D63F3E5">
            <w:pPr>
              <w:pStyle w:val="2"/>
              <w:keepNext w:val="0"/>
              <w:keepLines w:val="0"/>
              <w:pageBreakBefore w:val="0"/>
              <w:widowControl w:val="0"/>
              <w:tabs>
                <w:tab w:val="left" w:pos="492"/>
              </w:tabs>
              <w:kinsoku/>
              <w:wordWrap/>
              <w:overflowPunct/>
              <w:topLinePunct w:val="0"/>
              <w:autoSpaceDE/>
              <w:autoSpaceDN/>
              <w:bidi w:val="0"/>
              <w:adjustRightInd/>
              <w:snapToGrid/>
              <w:spacing w:line="240" w:lineRule="auto"/>
              <w:ind w:left="0" w:leftChars="0"/>
              <w:jc w:val="left"/>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ab/>
            </w:r>
            <w:r>
              <w:rPr>
                <w:rFonts w:hint="eastAsia" w:ascii="仿宋_GB2312" w:hAnsi="仿宋_GB2312" w:eastAsia="仿宋_GB2312" w:cs="仿宋_GB2312"/>
                <w:color w:val="auto"/>
                <w:kern w:val="2"/>
                <w:sz w:val="21"/>
                <w:szCs w:val="21"/>
                <w:highlight w:val="none"/>
                <w:vertAlign w:val="baseline"/>
                <w:lang w:val="en-US" w:eastAsia="zh-CN" w:bidi="ar-SA"/>
              </w:rPr>
              <w:t>29</w:t>
            </w:r>
          </w:p>
        </w:tc>
      </w:tr>
      <w:tr w14:paraId="0D73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42CDC9D4">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2E5A976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60C96A8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新疆五家渠军垦南路304号办税服务区</w:t>
            </w:r>
          </w:p>
        </w:tc>
        <w:tc>
          <w:tcPr>
            <w:tcW w:w="1650" w:type="dxa"/>
            <w:noWrap w:val="0"/>
            <w:vAlign w:val="center"/>
          </w:tcPr>
          <w:p w14:paraId="60FE1A86">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92</w:t>
            </w:r>
          </w:p>
        </w:tc>
        <w:tc>
          <w:tcPr>
            <w:tcW w:w="1268" w:type="dxa"/>
            <w:vMerge w:val="continue"/>
            <w:noWrap w:val="0"/>
            <w:vAlign w:val="center"/>
          </w:tcPr>
          <w:p w14:paraId="6A81AC18">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p>
        </w:tc>
      </w:tr>
      <w:tr w14:paraId="1858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0B8F33D6">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0E65DA73">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7A007760">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lang w:val="en-US" w:eastAsia="zh-CN" w:bidi="ar-SA"/>
              </w:rPr>
              <w:t>芳草湖农场430号办税服务区</w:t>
            </w:r>
          </w:p>
        </w:tc>
        <w:tc>
          <w:tcPr>
            <w:tcW w:w="1650" w:type="dxa"/>
            <w:noWrap w:val="0"/>
            <w:vAlign w:val="center"/>
          </w:tcPr>
          <w:p w14:paraId="2F1A09BA">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70</w:t>
            </w:r>
          </w:p>
        </w:tc>
        <w:tc>
          <w:tcPr>
            <w:tcW w:w="1268" w:type="dxa"/>
            <w:vMerge w:val="continue"/>
            <w:noWrap w:val="0"/>
            <w:vAlign w:val="center"/>
          </w:tcPr>
          <w:p w14:paraId="61364EEC">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p>
        </w:tc>
      </w:tr>
      <w:tr w14:paraId="1578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69AF5616">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53BCFB2B">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15E63262">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lang w:val="en-US" w:eastAsia="zh-CN" w:bidi="ar-SA"/>
              </w:rPr>
              <w:t>奇台农场富强东街30号办税服务区</w:t>
            </w:r>
          </w:p>
        </w:tc>
        <w:tc>
          <w:tcPr>
            <w:tcW w:w="1650" w:type="dxa"/>
            <w:noWrap w:val="0"/>
            <w:vAlign w:val="center"/>
          </w:tcPr>
          <w:p w14:paraId="73A26F11">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60</w:t>
            </w:r>
          </w:p>
        </w:tc>
        <w:tc>
          <w:tcPr>
            <w:tcW w:w="1268" w:type="dxa"/>
            <w:vMerge w:val="continue"/>
            <w:noWrap w:val="0"/>
            <w:vAlign w:val="center"/>
          </w:tcPr>
          <w:p w14:paraId="4A4DF093">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p>
        </w:tc>
      </w:tr>
      <w:tr w14:paraId="42B2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40C4948E">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5</w:t>
            </w:r>
          </w:p>
        </w:tc>
        <w:tc>
          <w:tcPr>
            <w:tcW w:w="1704" w:type="dxa"/>
            <w:noWrap w:val="0"/>
            <w:vAlign w:val="center"/>
          </w:tcPr>
          <w:p w14:paraId="5C5CAF4D">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社保服务</w:t>
            </w:r>
          </w:p>
        </w:tc>
        <w:tc>
          <w:tcPr>
            <w:tcW w:w="2196" w:type="dxa"/>
            <w:noWrap w:val="0"/>
            <w:vAlign w:val="center"/>
          </w:tcPr>
          <w:p w14:paraId="0C96420B">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新疆五家渠军垦南路304号办税服务区</w:t>
            </w:r>
          </w:p>
        </w:tc>
        <w:tc>
          <w:tcPr>
            <w:tcW w:w="1650" w:type="dxa"/>
            <w:noWrap w:val="0"/>
            <w:vAlign w:val="center"/>
          </w:tcPr>
          <w:p w14:paraId="35C99CCD">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130</w:t>
            </w:r>
          </w:p>
        </w:tc>
        <w:tc>
          <w:tcPr>
            <w:tcW w:w="1268" w:type="dxa"/>
            <w:noWrap w:val="0"/>
            <w:vAlign w:val="center"/>
          </w:tcPr>
          <w:p w14:paraId="7AE1D90A">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45</w:t>
            </w:r>
          </w:p>
        </w:tc>
      </w:tr>
      <w:tr w14:paraId="4FE3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noWrap w:val="0"/>
            <w:vAlign w:val="center"/>
          </w:tcPr>
          <w:p w14:paraId="4C24B354">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6</w:t>
            </w:r>
          </w:p>
        </w:tc>
        <w:tc>
          <w:tcPr>
            <w:tcW w:w="1704" w:type="dxa"/>
            <w:vMerge w:val="restart"/>
            <w:noWrap w:val="0"/>
            <w:vAlign w:val="center"/>
          </w:tcPr>
          <w:p w14:paraId="6CD871C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采购人需要的临时调配等其他相关服务</w:t>
            </w:r>
          </w:p>
        </w:tc>
        <w:tc>
          <w:tcPr>
            <w:tcW w:w="2196" w:type="dxa"/>
            <w:noWrap w:val="0"/>
            <w:vAlign w:val="center"/>
          </w:tcPr>
          <w:p w14:paraId="755FA781">
            <w:pPr>
              <w:keepNext w:val="0"/>
              <w:keepLines w:val="0"/>
              <w:pageBreakBefore w:val="0"/>
              <w:widowControl/>
              <w:tabs>
                <w:tab w:val="center" w:pos="1113"/>
                <w:tab w:val="right" w:pos="2108"/>
              </w:tabs>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服务</w:t>
            </w:r>
            <w:r>
              <w:rPr>
                <w:rFonts w:hint="eastAsia" w:ascii="仿宋_GB2312" w:hAnsi="仿宋_GB2312" w:eastAsia="仿宋_GB2312" w:cs="仿宋_GB2312"/>
                <w:b/>
                <w:bCs/>
                <w:i w:val="0"/>
                <w:iCs w:val="0"/>
                <w:color w:val="auto"/>
                <w:kern w:val="2"/>
                <w:sz w:val="21"/>
                <w:szCs w:val="21"/>
                <w:highlight w:val="none"/>
                <w:u w:val="none"/>
                <w:lang w:val="en-US" w:eastAsia="zh-CN" w:bidi="ar"/>
              </w:rPr>
              <w:t>内容</w:t>
            </w:r>
          </w:p>
        </w:tc>
        <w:tc>
          <w:tcPr>
            <w:tcW w:w="1650" w:type="dxa"/>
            <w:noWrap w:val="0"/>
            <w:vAlign w:val="center"/>
          </w:tcPr>
          <w:p w14:paraId="004302A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2"/>
                <w:sz w:val="21"/>
                <w:szCs w:val="21"/>
                <w:highlight w:val="none"/>
                <w:u w:val="none"/>
                <w:lang w:val="en-US" w:eastAsia="zh-CN" w:bidi="ar"/>
              </w:rPr>
              <w:t>平均每月工作量（户）</w:t>
            </w:r>
          </w:p>
        </w:tc>
        <w:tc>
          <w:tcPr>
            <w:tcW w:w="1268" w:type="dxa"/>
            <w:noWrap w:val="0"/>
            <w:vAlign w:val="center"/>
          </w:tcPr>
          <w:p w14:paraId="1167F5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sz w:val="21"/>
                <w:szCs w:val="21"/>
                <w:highlight w:val="none"/>
                <w:u w:val="none"/>
                <w:lang w:val="en-US" w:eastAsia="zh-CN" w:bidi="ar"/>
              </w:rPr>
              <w:t>人日均服务量</w:t>
            </w:r>
          </w:p>
        </w:tc>
      </w:tr>
      <w:tr w14:paraId="6559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06210872">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6E61F99A">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05B0A5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2"/>
                <w:sz w:val="21"/>
                <w:szCs w:val="21"/>
                <w:highlight w:val="none"/>
                <w:u w:val="none"/>
                <w:lang w:val="en-US" w:eastAsia="zh-CN" w:bidi="ar-SA"/>
              </w:rPr>
              <w:t>提醒服务</w:t>
            </w:r>
          </w:p>
        </w:tc>
        <w:tc>
          <w:tcPr>
            <w:tcW w:w="1650" w:type="dxa"/>
            <w:noWrap w:val="0"/>
            <w:vAlign w:val="center"/>
          </w:tcPr>
          <w:p w14:paraId="7DDC1B5D">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800</w:t>
            </w:r>
          </w:p>
        </w:tc>
        <w:tc>
          <w:tcPr>
            <w:tcW w:w="1268" w:type="dxa"/>
            <w:noWrap w:val="0"/>
            <w:vAlign w:val="center"/>
          </w:tcPr>
          <w:p w14:paraId="27F80C23">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临时调配</w:t>
            </w:r>
          </w:p>
        </w:tc>
      </w:tr>
      <w:tr w14:paraId="35D8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noWrap w:val="0"/>
            <w:vAlign w:val="center"/>
          </w:tcPr>
          <w:p w14:paraId="23C323DF">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1704" w:type="dxa"/>
            <w:vMerge w:val="continue"/>
            <w:noWrap w:val="0"/>
            <w:vAlign w:val="center"/>
          </w:tcPr>
          <w:p w14:paraId="140F0C93">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sz w:val="21"/>
                <w:szCs w:val="21"/>
                <w:highlight w:val="none"/>
                <w:vertAlign w:val="baseline"/>
                <w:lang w:val="en-US" w:eastAsia="zh-CN"/>
              </w:rPr>
            </w:pPr>
          </w:p>
        </w:tc>
        <w:tc>
          <w:tcPr>
            <w:tcW w:w="2196" w:type="dxa"/>
            <w:noWrap w:val="0"/>
            <w:vAlign w:val="center"/>
          </w:tcPr>
          <w:p w14:paraId="3D98F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i w:val="0"/>
                <w:iCs w:val="0"/>
                <w:color w:val="auto"/>
                <w:kern w:val="2"/>
                <w:sz w:val="21"/>
                <w:szCs w:val="21"/>
                <w:highlight w:val="none"/>
                <w:u w:val="none"/>
                <w:lang w:val="en-US" w:eastAsia="zh-CN" w:bidi="ar-SA"/>
              </w:rPr>
              <w:t>其他</w:t>
            </w:r>
          </w:p>
        </w:tc>
        <w:tc>
          <w:tcPr>
            <w:tcW w:w="1650" w:type="dxa"/>
            <w:noWrap w:val="0"/>
            <w:vAlign w:val="center"/>
          </w:tcPr>
          <w:p w14:paraId="5AF3D897">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w:t>
            </w:r>
          </w:p>
        </w:tc>
        <w:tc>
          <w:tcPr>
            <w:tcW w:w="1268" w:type="dxa"/>
            <w:noWrap w:val="0"/>
            <w:vAlign w:val="center"/>
          </w:tcPr>
          <w:p w14:paraId="17D4B129">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u w:val="none"/>
                <w:vertAlign w:val="baseline"/>
                <w:lang w:val="en-US" w:eastAsia="zh-CN"/>
              </w:rPr>
              <w:t>临时调配</w:t>
            </w:r>
          </w:p>
        </w:tc>
      </w:tr>
    </w:tbl>
    <w:p w14:paraId="5C7656C2">
      <w:pPr>
        <w:pStyle w:val="3"/>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ascii="仿宋_GB2312" w:hAnsi="仿宋_GB2312" w:eastAsia="仿宋_GB2312" w:cs="仿宋_GB2312"/>
          <w:b/>
          <w:bCs/>
          <w:sz w:val="32"/>
          <w:szCs w:val="32"/>
        </w:rPr>
      </w:pPr>
      <w:r>
        <w:rPr>
          <w:rFonts w:ascii="仿宋_GB2312" w:hAnsi="仿宋_GB2312" w:eastAsia="仿宋_GB2312" w:cs="仿宋_GB2312"/>
          <w:kern w:val="36"/>
        </w:rPr>
        <w:t>4人员要求</w:t>
      </w:r>
      <w:bookmarkEnd w:id="18"/>
    </w:p>
    <w:p w14:paraId="32B3E990">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19" w:name="_Toc26529"/>
      <w:r>
        <w:rPr>
          <w:rFonts w:ascii="仿宋_GB2312" w:hAnsi="仿宋_GB2312" w:eastAsia="仿宋_GB2312" w:cs="仿宋_GB2312"/>
          <w:i w:val="0"/>
          <w:iCs w:val="0"/>
        </w:rPr>
        <w:t>4.1总体要求</w:t>
      </w:r>
      <w:bookmarkEnd w:id="19"/>
    </w:p>
    <w:p w14:paraId="6D4F5FE5">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（一）基本要求</w:t>
      </w:r>
    </w:p>
    <w:p w14:paraId="624109B0">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具有中华人民共和国国籍，拥护党的方针政策，热爱祖国，遵纪守法。具有良好的思想品德，作风正派，无违法犯罪记录，</w:t>
      </w:r>
      <w:r>
        <w:rPr>
          <w:rFonts w:hint="eastAsia" w:ascii="仿宋_GB2312" w:hAnsi="仿宋_GB2312" w:eastAsia="仿宋_GB2312" w:cs="仿宋_GB2312"/>
          <w:sz w:val="28"/>
          <w:szCs w:val="28"/>
          <w:lang w:val="en-US" w:eastAsia="zh-CN"/>
        </w:rPr>
        <w:t>须在上岗前提供无犯罪记录证明。（投标时须提供相关说明承诺函并加盖公章）</w:t>
      </w:r>
    </w:p>
    <w:p w14:paraId="604EB008">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具有全日制大学专科及以上学历，有相关工作经验者优先。</w:t>
      </w:r>
    </w:p>
    <w:p w14:paraId="22D3FC7C">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3.学习能力强，通过学习，能够</w:t>
      </w:r>
      <w:r>
        <w:rPr>
          <w:rFonts w:hint="eastAsia" w:ascii="仿宋_GB2312" w:hAnsi="仿宋_GB2312" w:eastAsia="仿宋_GB2312" w:cs="仿宋_GB2312"/>
          <w:sz w:val="28"/>
          <w:szCs w:val="28"/>
        </w:rPr>
        <w:t>熟悉税费法律法规政策和管理制度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能熟练掌握税务系统相关办公软件，准确及时回应纳税人缴费人需求。</w:t>
      </w:r>
    </w:p>
    <w:p w14:paraId="290C854C">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4.能熟练使用国家通用语言</w:t>
      </w:r>
      <w:r>
        <w:rPr>
          <w:rFonts w:hint="eastAsia" w:ascii="仿宋_GB2312" w:hAnsi="仿宋_GB2312" w:eastAsia="仿宋_GB2312" w:cs="仿宋_GB2312"/>
          <w:sz w:val="28"/>
          <w:szCs w:val="28"/>
          <w:lang w:eastAsia="zh-CN"/>
        </w:rPr>
        <w:t>，有良好的语言表达能力、沟通能力和学习能力。</w:t>
      </w:r>
    </w:p>
    <w:p w14:paraId="32BCEBE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5.具有正常履行职责的身体条件。</w:t>
      </w:r>
    </w:p>
    <w:p w14:paraId="0E0CCBFE">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（二）有下列情形之一的人员不得聘用</w:t>
      </w:r>
    </w:p>
    <w:p w14:paraId="3593AB6B">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1.受过刑事处罚或者涉嫌犯罪尚未结案的。</w:t>
      </w:r>
    </w:p>
    <w:p w14:paraId="41A590DF">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2.被国家机关、事业单位开除公职或者辞退的。</w:t>
      </w:r>
    </w:p>
    <w:p w14:paraId="6F48788E">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3.曾因违反行政执法机关管理规定被解除劳动合同的。</w:t>
      </w:r>
    </w:p>
    <w:p w14:paraId="37F6DB36">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4.有较为严重的个人不良信用记录或被依法列为失信联合惩戒对象的。</w:t>
      </w:r>
    </w:p>
    <w:p w14:paraId="533A70F8">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5.其他不符合聘用条件的。</w:t>
      </w:r>
    </w:p>
    <w:p w14:paraId="6776FDF1">
      <w:pPr>
        <w:pStyle w:val="3"/>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ascii="仿宋_GB2312" w:hAnsi="仿宋_GB2312" w:eastAsia="仿宋_GB2312" w:cs="仿宋_GB2312"/>
          <w:b/>
          <w:bCs/>
          <w:sz w:val="32"/>
          <w:szCs w:val="32"/>
        </w:rPr>
      </w:pPr>
      <w:bookmarkStart w:id="20" w:name="_Toc11305"/>
      <w:r>
        <w:rPr>
          <w:rFonts w:ascii="仿宋_GB2312" w:hAnsi="仿宋_GB2312" w:eastAsia="仿宋_GB2312" w:cs="仿宋_GB2312"/>
          <w:kern w:val="36"/>
        </w:rPr>
        <w:t>5管理实施要求</w:t>
      </w:r>
      <w:bookmarkEnd w:id="20"/>
    </w:p>
    <w:p w14:paraId="4FC316FB">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eastAsia="zh-CN"/>
        </w:rPr>
      </w:pPr>
      <w:bookmarkStart w:id="21" w:name="_Toc31878"/>
      <w:r>
        <w:rPr>
          <w:rFonts w:hint="eastAsia" w:ascii="仿宋_GB2312" w:hAnsi="仿宋_GB2312" w:eastAsia="仿宋_GB2312" w:cs="仿宋_GB2312"/>
          <w:sz w:val="28"/>
          <w:szCs w:val="28"/>
          <w:lang w:val="en-US" w:eastAsia="zh-CN"/>
        </w:rPr>
        <w:t>（一）服务规范</w:t>
      </w:r>
      <w:bookmarkEnd w:id="21"/>
      <w:r>
        <w:rPr>
          <w:rFonts w:hint="eastAsia" w:ascii="仿宋_GB2312" w:hAnsi="仿宋_GB2312" w:eastAsia="仿宋_GB2312" w:cs="仿宋_GB2312"/>
          <w:sz w:val="28"/>
          <w:szCs w:val="28"/>
          <w:lang w:eastAsia="zh-CN"/>
        </w:rPr>
        <w:t xml:space="preserve"> </w:t>
      </w:r>
    </w:p>
    <w:p w14:paraId="0FCE9B1E">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1.严格落实</w:t>
      </w:r>
      <w:r>
        <w:rPr>
          <w:rFonts w:hint="eastAsia" w:ascii="仿宋_GB2312" w:hAnsi="仿宋_GB2312" w:eastAsia="仿宋_GB2312" w:cs="仿宋_GB2312"/>
          <w:sz w:val="28"/>
          <w:szCs w:val="28"/>
        </w:rPr>
        <w:t>首问责任制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限时办结制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延时服务制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预约服务制、</w:t>
      </w:r>
      <w:r>
        <w:rPr>
          <w:rFonts w:hint="eastAsia" w:ascii="仿宋_GB2312" w:hAnsi="仿宋_GB2312" w:eastAsia="仿宋_GB2312" w:cs="仿宋_GB2312"/>
          <w:sz w:val="28"/>
          <w:szCs w:val="28"/>
        </w:rPr>
        <w:t>一次性告知制</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“最多跑一次”服务措施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为纳税人提供高效便捷的税费服务。提供延时服务采购人不再额外支付费用。</w:t>
      </w:r>
    </w:p>
    <w:p w14:paraId="5CE84FC5">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 xml:space="preserve">服务人员要坚持原则，按规定制度办事，不得以任何形式向服务对象吃、拿、卡、要，不得作出损害税务机关信誉和形象的行为。 </w:t>
      </w:r>
    </w:p>
    <w:p w14:paraId="11EFF8B6">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服务人员</w:t>
      </w:r>
      <w:r>
        <w:rPr>
          <w:rFonts w:hint="eastAsia" w:ascii="仿宋_GB2312" w:hAnsi="仿宋_GB2312" w:eastAsia="仿宋_GB2312" w:cs="仿宋_GB2312"/>
          <w:sz w:val="28"/>
          <w:szCs w:val="28"/>
          <w:lang w:val="en-US" w:eastAsia="zh-CN"/>
        </w:rPr>
        <w:t>在工作时间内统一着装，按规定佩戴配饰及工作牌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因特殊情况（如怀孕、受伤等），经采购人同意着便装上岗的，应做到庄重得体。</w:t>
      </w:r>
    </w:p>
    <w:p w14:paraId="391FCB94">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4.服务人员应保持仪容整洁，头发整洁自然，不染夸张颜色，不梳理奇异发型，男士不留长发、长须，女士长发应束发或盘起，不浓妆艳抹，不得搭配夸张的首饰、配饰。</w:t>
      </w:r>
    </w:p>
    <w:p w14:paraId="68B5653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5.服务人员与纳税人交谈时，应当文明礼貌、态度谦和、真诚友善。举止端庄，保持良好的坐立姿态。</w:t>
      </w:r>
    </w:p>
    <w:p w14:paraId="314080B6">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6.服务人员应当提前准备好工作所需的各类办公用品，检查工作设备是否正常运行、纳税人办税所需的用品设施是否完备、可用。</w:t>
      </w:r>
    </w:p>
    <w:p w14:paraId="26BB4E3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工作时间提倡使用普通话，做到语气平和、表达清晰。使用规范用语，禁用服务忌语。</w:t>
      </w:r>
    </w:p>
    <w:p w14:paraId="695C397B">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保持良好的工作秩序，无论在工作时间还是非工作时间，工作人员均不得在办税服务厅进行与工作无关的活动。上岗前及工作时间不饮酒或含有酒精的饮料，办公区域严禁吸烟、进食</w:t>
      </w:r>
      <w:r>
        <w:rPr>
          <w:rFonts w:hint="eastAsia" w:ascii="仿宋_GB2312" w:hAnsi="仿宋_GB2312" w:eastAsia="仿宋_GB2312" w:cs="仿宋_GB2312"/>
          <w:sz w:val="28"/>
          <w:szCs w:val="28"/>
          <w:lang w:val="en-US" w:eastAsia="zh-CN"/>
        </w:rPr>
        <w:t>等。服从采购人的统一安排。</w:t>
      </w:r>
    </w:p>
    <w:p w14:paraId="30C18197">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bookmarkStart w:id="22" w:name="_Toc28485"/>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服务质量保障</w:t>
      </w:r>
      <w:r>
        <w:rPr>
          <w:rFonts w:hint="eastAsia" w:ascii="仿宋_GB2312" w:hAnsi="仿宋_GB2312" w:eastAsia="仿宋_GB2312" w:cs="仿宋_GB2312"/>
          <w:sz w:val="28"/>
          <w:szCs w:val="28"/>
          <w:lang w:val="en-US" w:eastAsia="zh-CN"/>
        </w:rPr>
        <w:t>要求</w:t>
      </w:r>
      <w:bookmarkEnd w:id="22"/>
    </w:p>
    <w:p w14:paraId="2F482BD9">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ascii="仿宋_GB2312" w:hAnsi="仿宋_GB2312" w:eastAsia="仿宋_GB2312" w:cs="仿宋_GB2312"/>
          <w:sz w:val="28"/>
          <w:szCs w:val="28"/>
        </w:rPr>
        <w:t>为保证服务质量，中标人需提供详细的项目需求理解方案，内容包含但不限于：项目概述（理解）、预期效果等。</w:t>
      </w:r>
    </w:p>
    <w:p w14:paraId="3E33686A">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rPr>
        <w:t>中标人投入本项目的服务人员在服务过程中须按照采购人的要求完成日常工作，上岗前经过相关培训，中标人应制定岗前培训管理方案，内容包含但不限于：师资力量、培训计划、培训课程表（税收政策知识、沟通技巧、保密观、廉政观、涉及的全国统一规范电子税务局网页端、电子税务局APP、自然人电子税务局扣缴端、个人所得税APP、社保缴费小程序、社保费管理客户端的操作）、培训方式、培训成果考核方式等。</w:t>
      </w:r>
    </w:p>
    <w:p w14:paraId="5BA9F14D">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rPr>
        <w:t>中标人需配备驻场管理人员，负责日常管理、服务规范化管理以及内外工作协调，按照采购人要求及时调整工作内容及进度，配合各项服务；负责服务人员日常管理考核、工资表制作、做好现场矛盾化解及日常沟通等工作。驻场管理人员需保持24小时手机畅通；有中级人力资源管理及以上证书、普通话2级乙等及以上证书；熟练掌握税务相关业务；具有全日制本科及以上学历，2年以上的相关项目管理经验；具有团队协作精神、‌组织协调能力和‌表达能力；有一定的综合写作及文字表达能力，财务会计专业优先。</w:t>
      </w:r>
    </w:p>
    <w:p w14:paraId="2ECCBFF2">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ascii="仿宋_GB2312" w:hAnsi="仿宋_GB2312" w:eastAsia="仿宋_GB2312" w:cs="仿宋_GB2312"/>
          <w:sz w:val="28"/>
          <w:szCs w:val="28"/>
        </w:rPr>
        <w:t>中标人投入本项目的服务人员应当遵守保密要求，中标人须与采购人签订保密协议，服务人员在入职前必须与采购人签订保密协议（保密协议由采购人提供），若在服务过程中泄露采购人的工作秘密，中标人须承担全部责任。（投标时须提供相关说明承诺函并加盖公章）    </w:t>
      </w:r>
    </w:p>
    <w:p w14:paraId="1F6A8F21">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中标人应建立完善的应急预案，内容包含但不限于舆情事件应急处理、纠纷应急预案（纠纷种类、预防措施、应急响应及办结时间、处理方式等）、服务人员投诉应对应急预案（预防措施、应急响应及办结时间、责任追究等）、劳动纠纷预案与工伤事故应急预案等。</w:t>
      </w:r>
    </w:p>
    <w:p w14:paraId="367F66F8">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ascii="仿宋_GB2312" w:hAnsi="仿宋_GB2312" w:eastAsia="仿宋_GB2312" w:cs="仿宋_GB2312"/>
          <w:sz w:val="28"/>
          <w:szCs w:val="28"/>
        </w:rPr>
        <w:t>中标人应按照采购人的要求，配合采购人对项目进行日常管理和考核工作。需制定考核管理方案，考核内容如下：</w:t>
      </w:r>
    </w:p>
    <w:tbl>
      <w:tblPr>
        <w:tblStyle w:val="26"/>
        <w:tblW w:w="8567" w:type="dxa"/>
        <w:tblCellSpacing w:w="0" w:type="dxa"/>
        <w:tblInd w:w="221" w:type="dxa"/>
        <w:tblLayout w:type="fixed"/>
        <w:tblCellMar>
          <w:top w:w="15" w:type="dxa"/>
          <w:left w:w="15" w:type="dxa"/>
          <w:bottom w:w="15" w:type="dxa"/>
          <w:right w:w="15" w:type="dxa"/>
        </w:tblCellMar>
      </w:tblPr>
      <w:tblGrid>
        <w:gridCol w:w="2211"/>
        <w:gridCol w:w="2444"/>
        <w:gridCol w:w="3912"/>
      </w:tblGrid>
      <w:tr w14:paraId="50F72474">
        <w:tblPrEx>
          <w:tblCellMar>
            <w:top w:w="15" w:type="dxa"/>
            <w:left w:w="15" w:type="dxa"/>
            <w:bottom w:w="15" w:type="dxa"/>
            <w:right w:w="15" w:type="dxa"/>
          </w:tblCellMar>
        </w:tblPrEx>
        <w:trPr>
          <w:trHeight w:val="580" w:hRule="atLeast"/>
          <w:tblCellSpacing w:w="0" w:type="dxa"/>
        </w:trPr>
        <w:tc>
          <w:tcPr>
            <w:tcW w:w="8567" w:type="dxa"/>
            <w:gridSpan w:val="3"/>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14:paraId="650A224D">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考核管理方案</w:t>
            </w:r>
          </w:p>
        </w:tc>
      </w:tr>
      <w:tr w14:paraId="3FAB43E8">
        <w:tblPrEx>
          <w:tblCellMar>
            <w:top w:w="15" w:type="dxa"/>
            <w:left w:w="15" w:type="dxa"/>
            <w:bottom w:w="15" w:type="dxa"/>
            <w:right w:w="15" w:type="dxa"/>
          </w:tblCellMar>
        </w:tblPrEx>
        <w:trPr>
          <w:trHeight w:val="580" w:hRule="atLeast"/>
          <w:tblCellSpacing w:w="0" w:type="dxa"/>
        </w:trPr>
        <w:tc>
          <w:tcPr>
            <w:tcW w:w="221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58A0E13E">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服务名称</w:t>
            </w:r>
          </w:p>
        </w:tc>
        <w:tc>
          <w:tcPr>
            <w:tcW w:w="2444"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14:paraId="3ECD2B77">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考核项</w:t>
            </w:r>
          </w:p>
        </w:tc>
        <w:tc>
          <w:tcPr>
            <w:tcW w:w="3912"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14:paraId="05BC54FD">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考核具体内容</w:t>
            </w:r>
          </w:p>
        </w:tc>
      </w:tr>
      <w:tr w14:paraId="641EAE60">
        <w:tblPrEx>
          <w:tblCellMar>
            <w:top w:w="15" w:type="dxa"/>
            <w:left w:w="15" w:type="dxa"/>
            <w:bottom w:w="15" w:type="dxa"/>
            <w:right w:w="15" w:type="dxa"/>
          </w:tblCellMar>
        </w:tblPrEx>
        <w:trPr>
          <w:trHeight w:val="760" w:hRule="atLeast"/>
          <w:tblCellSpacing w:w="0" w:type="dxa"/>
        </w:trPr>
        <w:tc>
          <w:tcPr>
            <w:tcW w:w="2211" w:type="dxa"/>
            <w:vMerge w:val="restart"/>
            <w:tcBorders>
              <w:top w:val="single" w:color="auto" w:sz="4" w:space="0"/>
              <w:left w:val="single" w:color="auto" w:sz="4" w:space="0"/>
              <w:bottom w:val="single" w:color="auto" w:sz="4" w:space="0"/>
              <w:right w:val="single" w:color="000000" w:sz="8" w:space="0"/>
            </w:tcBorders>
            <w:tcMar>
              <w:top w:w="0" w:type="dxa"/>
              <w:left w:w="118" w:type="dxa"/>
              <w:bottom w:w="0" w:type="dxa"/>
              <w:right w:w="118" w:type="dxa"/>
            </w:tcMar>
            <w:vAlign w:val="center"/>
          </w:tcPr>
          <w:p w14:paraId="762C271D">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p w14:paraId="7DC513A9">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p w14:paraId="3CED5CA6">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1.导税服务</w:t>
            </w:r>
          </w:p>
          <w:p w14:paraId="54E579AA">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2.税费辅导服务</w:t>
            </w:r>
          </w:p>
          <w:p w14:paraId="13213CB2">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3.热线咨询服务</w:t>
            </w:r>
          </w:p>
          <w:p w14:paraId="58D4E290">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4.基础服务</w:t>
            </w:r>
          </w:p>
          <w:p w14:paraId="4EBDF870">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5.社保服务</w:t>
            </w:r>
          </w:p>
          <w:p w14:paraId="081271C5">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lang w:val="en-US" w:eastAsia="zh-CN"/>
              </w:rPr>
              <w:t>6</w:t>
            </w:r>
            <w:r>
              <w:rPr>
                <w:rFonts w:hint="eastAsia" w:ascii="仿宋_GB2312" w:hAnsi="仿宋_GB2312" w:eastAsia="仿宋_GB2312" w:cs="仿宋_GB2312"/>
                <w:b w:val="0"/>
                <w:bCs w:val="0"/>
                <w:i w:val="0"/>
                <w:iCs w:val="0"/>
                <w:smallCaps w:val="0"/>
                <w:color w:val="000000"/>
                <w:sz w:val="21"/>
                <w:szCs w:val="21"/>
              </w:rPr>
              <w:t>.其他相关服务</w:t>
            </w:r>
          </w:p>
          <w:p w14:paraId="03CE8D71">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tc>
        <w:tc>
          <w:tcPr>
            <w:tcW w:w="2444" w:type="dxa"/>
            <w:tcBorders>
              <w:top w:val="single" w:color="auto" w:sz="4" w:space="0"/>
              <w:bottom w:val="single" w:color="auto" w:sz="4" w:space="0"/>
              <w:right w:val="single" w:color="auto" w:sz="4" w:space="0"/>
            </w:tcBorders>
            <w:tcMar>
              <w:top w:w="0" w:type="dxa"/>
              <w:left w:w="108" w:type="dxa"/>
              <w:bottom w:w="0" w:type="dxa"/>
              <w:right w:w="118" w:type="dxa"/>
            </w:tcMar>
            <w:vAlign w:val="center"/>
          </w:tcPr>
          <w:p w14:paraId="50EF644A">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考勤考核</w:t>
            </w:r>
          </w:p>
        </w:tc>
        <w:tc>
          <w:tcPr>
            <w:tcW w:w="3912" w:type="dxa"/>
            <w:tcBorders>
              <w:bottom w:val="single" w:color="000000" w:sz="8" w:space="0"/>
              <w:right w:val="single" w:color="000000" w:sz="8" w:space="0"/>
            </w:tcBorders>
            <w:tcMar>
              <w:top w:w="0" w:type="dxa"/>
              <w:left w:w="108" w:type="dxa"/>
              <w:bottom w:w="0" w:type="dxa"/>
              <w:right w:w="118" w:type="dxa"/>
            </w:tcMar>
            <w:vAlign w:val="center"/>
          </w:tcPr>
          <w:p w14:paraId="470E6451">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员工迟到、早退、中途离岗、请休假等情况制定相应考核办法</w:t>
            </w:r>
          </w:p>
        </w:tc>
      </w:tr>
      <w:tr w14:paraId="72693D42">
        <w:tblPrEx>
          <w:tblCellMar>
            <w:top w:w="15" w:type="dxa"/>
            <w:left w:w="15" w:type="dxa"/>
            <w:bottom w:w="15" w:type="dxa"/>
            <w:right w:w="15" w:type="dxa"/>
          </w:tblCellMar>
        </w:tblPrEx>
        <w:trPr>
          <w:trHeight w:val="580" w:hRule="atLeast"/>
          <w:tblCellSpacing w:w="0" w:type="dxa"/>
        </w:trPr>
        <w:tc>
          <w:tcPr>
            <w:tcW w:w="2211" w:type="dxa"/>
            <w:vMerge w:val="continue"/>
            <w:tcBorders>
              <w:left w:val="single" w:color="auto" w:sz="4" w:space="0"/>
              <w:right w:val="single" w:color="000000" w:sz="8" w:space="0"/>
            </w:tcBorders>
            <w:vAlign w:val="center"/>
          </w:tcPr>
          <w:p w14:paraId="4EC0BD98">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2444" w:type="dxa"/>
            <w:tcBorders>
              <w:bottom w:val="single" w:color="000000" w:sz="8" w:space="0"/>
              <w:right w:val="single" w:color="000000" w:sz="8" w:space="0"/>
            </w:tcBorders>
            <w:tcMar>
              <w:top w:w="0" w:type="dxa"/>
              <w:left w:w="108" w:type="dxa"/>
              <w:bottom w:w="0" w:type="dxa"/>
              <w:right w:w="118" w:type="dxa"/>
            </w:tcMar>
            <w:vAlign w:val="center"/>
          </w:tcPr>
          <w:p w14:paraId="0C73A1A5">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工作质量考核</w:t>
            </w:r>
          </w:p>
        </w:tc>
        <w:tc>
          <w:tcPr>
            <w:tcW w:w="3912" w:type="dxa"/>
            <w:tcBorders>
              <w:bottom w:val="single" w:color="000000" w:sz="8" w:space="0"/>
              <w:right w:val="single" w:color="000000" w:sz="8" w:space="0"/>
            </w:tcBorders>
            <w:tcMar>
              <w:top w:w="0" w:type="dxa"/>
              <w:left w:w="108" w:type="dxa"/>
              <w:bottom w:w="0" w:type="dxa"/>
              <w:right w:w="118" w:type="dxa"/>
            </w:tcMar>
            <w:vAlign w:val="center"/>
          </w:tcPr>
          <w:p w14:paraId="204394CF">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根据《考核评分表》制定相应考核办法</w:t>
            </w:r>
          </w:p>
        </w:tc>
      </w:tr>
      <w:tr w14:paraId="7376CE25">
        <w:tblPrEx>
          <w:tblCellMar>
            <w:top w:w="15" w:type="dxa"/>
            <w:left w:w="15" w:type="dxa"/>
            <w:bottom w:w="15" w:type="dxa"/>
            <w:right w:w="15" w:type="dxa"/>
          </w:tblCellMar>
        </w:tblPrEx>
        <w:trPr>
          <w:trHeight w:val="580" w:hRule="atLeast"/>
          <w:tblCellSpacing w:w="0" w:type="dxa"/>
        </w:trPr>
        <w:tc>
          <w:tcPr>
            <w:tcW w:w="2211" w:type="dxa"/>
            <w:vMerge w:val="continue"/>
            <w:tcBorders>
              <w:left w:val="single" w:color="auto" w:sz="4" w:space="0"/>
              <w:right w:val="single" w:color="000000" w:sz="8" w:space="0"/>
            </w:tcBorders>
            <w:vAlign w:val="center"/>
          </w:tcPr>
          <w:p w14:paraId="422D7E72">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2444" w:type="dxa"/>
            <w:tcBorders>
              <w:bottom w:val="single" w:color="000000" w:sz="8" w:space="0"/>
              <w:right w:val="single" w:color="000000" w:sz="8" w:space="0"/>
            </w:tcBorders>
            <w:tcMar>
              <w:top w:w="0" w:type="dxa"/>
              <w:left w:w="108" w:type="dxa"/>
              <w:bottom w:w="0" w:type="dxa"/>
              <w:right w:w="118" w:type="dxa"/>
            </w:tcMar>
            <w:vAlign w:val="center"/>
          </w:tcPr>
          <w:p w14:paraId="47822183">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业务能力测试考核</w:t>
            </w:r>
          </w:p>
        </w:tc>
        <w:tc>
          <w:tcPr>
            <w:tcW w:w="3912" w:type="dxa"/>
            <w:tcBorders>
              <w:bottom w:val="single" w:color="000000" w:sz="8" w:space="0"/>
              <w:right w:val="single" w:color="000000" w:sz="8" w:space="0"/>
            </w:tcBorders>
            <w:tcMar>
              <w:top w:w="0" w:type="dxa"/>
              <w:left w:w="108" w:type="dxa"/>
              <w:bottom w:w="0" w:type="dxa"/>
              <w:right w:w="118" w:type="dxa"/>
            </w:tcMar>
            <w:vAlign w:val="center"/>
          </w:tcPr>
          <w:p w14:paraId="1E883292">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根据每月的测试成绩制定相应的考核办法</w:t>
            </w:r>
          </w:p>
        </w:tc>
      </w:tr>
      <w:tr w14:paraId="54C8F349">
        <w:tblPrEx>
          <w:tblCellMar>
            <w:top w:w="15" w:type="dxa"/>
            <w:left w:w="15" w:type="dxa"/>
            <w:bottom w:w="15" w:type="dxa"/>
            <w:right w:w="15" w:type="dxa"/>
          </w:tblCellMar>
        </w:tblPrEx>
        <w:trPr>
          <w:trHeight w:val="660" w:hRule="atLeast"/>
          <w:tblCellSpacing w:w="0" w:type="dxa"/>
        </w:trPr>
        <w:tc>
          <w:tcPr>
            <w:tcW w:w="2211" w:type="dxa"/>
            <w:vMerge w:val="continue"/>
            <w:tcBorders>
              <w:left w:val="single" w:color="auto" w:sz="4" w:space="0"/>
              <w:right w:val="single" w:color="000000" w:sz="8" w:space="0"/>
            </w:tcBorders>
            <w:vAlign w:val="center"/>
          </w:tcPr>
          <w:p w14:paraId="7B2F623B">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2444" w:type="dxa"/>
            <w:tcBorders>
              <w:bottom w:val="single" w:color="000000" w:sz="8" w:space="0"/>
              <w:right w:val="single" w:color="000000" w:sz="8" w:space="0"/>
            </w:tcBorders>
            <w:tcMar>
              <w:top w:w="0" w:type="dxa"/>
              <w:left w:w="108" w:type="dxa"/>
              <w:bottom w:w="0" w:type="dxa"/>
              <w:right w:w="118" w:type="dxa"/>
            </w:tcMar>
            <w:vAlign w:val="center"/>
          </w:tcPr>
          <w:p w14:paraId="2CECFCD7">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绩效考核</w:t>
            </w:r>
          </w:p>
        </w:tc>
        <w:tc>
          <w:tcPr>
            <w:tcW w:w="3912" w:type="dxa"/>
            <w:tcBorders>
              <w:bottom w:val="single" w:color="000000" w:sz="8" w:space="0"/>
              <w:right w:val="single" w:color="000000" w:sz="8" w:space="0"/>
            </w:tcBorders>
            <w:tcMar>
              <w:top w:w="0" w:type="dxa"/>
              <w:left w:w="108" w:type="dxa"/>
              <w:bottom w:w="0" w:type="dxa"/>
              <w:right w:w="118" w:type="dxa"/>
            </w:tcMar>
            <w:vAlign w:val="center"/>
          </w:tcPr>
          <w:p w14:paraId="46E385E9">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根据服务内容制定基础绩效，并根据《考核评分表》制定相应绩效考核办法</w:t>
            </w:r>
          </w:p>
        </w:tc>
      </w:tr>
      <w:tr w14:paraId="09AA1513">
        <w:tblPrEx>
          <w:tblCellMar>
            <w:top w:w="15" w:type="dxa"/>
            <w:left w:w="15" w:type="dxa"/>
            <w:bottom w:w="15" w:type="dxa"/>
            <w:right w:w="15" w:type="dxa"/>
          </w:tblCellMar>
        </w:tblPrEx>
        <w:trPr>
          <w:trHeight w:val="640" w:hRule="atLeast"/>
          <w:tblCellSpacing w:w="0" w:type="dxa"/>
        </w:trPr>
        <w:tc>
          <w:tcPr>
            <w:tcW w:w="2211" w:type="dxa"/>
            <w:vMerge w:val="continue"/>
            <w:tcBorders>
              <w:left w:val="single" w:color="auto" w:sz="4" w:space="0"/>
              <w:right w:val="single" w:color="000000" w:sz="8" w:space="0"/>
            </w:tcBorders>
            <w:vAlign w:val="center"/>
          </w:tcPr>
          <w:p w14:paraId="48613880">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2444" w:type="dxa"/>
            <w:tcBorders>
              <w:bottom w:val="single" w:color="000000" w:sz="8" w:space="0"/>
              <w:right w:val="single" w:color="000000" w:sz="8" w:space="0"/>
            </w:tcBorders>
            <w:tcMar>
              <w:top w:w="0" w:type="dxa"/>
              <w:left w:w="108" w:type="dxa"/>
              <w:bottom w:w="0" w:type="dxa"/>
              <w:right w:w="118" w:type="dxa"/>
            </w:tcMar>
            <w:vAlign w:val="center"/>
          </w:tcPr>
          <w:p w14:paraId="45B26588">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投诉表扬考核</w:t>
            </w:r>
          </w:p>
        </w:tc>
        <w:tc>
          <w:tcPr>
            <w:tcW w:w="3912" w:type="dxa"/>
            <w:tcBorders>
              <w:bottom w:val="single" w:color="000000" w:sz="8" w:space="0"/>
              <w:right w:val="single" w:color="000000" w:sz="8" w:space="0"/>
            </w:tcBorders>
            <w:tcMar>
              <w:top w:w="0" w:type="dxa"/>
              <w:left w:w="108" w:type="dxa"/>
              <w:bottom w:w="0" w:type="dxa"/>
              <w:right w:w="118" w:type="dxa"/>
            </w:tcMar>
            <w:vAlign w:val="center"/>
          </w:tcPr>
          <w:p w14:paraId="4E2F9C92">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根据《考核评分表》制定相应投诉表扬考核办法</w:t>
            </w:r>
          </w:p>
        </w:tc>
      </w:tr>
      <w:tr w14:paraId="132B28BA">
        <w:tblPrEx>
          <w:tblCellMar>
            <w:top w:w="15" w:type="dxa"/>
            <w:left w:w="15" w:type="dxa"/>
            <w:bottom w:w="15" w:type="dxa"/>
            <w:right w:w="15" w:type="dxa"/>
          </w:tblCellMar>
        </w:tblPrEx>
        <w:trPr>
          <w:trHeight w:val="580" w:hRule="atLeast"/>
          <w:tblCellSpacing w:w="0" w:type="dxa"/>
        </w:trPr>
        <w:tc>
          <w:tcPr>
            <w:tcW w:w="2211" w:type="dxa"/>
            <w:vMerge w:val="continue"/>
            <w:tcBorders>
              <w:left w:val="single" w:color="auto" w:sz="4" w:space="0"/>
              <w:bottom w:val="single" w:color="000000" w:sz="8" w:space="0"/>
              <w:right w:val="single" w:color="000000" w:sz="8" w:space="0"/>
            </w:tcBorders>
            <w:vAlign w:val="center"/>
          </w:tcPr>
          <w:p w14:paraId="3D7890B6">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2444" w:type="dxa"/>
            <w:tcBorders>
              <w:bottom w:val="single" w:color="000000" w:sz="8" w:space="0"/>
              <w:right w:val="single" w:color="000000" w:sz="8" w:space="0"/>
            </w:tcBorders>
            <w:tcMar>
              <w:top w:w="0" w:type="dxa"/>
              <w:left w:w="108" w:type="dxa"/>
              <w:bottom w:w="0" w:type="dxa"/>
              <w:right w:w="118" w:type="dxa"/>
            </w:tcMar>
            <w:vAlign w:val="center"/>
          </w:tcPr>
          <w:p w14:paraId="284DF8F5">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其它考核</w:t>
            </w:r>
          </w:p>
        </w:tc>
        <w:tc>
          <w:tcPr>
            <w:tcW w:w="3912" w:type="dxa"/>
            <w:tcBorders>
              <w:bottom w:val="single" w:color="000000" w:sz="8" w:space="0"/>
              <w:right w:val="single" w:color="000000" w:sz="8" w:space="0"/>
            </w:tcBorders>
            <w:tcMar>
              <w:top w:w="0" w:type="dxa"/>
              <w:left w:w="108" w:type="dxa"/>
              <w:bottom w:w="0" w:type="dxa"/>
              <w:right w:w="118" w:type="dxa"/>
            </w:tcMar>
            <w:vAlign w:val="center"/>
          </w:tcPr>
          <w:p w14:paraId="19609FBA">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制定相应考核奖惩办法</w:t>
            </w:r>
          </w:p>
        </w:tc>
      </w:tr>
    </w:tbl>
    <w:p w14:paraId="28375E04">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ascii="仿宋_GB2312" w:hAnsi="仿宋_GB2312" w:eastAsia="仿宋_GB2312" w:cs="仿宋_GB2312"/>
          <w:sz w:val="28"/>
          <w:szCs w:val="28"/>
        </w:rPr>
        <w:t>为保障服务质量，中标人应提供人员管理方案，内容包括但不限于招聘辞退制度、人员稳定性措施、人员流失补替方案等。中标人所提供的人员须具有稳定性及连续性，不得擅自更换人员，如果有人员更换的情况需提前1个月向采购人书面说明原因，并及时补充人员，妥善办理交接手续，因人员擅自离岗造成的损失由中标人承担。有下列情况之一的，采购人有权要求中标人进行人员更换，中标人须按照采购人的要求在3个工作日内及时予以补充人员并承担退回人员的安置及费用。</w:t>
      </w:r>
    </w:p>
    <w:p w14:paraId="3D2913E0">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ascii="仿宋_GB2312" w:hAnsi="仿宋_GB2312" w:eastAsia="仿宋_GB2312" w:cs="仿宋_GB2312"/>
          <w:sz w:val="28"/>
          <w:szCs w:val="28"/>
        </w:rPr>
        <w:t>对不能胜任工作、违反采购人工作制度或出现重大失误的；</w:t>
      </w:r>
    </w:p>
    <w:p w14:paraId="0652260F">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rPr>
        <w:t>在落实新疆工作总目标中打折扣、搞变通，有“两面人”行为，发生维稳“一票否决”行为的；</w:t>
      </w:r>
    </w:p>
    <w:p w14:paraId="60BB348C">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rPr>
        <w:t>违反工作纪律或者不履行工作职责，不服从正常工作分配及岗位轮换，经教育仍不改正的；</w:t>
      </w:r>
    </w:p>
    <w:p w14:paraId="0C3992C8">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ascii="仿宋_GB2312" w:hAnsi="仿宋_GB2312" w:eastAsia="仿宋_GB2312" w:cs="仿宋_GB2312"/>
          <w:sz w:val="28"/>
          <w:szCs w:val="28"/>
        </w:rPr>
        <w:t>严重失职、徇私舞弊，谋取私利，造成严重负面影响或重大损害的；</w:t>
      </w:r>
    </w:p>
    <w:p w14:paraId="0B517F40">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同时与中标单位以外的其他单位建立人事关系或者劳动关系的；</w:t>
      </w:r>
    </w:p>
    <w:p w14:paraId="1FA72D03">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ascii="仿宋_GB2312" w:hAnsi="仿宋_GB2312" w:eastAsia="仿宋_GB2312" w:cs="仿宋_GB2312"/>
          <w:sz w:val="28"/>
          <w:szCs w:val="28"/>
        </w:rPr>
        <w:t>被依法追究刑事责任的；</w:t>
      </w:r>
    </w:p>
    <w:p w14:paraId="66A08157">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ascii="仿宋_GB2312" w:hAnsi="仿宋_GB2312" w:eastAsia="仿宋_GB2312" w:cs="仿宋_GB2312"/>
          <w:sz w:val="28"/>
          <w:szCs w:val="28"/>
        </w:rPr>
        <w:t>因患病或者非因公负伤，在规定的医疗期满后不能从事原工作，也不能从事由采购人另行安排的工作的；</w:t>
      </w:r>
    </w:p>
    <w:p w14:paraId="7B2C79DC">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ascii="仿宋_GB2312" w:hAnsi="仿宋_GB2312" w:eastAsia="仿宋_GB2312" w:cs="仿宋_GB2312"/>
          <w:sz w:val="28"/>
          <w:szCs w:val="28"/>
        </w:rPr>
        <w:t>其他原因不适合从事相关工作的。</w:t>
      </w:r>
    </w:p>
    <w:p w14:paraId="7E18ECEB">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ascii="仿宋_GB2312" w:hAnsi="仿宋_GB2312" w:eastAsia="仿宋_GB2312" w:cs="仿宋_GB2312"/>
          <w:sz w:val="28"/>
          <w:szCs w:val="28"/>
        </w:rPr>
        <w:t>本项目使用的电脑、打印机等由采购人提供，服务人员下班后需关闭办公电子设备电源，锁存重要办公用品，非正常原因造成的设备损坏由中标人负责赔偿。中标人应登记资产使用台帐并建立资产管理制度，内容包括但不限于资产领用及交还、资产盘点、资产非正常损坏及丢失赔偿等。</w:t>
      </w:r>
    </w:p>
    <w:p w14:paraId="50FA0B13">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ascii="仿宋_GB2312" w:hAnsi="仿宋_GB2312" w:eastAsia="仿宋_GB2312" w:cs="仿宋_GB2312"/>
          <w:sz w:val="28"/>
          <w:szCs w:val="28"/>
        </w:rPr>
        <w:t xml:space="preserve">服务期限内若中标人不能按规定执行合同，采购人有权终止合同，并要求中标人赔偿因不能正常履行合同给采购人造成的损失。 </w:t>
      </w:r>
    </w:p>
    <w:p w14:paraId="2E484179">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ascii="仿宋_GB2312" w:hAnsi="仿宋_GB2312" w:eastAsia="仿宋_GB2312" w:cs="仿宋_GB2312"/>
          <w:sz w:val="28"/>
          <w:szCs w:val="28"/>
        </w:rPr>
        <w:t>本项目若涉及国家税收政策或机构人员的调整，涉及服务需求变更或调整服务内容的，中标人应按采购人的要求终止或变更合同内容或签定补充协议。（投标时须提供相关说明承诺函并加盖公章）</w:t>
      </w:r>
    </w:p>
    <w:p w14:paraId="1C308B20">
      <w:pPr>
        <w:pStyle w:val="3"/>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ascii="仿宋_GB2312" w:hAnsi="仿宋_GB2312" w:eastAsia="仿宋_GB2312" w:cs="仿宋_GB2312"/>
          <w:b/>
          <w:bCs/>
          <w:sz w:val="32"/>
          <w:szCs w:val="32"/>
        </w:rPr>
      </w:pPr>
      <w:bookmarkStart w:id="23" w:name="_Toc29304"/>
      <w:r>
        <w:rPr>
          <w:rFonts w:ascii="仿宋_GB2312" w:hAnsi="仿宋_GB2312" w:eastAsia="仿宋_GB2312" w:cs="仿宋_GB2312"/>
          <w:kern w:val="36"/>
          <w:sz w:val="32"/>
          <w:szCs w:val="32"/>
        </w:rPr>
        <w:t>6风险管控要求</w:t>
      </w:r>
      <w:bookmarkEnd w:id="23"/>
    </w:p>
    <w:p w14:paraId="49DA7165">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中标人</w:t>
      </w:r>
      <w:r>
        <w:rPr>
          <w:rFonts w:ascii="仿宋_GB2312" w:hAnsi="仿宋_GB2312" w:eastAsia="仿宋_GB2312" w:cs="仿宋_GB2312"/>
          <w:sz w:val="28"/>
          <w:szCs w:val="28"/>
          <w:lang w:val="en-US" w:eastAsia="en-US"/>
        </w:rPr>
        <w:t>须依据《中华人民共和国劳动法》《中华人民共和国劳动合同法》及相关法律法规的规定与投入本项目的服务人员签订劳动合同，并履行对劳动者的法定义务，不得将这些义务转嫁于采购人，采购人与中标人提供服务的劳动者之间不存在劳动合同关系。中标人负责服务人员的人身安全、健康、意外以及劳动争议等所有问题处置，承担所有人事风险责任(包括法律、经济赔偿责任)。（投标时须提供相关说明承诺函并加盖公章）</w:t>
      </w:r>
    </w:p>
    <w:p w14:paraId="473D1261">
      <w:pPr>
        <w:pStyle w:val="3"/>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ascii="仿宋_GB2312" w:hAnsi="仿宋_GB2312" w:eastAsia="仿宋_GB2312" w:cs="仿宋_GB2312"/>
          <w:b/>
          <w:bCs/>
          <w:sz w:val="32"/>
          <w:szCs w:val="32"/>
        </w:rPr>
      </w:pPr>
      <w:bookmarkStart w:id="24" w:name="_Toc443"/>
      <w:bookmarkStart w:id="25" w:name="_Toc20599"/>
      <w:r>
        <w:rPr>
          <w:rFonts w:ascii="仿宋_GB2312" w:hAnsi="仿宋_GB2312" w:eastAsia="仿宋_GB2312" w:cs="仿宋_GB2312"/>
          <w:kern w:val="36"/>
        </w:rPr>
        <w:t>7履约验收要求</w:t>
      </w:r>
      <w:bookmarkEnd w:id="24"/>
    </w:p>
    <w:p w14:paraId="3A7B2681">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26" w:name="_Toc18381"/>
      <w:r>
        <w:rPr>
          <w:rFonts w:ascii="仿宋_GB2312" w:hAnsi="仿宋_GB2312" w:eastAsia="仿宋_GB2312" w:cs="仿宋_GB2312"/>
          <w:i w:val="0"/>
          <w:iCs w:val="0"/>
        </w:rPr>
        <w:t>7.1总体要求</w:t>
      </w:r>
      <w:bookmarkEnd w:id="26"/>
    </w:p>
    <w:tbl>
      <w:tblPr>
        <w:tblStyle w:val="17"/>
        <w:tblW w:w="9070" w:type="dxa"/>
        <w:tblInd w:w="30" w:type="dxa"/>
        <w:tblLayout w:type="fixed"/>
        <w:tblCellMar>
          <w:top w:w="15" w:type="dxa"/>
          <w:left w:w="15" w:type="dxa"/>
          <w:bottom w:w="15" w:type="dxa"/>
          <w:right w:w="15" w:type="dxa"/>
        </w:tblCellMar>
      </w:tblPr>
      <w:tblGrid>
        <w:gridCol w:w="4535"/>
        <w:gridCol w:w="4535"/>
      </w:tblGrid>
      <w:tr w14:paraId="3F116812">
        <w:tblPrEx>
          <w:tblCellMar>
            <w:top w:w="15" w:type="dxa"/>
            <w:left w:w="15" w:type="dxa"/>
            <w:bottom w:w="15" w:type="dxa"/>
            <w:right w:w="15" w:type="dxa"/>
          </w:tblCellMar>
        </w:tblPrEx>
        <w:tc>
          <w:tcPr>
            <w:tcW w:w="4535"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14:paraId="27BC646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4535"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14:paraId="7715DE2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14:paraId="6EB17110">
        <w:tblPrEx>
          <w:tblCellMar>
            <w:top w:w="15" w:type="dxa"/>
            <w:left w:w="15" w:type="dxa"/>
            <w:bottom w:w="15" w:type="dxa"/>
            <w:right w:w="15" w:type="dxa"/>
          </w:tblCellMar>
        </w:tblPrEx>
        <w:tc>
          <w:tcPr>
            <w:tcW w:w="453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7479C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验收</w:t>
            </w:r>
          </w:p>
        </w:tc>
        <w:tc>
          <w:tcPr>
            <w:tcW w:w="453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2C670A">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 xml:space="preserve">采购人根据中标人服务内容及国家和行业的相关标准对中标人完成工作的服务质量、技术指标、服务成果进行验收。采购人对中标人定期进行监督、记录和考核，以作为日常验收依据。中标人以月报的形式汇报日常管理、考核等工作开展情况，以备采购人监督。 </w:t>
            </w:r>
          </w:p>
        </w:tc>
      </w:tr>
    </w:tbl>
    <w:p w14:paraId="7854E07F">
      <w:pPr>
        <w:pStyle w:val="4"/>
        <w:keepNext w:val="0"/>
        <w:keepLines w:val="0"/>
        <w:pageBreakBefore w:val="0"/>
        <w:widowControl/>
        <w:kinsoku/>
        <w:wordWrap/>
        <w:overflowPunct/>
        <w:topLinePunct w:val="0"/>
        <w:autoSpaceDE/>
        <w:autoSpaceDN/>
        <w:bidi w:val="0"/>
        <w:adjustRightInd/>
        <w:snapToGrid/>
        <w:spacing w:before="0" w:after="0" w:line="560" w:lineRule="exact"/>
        <w:ind w:left="0"/>
        <w:rPr>
          <w:rFonts w:ascii="仿宋_GB2312" w:hAnsi="仿宋_GB2312" w:eastAsia="仿宋_GB2312" w:cs="仿宋_GB2312"/>
          <w:b/>
          <w:bCs/>
          <w:sz w:val="28"/>
          <w:szCs w:val="28"/>
        </w:rPr>
      </w:pPr>
      <w:bookmarkStart w:id="27" w:name="_Toc7866"/>
      <w:r>
        <w:rPr>
          <w:rFonts w:ascii="仿宋_GB2312" w:hAnsi="仿宋_GB2312" w:eastAsia="仿宋_GB2312" w:cs="仿宋_GB2312"/>
          <w:i w:val="0"/>
          <w:iCs w:val="0"/>
        </w:rPr>
        <w:t>7.2具体要求</w:t>
      </w:r>
      <w:bookmarkEnd w:id="27"/>
    </w:p>
    <w:p w14:paraId="3101CD15">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一）采购人相关部门在每月底前对中标人当月服务情况进行考核（结合日常监督情况），考核为百分制，按月考核，按年兑现，中标人可根据加减分情况给予服务外包人员相应考核扣罚及奖励。考核得分≥90分，全额拨付当月服务费用；90分＞考核得分≥80分，只拨付当月服务费用的95%；80分＞考核得分≥70分，只拨付当月服务费用的90%；70分＞考核得分≥60分的，只拨付当月服务费用的85%；考核得分＜60分，只拨付当月服务费用的80%，涉及加分、减分项目，中标人需填报《考核评分表》，并提供相关证明材料，经双方确认后执行。（以下《考核评分表》仅供参考，中标后由采购人与中标人按实际情况共同制定）</w:t>
      </w:r>
    </w:p>
    <w:p w14:paraId="75F67110">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（二）中标人一季度内连续两次或一年内累计四次月考核得分＜60 分的视为中标人违约,采购人有权解除合同并追究中标人违约责任。</w:t>
      </w:r>
    </w:p>
    <w:p w14:paraId="6589808D">
      <w:pPr>
        <w:pStyle w:val="22"/>
        <w:keepNext w:val="0"/>
        <w:keepLines w:val="0"/>
        <w:pageBreakBefore w:val="0"/>
        <w:widowControl/>
        <w:kinsoku/>
        <w:wordWrap/>
        <w:overflowPunct/>
        <w:topLinePunct w:val="0"/>
        <w:autoSpaceDE/>
        <w:autoSpaceDN/>
        <w:bidi w:val="0"/>
        <w:adjustRightInd/>
        <w:snapToGrid/>
        <w:spacing w:line="240" w:lineRule="auto"/>
        <w:ind w:left="0" w:firstLine="3654"/>
        <w:rPr>
          <w:rFonts w:ascii="Times New Roman" w:hAnsi="Times New Roman" w:eastAsia="Times New Roman" w:cs="Times New Roman"/>
        </w:rPr>
      </w:pPr>
      <w:r>
        <w:rPr>
          <w:rFonts w:ascii="宋体" w:hAnsi="宋体" w:eastAsia="宋体" w:cs="宋体"/>
          <w:b/>
          <w:bCs/>
          <w:sz w:val="28"/>
          <w:szCs w:val="28"/>
        </w:rPr>
        <w:t>考核评分表</w:t>
      </w:r>
    </w:p>
    <w:tbl>
      <w:tblPr>
        <w:tblStyle w:val="26"/>
        <w:tblW w:w="8843" w:type="dxa"/>
        <w:tblCellSpacing w:w="0" w:type="dxa"/>
        <w:tblInd w:w="224" w:type="dxa"/>
        <w:tblLayout w:type="fixed"/>
        <w:tblCellMar>
          <w:top w:w="15" w:type="dxa"/>
          <w:left w:w="15" w:type="dxa"/>
          <w:bottom w:w="15" w:type="dxa"/>
          <w:right w:w="15" w:type="dxa"/>
        </w:tblCellMar>
      </w:tblPr>
      <w:tblGrid>
        <w:gridCol w:w="1390"/>
        <w:gridCol w:w="5862"/>
        <w:gridCol w:w="825"/>
        <w:gridCol w:w="766"/>
      </w:tblGrid>
      <w:tr w14:paraId="3698EF5D">
        <w:tblPrEx>
          <w:tblCellMar>
            <w:top w:w="15" w:type="dxa"/>
            <w:left w:w="15" w:type="dxa"/>
            <w:bottom w:w="15" w:type="dxa"/>
            <w:right w:w="15" w:type="dxa"/>
          </w:tblCellMar>
        </w:tblPrEx>
        <w:trPr>
          <w:trHeight w:val="496" w:hRule="atLeast"/>
          <w:tblCellSpacing w:w="0" w:type="dxa"/>
        </w:trPr>
        <w:tc>
          <w:tcPr>
            <w:tcW w:w="1390"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14:paraId="5508F0C9">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bCs/>
                <w:i w:val="0"/>
                <w:iCs w:val="0"/>
                <w:smallCaps w:val="0"/>
                <w:color w:val="000000"/>
                <w:sz w:val="21"/>
                <w:szCs w:val="21"/>
              </w:rPr>
              <w:t>考核项目</w:t>
            </w:r>
          </w:p>
        </w:tc>
        <w:tc>
          <w:tcPr>
            <w:tcW w:w="5862"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14:paraId="4F3C6445">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bCs/>
                <w:i w:val="0"/>
                <w:iCs w:val="0"/>
                <w:smallCaps w:val="0"/>
                <w:color w:val="000000"/>
                <w:sz w:val="21"/>
                <w:szCs w:val="21"/>
              </w:rPr>
              <w:t>评分标准</w:t>
            </w:r>
          </w:p>
        </w:tc>
        <w:tc>
          <w:tcPr>
            <w:tcW w:w="825"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14:paraId="1C12FF20">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bCs/>
                <w:i w:val="0"/>
                <w:iCs w:val="0"/>
                <w:smallCaps w:val="0"/>
                <w:color w:val="000000"/>
                <w:sz w:val="21"/>
                <w:szCs w:val="21"/>
              </w:rPr>
              <w:t>细项分值</w:t>
            </w:r>
          </w:p>
        </w:tc>
        <w:tc>
          <w:tcPr>
            <w:tcW w:w="766"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14:paraId="4BEFE5ED">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bCs/>
                <w:i w:val="0"/>
                <w:iCs w:val="0"/>
                <w:smallCaps w:val="0"/>
                <w:color w:val="000000"/>
                <w:sz w:val="21"/>
                <w:szCs w:val="21"/>
              </w:rPr>
              <w:t>得分</w:t>
            </w:r>
          </w:p>
        </w:tc>
      </w:tr>
      <w:tr w14:paraId="192EF850">
        <w:tblPrEx>
          <w:tblCellMar>
            <w:top w:w="15" w:type="dxa"/>
            <w:left w:w="15" w:type="dxa"/>
            <w:bottom w:w="15" w:type="dxa"/>
            <w:right w:w="15" w:type="dxa"/>
          </w:tblCellMar>
        </w:tblPrEx>
        <w:trPr>
          <w:trHeight w:val="90" w:hRule="atLeast"/>
          <w:tblCellSpacing w:w="0" w:type="dxa"/>
        </w:trPr>
        <w:tc>
          <w:tcPr>
            <w:tcW w:w="1390"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14:paraId="4FE57C5C">
            <w:pPr>
              <w:pStyle w:val="22"/>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p w14:paraId="55E17193">
            <w:pPr>
              <w:pStyle w:val="22"/>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p w14:paraId="05A889AA">
            <w:pPr>
              <w:pStyle w:val="22"/>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p w14:paraId="5A34D815">
            <w:pPr>
              <w:pStyle w:val="22"/>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p w14:paraId="7725FC6A">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基础制度执行情况</w:t>
            </w:r>
          </w:p>
          <w:p w14:paraId="1111B4F7">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10</w:t>
            </w:r>
            <w:r>
              <w:rPr>
                <w:rFonts w:hint="eastAsia" w:ascii="仿宋_GB2312" w:hAnsi="仿宋_GB2312" w:eastAsia="仿宋_GB2312" w:cs="仿宋_GB2312"/>
                <w:b w:val="0"/>
                <w:bCs w:val="0"/>
                <w:i w:val="0"/>
                <w:iCs w:val="0"/>
                <w:smallCaps w:val="0"/>
                <w:color w:val="000000"/>
                <w:sz w:val="21"/>
                <w:szCs w:val="21"/>
              </w:rPr>
              <w:t>分）</w:t>
            </w:r>
          </w:p>
          <w:p w14:paraId="4A97D847">
            <w:pPr>
              <w:pStyle w:val="23"/>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469B16F5">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岗前进行税收政策知识、沟通技巧、保密观、廉政观、涉及的全国统一规范电子税务局网页端及电子税务局APP的操作等内容的培训；按月组织服务人员开展税费业务知识考核，同时采购人有权要求中标人对考核不达标人员进行更换，中标人未落实到位的，发生一起扣2分，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1E2AF64A">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44890EED">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2</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56431B69">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56A313DB">
        <w:tblPrEx>
          <w:tblCellMar>
            <w:top w:w="15" w:type="dxa"/>
            <w:left w:w="15" w:type="dxa"/>
            <w:bottom w:w="15" w:type="dxa"/>
            <w:right w:w="15" w:type="dxa"/>
          </w:tblCellMar>
        </w:tblPrEx>
        <w:trPr>
          <w:trHeight w:val="899" w:hRule="atLeast"/>
          <w:tblCellSpacing w:w="0" w:type="dxa"/>
        </w:trPr>
        <w:tc>
          <w:tcPr>
            <w:tcW w:w="1390" w:type="dxa"/>
            <w:vMerge w:val="continue"/>
            <w:tcBorders>
              <w:left w:val="single" w:color="000000" w:sz="8" w:space="0"/>
              <w:right w:val="single" w:color="000000" w:sz="8" w:space="0"/>
            </w:tcBorders>
            <w:vAlign w:val="center"/>
          </w:tcPr>
          <w:p w14:paraId="2C73FF9D">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bCs/>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1275634F">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工作期间不得使用电脑违规外连或违反采购人其他信息安全管理规定，如有违反，每次扣4分，同时采购人有权要求中标人调换违规人员，中标人未按照规定在指定时间内调换的，每次扣4分，扣完为止。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37AF6497">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725C6867">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4</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40426B88">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041E0608">
        <w:tblPrEx>
          <w:tblCellMar>
            <w:top w:w="15" w:type="dxa"/>
            <w:left w:w="15" w:type="dxa"/>
            <w:bottom w:w="15" w:type="dxa"/>
            <w:right w:w="15" w:type="dxa"/>
          </w:tblCellMar>
        </w:tblPrEx>
        <w:trPr>
          <w:trHeight w:val="1026" w:hRule="atLeast"/>
          <w:tblCellSpacing w:w="0" w:type="dxa"/>
        </w:trPr>
        <w:tc>
          <w:tcPr>
            <w:tcW w:w="1390" w:type="dxa"/>
            <w:vMerge w:val="continue"/>
            <w:tcBorders>
              <w:left w:val="single" w:color="000000" w:sz="8" w:space="0"/>
              <w:bottom w:val="single" w:color="000000" w:sz="8" w:space="0"/>
              <w:right w:val="single" w:color="000000" w:sz="8" w:space="0"/>
            </w:tcBorders>
            <w:vAlign w:val="center"/>
          </w:tcPr>
          <w:p w14:paraId="4E8AC418">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1E255392">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服务人员应具备突发事件应急处理能力，按照《国家税务总局</w:t>
            </w:r>
            <w:r>
              <w:rPr>
                <w:rFonts w:hint="eastAsia" w:ascii="仿宋_GB2312" w:hAnsi="仿宋_GB2312" w:eastAsia="仿宋_GB2312" w:cs="仿宋_GB2312"/>
                <w:b w:val="0"/>
                <w:bCs w:val="0"/>
                <w:i w:val="0"/>
                <w:iCs w:val="0"/>
                <w:smallCaps w:val="0"/>
                <w:color w:val="000000"/>
                <w:sz w:val="21"/>
                <w:szCs w:val="21"/>
                <w:lang w:eastAsia="zh-CN"/>
              </w:rPr>
              <w:t>五家渠</w:t>
            </w:r>
            <w:r>
              <w:rPr>
                <w:rFonts w:hint="eastAsia" w:ascii="仿宋_GB2312" w:hAnsi="仿宋_GB2312" w:eastAsia="仿宋_GB2312" w:cs="仿宋_GB2312"/>
                <w:b w:val="0"/>
                <w:bCs w:val="0"/>
                <w:i w:val="0"/>
                <w:iCs w:val="0"/>
                <w:smallCaps w:val="0"/>
                <w:color w:val="000000"/>
                <w:sz w:val="21"/>
                <w:szCs w:val="21"/>
              </w:rPr>
              <w:t>税务局办税服务厅应急预案》妥善处理突发事件。出现一起处理不当扣</w:t>
            </w:r>
            <w:r>
              <w:rPr>
                <w:rFonts w:hint="eastAsia" w:ascii="仿宋_GB2312" w:hAnsi="仿宋_GB2312" w:eastAsia="仿宋_GB2312" w:cs="仿宋_GB2312"/>
                <w:b w:val="0"/>
                <w:bCs w:val="0"/>
                <w:i w:val="0"/>
                <w:iCs w:val="0"/>
                <w:smallCaps w:val="0"/>
                <w:color w:val="000000"/>
                <w:sz w:val="21"/>
                <w:szCs w:val="21"/>
                <w:lang w:val="en-US" w:eastAsia="zh-CN"/>
              </w:rPr>
              <w:t>2</w:t>
            </w:r>
            <w:r>
              <w:rPr>
                <w:rFonts w:hint="eastAsia" w:ascii="仿宋_GB2312" w:hAnsi="仿宋_GB2312" w:eastAsia="仿宋_GB2312" w:cs="仿宋_GB2312"/>
                <w:b w:val="0"/>
                <w:bCs w:val="0"/>
                <w:i w:val="0"/>
                <w:iCs w:val="0"/>
                <w:smallCaps w:val="0"/>
                <w:color w:val="000000"/>
                <w:sz w:val="21"/>
                <w:szCs w:val="21"/>
              </w:rPr>
              <w:t>分（按采购人要求处置的除外），造成严重影响的，扣</w:t>
            </w:r>
            <w:r>
              <w:rPr>
                <w:rFonts w:hint="eastAsia" w:ascii="仿宋_GB2312" w:hAnsi="仿宋_GB2312" w:eastAsia="仿宋_GB2312" w:cs="仿宋_GB2312"/>
                <w:b w:val="0"/>
                <w:bCs w:val="0"/>
                <w:i w:val="0"/>
                <w:iCs w:val="0"/>
                <w:smallCaps w:val="0"/>
                <w:color w:val="000000"/>
                <w:sz w:val="21"/>
                <w:szCs w:val="21"/>
                <w:lang w:val="en-US" w:eastAsia="zh-CN"/>
              </w:rPr>
              <w:t>4</w:t>
            </w:r>
            <w:r>
              <w:rPr>
                <w:rFonts w:hint="eastAsia" w:ascii="仿宋_GB2312" w:hAnsi="仿宋_GB2312" w:eastAsia="仿宋_GB2312" w:cs="仿宋_GB2312"/>
                <w:b w:val="0"/>
                <w:bCs w:val="0"/>
                <w:i w:val="0"/>
                <w:iCs w:val="0"/>
                <w:smallCaps w:val="0"/>
                <w:color w:val="000000"/>
                <w:sz w:val="21"/>
                <w:szCs w:val="21"/>
              </w:rPr>
              <w:t>分，扣完为止；处理出色且无事件起因责任的，加2分，最多加4分。</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6D81C1C0">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5DC32598">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00DE1A21">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4</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75C28D37">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7DEC2439">
        <w:tblPrEx>
          <w:tblCellMar>
            <w:top w:w="15" w:type="dxa"/>
            <w:left w:w="15" w:type="dxa"/>
            <w:bottom w:w="15" w:type="dxa"/>
            <w:right w:w="15" w:type="dxa"/>
          </w:tblCellMar>
        </w:tblPrEx>
        <w:trPr>
          <w:trHeight w:val="923" w:hRule="atLeast"/>
          <w:tblCellSpacing w:w="0" w:type="dxa"/>
        </w:trPr>
        <w:tc>
          <w:tcPr>
            <w:tcW w:w="1390"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14:paraId="2B50847A">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工作业绩（</w:t>
            </w:r>
            <w:r>
              <w:rPr>
                <w:rFonts w:hint="eastAsia" w:ascii="仿宋_GB2312" w:hAnsi="仿宋_GB2312" w:eastAsia="仿宋_GB2312" w:cs="仿宋_GB2312"/>
                <w:b w:val="0"/>
                <w:bCs w:val="0"/>
                <w:i w:val="0"/>
                <w:iCs w:val="0"/>
                <w:smallCaps w:val="0"/>
                <w:color w:val="000000"/>
                <w:sz w:val="21"/>
                <w:szCs w:val="21"/>
                <w:lang w:val="en-US" w:eastAsia="zh-CN"/>
              </w:rPr>
              <w:t>50</w:t>
            </w:r>
            <w:r>
              <w:rPr>
                <w:rFonts w:hint="eastAsia" w:ascii="仿宋_GB2312" w:hAnsi="仿宋_GB2312" w:eastAsia="仿宋_GB2312" w:cs="仿宋_GB2312"/>
                <w:b w:val="0"/>
                <w:bCs w:val="0"/>
                <w:i w:val="0"/>
                <w:iCs w:val="0"/>
                <w:smallCaps w:val="0"/>
                <w:color w:val="000000"/>
                <w:sz w:val="21"/>
                <w:szCs w:val="21"/>
              </w:rPr>
              <w:t>分）</w:t>
            </w: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5AA225CD">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服务人员应严格按照工作流程和规章制度办理业务，保证受理资料的完整性、录入操作系统的准确性。每发生一起受理材料不准确、不完整的，每户次扣1分；发生业务办理差错的，每户次扣</w:t>
            </w:r>
            <w:r>
              <w:rPr>
                <w:rFonts w:hint="eastAsia" w:ascii="仿宋_GB2312" w:hAnsi="仿宋_GB2312" w:eastAsia="仿宋_GB2312" w:cs="仿宋_GB2312"/>
                <w:b w:val="0"/>
                <w:bCs w:val="0"/>
                <w:i w:val="0"/>
                <w:iCs w:val="0"/>
                <w:smallCaps w:val="0"/>
                <w:color w:val="000000"/>
                <w:sz w:val="21"/>
                <w:szCs w:val="21"/>
                <w:lang w:val="en-US" w:eastAsia="zh-CN"/>
              </w:rPr>
              <w:t>1</w:t>
            </w:r>
            <w:r>
              <w:rPr>
                <w:rFonts w:hint="eastAsia" w:ascii="仿宋_GB2312" w:hAnsi="仿宋_GB2312" w:eastAsia="仿宋_GB2312" w:cs="仿宋_GB2312"/>
                <w:b w:val="0"/>
                <w:bCs w:val="0"/>
                <w:i w:val="0"/>
                <w:iCs w:val="0"/>
                <w:smallCaps w:val="0"/>
                <w:color w:val="000000"/>
                <w:sz w:val="21"/>
                <w:szCs w:val="21"/>
              </w:rPr>
              <w:t>分，情节严重造成重大影响的，每户次扣5分；发生违规操作的，每户次扣5分，情节严重造成重大影响的，每户次扣10分；严格按照要求进行采集、保管、传递相关资料并归档，不得出现失误，未按规定时间传递资料，每户次扣</w:t>
            </w:r>
            <w:r>
              <w:rPr>
                <w:rFonts w:hint="eastAsia" w:ascii="仿宋_GB2312" w:hAnsi="仿宋_GB2312" w:eastAsia="仿宋_GB2312" w:cs="仿宋_GB2312"/>
                <w:b w:val="0"/>
                <w:bCs w:val="0"/>
                <w:i w:val="0"/>
                <w:iCs w:val="0"/>
                <w:smallCaps w:val="0"/>
                <w:color w:val="000000"/>
                <w:sz w:val="21"/>
                <w:szCs w:val="21"/>
                <w:lang w:val="en-US" w:eastAsia="zh-CN"/>
              </w:rPr>
              <w:t>2</w:t>
            </w:r>
            <w:r>
              <w:rPr>
                <w:rFonts w:hint="eastAsia" w:ascii="仿宋_GB2312" w:hAnsi="仿宋_GB2312" w:eastAsia="仿宋_GB2312" w:cs="仿宋_GB2312"/>
                <w:b w:val="0"/>
                <w:bCs w:val="0"/>
                <w:i w:val="0"/>
                <w:iCs w:val="0"/>
                <w:smallCaps w:val="0"/>
                <w:color w:val="000000"/>
                <w:sz w:val="21"/>
                <w:szCs w:val="21"/>
              </w:rPr>
              <w:t>分；传递手续不完善而造成责任不明的，每户次扣2分；资料在传递前发生遗失、损毁的，每户次扣5分，扣完为止。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5B930D3F">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50E14A60">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23C0A9F1">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2968DB0E">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20</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760DEA04">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23DBB309">
        <w:tblPrEx>
          <w:tblCellMar>
            <w:top w:w="15" w:type="dxa"/>
            <w:left w:w="15" w:type="dxa"/>
            <w:bottom w:w="15" w:type="dxa"/>
            <w:right w:w="15" w:type="dxa"/>
          </w:tblCellMar>
        </w:tblPrEx>
        <w:trPr>
          <w:trHeight w:val="725" w:hRule="atLeast"/>
          <w:tblCellSpacing w:w="0" w:type="dxa"/>
        </w:trPr>
        <w:tc>
          <w:tcPr>
            <w:tcW w:w="1390" w:type="dxa"/>
            <w:vMerge w:val="continue"/>
            <w:tcBorders>
              <w:left w:val="single" w:color="000000" w:sz="8" w:space="0"/>
              <w:right w:val="single" w:color="000000" w:sz="8" w:space="0"/>
            </w:tcBorders>
            <w:vAlign w:val="center"/>
          </w:tcPr>
          <w:p w14:paraId="21F95A0F">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4A976B84">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中标单位必须压实保密责任，服务人员必须严格遵守保密制度，严守工作秘密。每发生一起泄密扣10分，同时采购人有权要求中标人调换违规人员，中标人未按照规定在指定时间内调换的，每次扣10分，扣分无下限。</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67838D76">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7D091399">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10</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35EE835C">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78EF010C">
        <w:tblPrEx>
          <w:tblCellMar>
            <w:top w:w="15" w:type="dxa"/>
            <w:left w:w="15" w:type="dxa"/>
            <w:bottom w:w="15" w:type="dxa"/>
            <w:right w:w="15" w:type="dxa"/>
          </w:tblCellMar>
        </w:tblPrEx>
        <w:trPr>
          <w:trHeight w:val="749" w:hRule="atLeast"/>
          <w:tblCellSpacing w:w="0" w:type="dxa"/>
        </w:trPr>
        <w:tc>
          <w:tcPr>
            <w:tcW w:w="1390" w:type="dxa"/>
            <w:vMerge w:val="continue"/>
            <w:tcBorders>
              <w:left w:val="single" w:color="000000" w:sz="8" w:space="0"/>
              <w:bottom w:val="single" w:color="000000" w:sz="8" w:space="0"/>
              <w:right w:val="single" w:color="000000" w:sz="8" w:space="0"/>
            </w:tcBorders>
            <w:vAlign w:val="center"/>
          </w:tcPr>
          <w:p w14:paraId="7820D55E">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19F8FB44">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因工作失误或违反各项规章制度导致采购人被上级部门通报或扣分的，每发生一起扣5分。因服务人员责任导致采购人被上级相关部门点名通报批评，或被市级以上新闻媒体作负面典型曝光的，发生一起扣10分，扣分无下限。</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5BDEF917">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13A91273">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20</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3C2B9EE1">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61E3EB15">
        <w:tblPrEx>
          <w:tblCellMar>
            <w:top w:w="15" w:type="dxa"/>
            <w:left w:w="15" w:type="dxa"/>
            <w:bottom w:w="15" w:type="dxa"/>
            <w:right w:w="15" w:type="dxa"/>
          </w:tblCellMar>
        </w:tblPrEx>
        <w:trPr>
          <w:trHeight w:val="1550" w:hRule="atLeast"/>
          <w:tblCellSpacing w:w="0" w:type="dxa"/>
        </w:trPr>
        <w:tc>
          <w:tcPr>
            <w:tcW w:w="1390"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14:paraId="7FC087E7">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行为规范和投诉举报</w:t>
            </w:r>
          </w:p>
          <w:p w14:paraId="2AA8D0EB">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35</w:t>
            </w:r>
            <w:r>
              <w:rPr>
                <w:rFonts w:hint="eastAsia" w:ascii="仿宋_GB2312" w:hAnsi="仿宋_GB2312" w:eastAsia="仿宋_GB2312" w:cs="仿宋_GB2312"/>
                <w:b w:val="0"/>
                <w:bCs w:val="0"/>
                <w:i w:val="0"/>
                <w:iCs w:val="0"/>
                <w:smallCaps w:val="0"/>
                <w:color w:val="000000"/>
                <w:sz w:val="21"/>
                <w:szCs w:val="21"/>
              </w:rPr>
              <w:t>分）</w:t>
            </w:r>
          </w:p>
        </w:tc>
        <w:tc>
          <w:tcPr>
            <w:tcW w:w="5862" w:type="dxa"/>
            <w:tcBorders>
              <w:right w:val="single" w:color="000000" w:sz="8" w:space="0"/>
            </w:tcBorders>
            <w:tcMar>
              <w:top w:w="0" w:type="dxa"/>
              <w:left w:w="108" w:type="dxa"/>
              <w:bottom w:w="0" w:type="dxa"/>
              <w:right w:w="118" w:type="dxa"/>
            </w:tcMar>
            <w:vAlign w:val="center"/>
          </w:tcPr>
          <w:p w14:paraId="43928B2D">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中标人应压实考勤考核责任，服务人员迟到、早退，发现一次扣0.5分/人；旷工半天，发现一次扣1分/人；旷工一天，发现一次扣2分/人，工作时间内无故脱离工作岗位20分钟，发现一次扣1分/人，扣完为止。</w:t>
            </w:r>
          </w:p>
        </w:tc>
        <w:tc>
          <w:tcPr>
            <w:tcW w:w="825" w:type="dxa"/>
            <w:tcBorders>
              <w:right w:val="single" w:color="000000" w:sz="8" w:space="0"/>
            </w:tcBorders>
            <w:tcMar>
              <w:top w:w="0" w:type="dxa"/>
              <w:left w:w="108" w:type="dxa"/>
              <w:bottom w:w="0" w:type="dxa"/>
              <w:right w:w="118" w:type="dxa"/>
            </w:tcMar>
            <w:vAlign w:val="top"/>
          </w:tcPr>
          <w:p w14:paraId="5D464B59">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5B7F2839">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6A74DDF4">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3</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4137FC0B">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438BDEAF">
        <w:tblPrEx>
          <w:tblCellMar>
            <w:top w:w="15" w:type="dxa"/>
            <w:left w:w="15" w:type="dxa"/>
            <w:bottom w:w="15" w:type="dxa"/>
            <w:right w:w="15" w:type="dxa"/>
          </w:tblCellMar>
        </w:tblPrEx>
        <w:trPr>
          <w:trHeight w:val="602" w:hRule="atLeast"/>
          <w:tblCellSpacing w:w="0" w:type="dxa"/>
        </w:trPr>
        <w:tc>
          <w:tcPr>
            <w:tcW w:w="1390" w:type="dxa"/>
            <w:vMerge w:val="continue"/>
            <w:tcBorders>
              <w:left w:val="single" w:color="000000" w:sz="8" w:space="0"/>
              <w:right w:val="single" w:color="000000" w:sz="8" w:space="0"/>
            </w:tcBorders>
            <w:vAlign w:val="center"/>
          </w:tcPr>
          <w:p w14:paraId="27A4B483">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14:paraId="53A5E642">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工作时间因上卫生间、接水、咨询业务等合理原因离开岗位，未在窗口摆放暂停服务提示牌的，发现一次扣1分/人，扣完为止。</w:t>
            </w:r>
          </w:p>
        </w:tc>
        <w:tc>
          <w:tcPr>
            <w:tcW w:w="825" w:type="dxa"/>
            <w:tcBorders>
              <w:top w:val="single" w:color="000000" w:sz="8" w:space="0"/>
              <w:bottom w:val="single" w:color="000000" w:sz="8" w:space="0"/>
              <w:right w:val="single" w:color="000000" w:sz="8" w:space="0"/>
            </w:tcBorders>
            <w:tcMar>
              <w:top w:w="0" w:type="dxa"/>
              <w:left w:w="108" w:type="dxa"/>
              <w:bottom w:w="0" w:type="dxa"/>
              <w:right w:w="118" w:type="dxa"/>
            </w:tcMar>
            <w:vAlign w:val="top"/>
          </w:tcPr>
          <w:p w14:paraId="04A87274">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2</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7913BE6E">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448408B7">
        <w:tblPrEx>
          <w:tblCellMar>
            <w:top w:w="15" w:type="dxa"/>
            <w:left w:w="15" w:type="dxa"/>
            <w:bottom w:w="15" w:type="dxa"/>
            <w:right w:w="15" w:type="dxa"/>
          </w:tblCellMar>
        </w:tblPrEx>
        <w:trPr>
          <w:trHeight w:val="947" w:hRule="atLeast"/>
          <w:tblCellSpacing w:w="0" w:type="dxa"/>
        </w:trPr>
        <w:tc>
          <w:tcPr>
            <w:tcW w:w="1390" w:type="dxa"/>
            <w:vMerge w:val="continue"/>
            <w:tcBorders>
              <w:left w:val="single" w:color="000000" w:sz="8" w:space="0"/>
              <w:right w:val="single" w:color="000000" w:sz="8" w:space="0"/>
            </w:tcBorders>
            <w:vAlign w:val="center"/>
          </w:tcPr>
          <w:p w14:paraId="1A36979D">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38156125">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服务人员人员不得消极怠工，上班到岗后，在有纳税人缴费人等待的情况下，5分钟之内未叫号受理业务,发现一次扣2分；未落实延时服务制度的发现一次扣2分，扣完为止。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24C7DE9E">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27921D46">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4</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2EAF99AE">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68D1DAF7">
        <w:tblPrEx>
          <w:tblCellMar>
            <w:top w:w="15" w:type="dxa"/>
            <w:left w:w="15" w:type="dxa"/>
            <w:bottom w:w="15" w:type="dxa"/>
            <w:right w:w="15" w:type="dxa"/>
          </w:tblCellMar>
        </w:tblPrEx>
        <w:trPr>
          <w:trHeight w:val="602" w:hRule="atLeast"/>
          <w:tblCellSpacing w:w="0" w:type="dxa"/>
        </w:trPr>
        <w:tc>
          <w:tcPr>
            <w:tcW w:w="1390" w:type="dxa"/>
            <w:vMerge w:val="continue"/>
            <w:tcBorders>
              <w:left w:val="single" w:color="000000" w:sz="8" w:space="0"/>
              <w:right w:val="single" w:color="000000" w:sz="8" w:space="0"/>
            </w:tcBorders>
            <w:vAlign w:val="center"/>
          </w:tcPr>
          <w:p w14:paraId="7C3B71B5">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7EE09A0B">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工作时间内进行与工作无关事项，例如吃东西、睡觉、干私活、玩手机、戴耳机、抽烟、串岗、聊天等行为，每发现一起扣1分，扣完为止。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185F7880">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43649363">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2</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10686D6C">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7C23C4A1">
        <w:tblPrEx>
          <w:tblCellMar>
            <w:top w:w="15" w:type="dxa"/>
            <w:left w:w="15" w:type="dxa"/>
            <w:bottom w:w="15" w:type="dxa"/>
            <w:right w:w="15" w:type="dxa"/>
          </w:tblCellMar>
        </w:tblPrEx>
        <w:trPr>
          <w:trHeight w:val="131" w:hRule="atLeast"/>
          <w:tblCellSpacing w:w="0" w:type="dxa"/>
        </w:trPr>
        <w:tc>
          <w:tcPr>
            <w:tcW w:w="1390" w:type="dxa"/>
            <w:vMerge w:val="continue"/>
            <w:tcBorders>
              <w:left w:val="single" w:color="000000" w:sz="8" w:space="0"/>
              <w:right w:val="single" w:color="000000" w:sz="8" w:space="0"/>
            </w:tcBorders>
            <w:vAlign w:val="center"/>
          </w:tcPr>
          <w:p w14:paraId="6C10E0D2">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023079A3">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服务人员工作期间不得饮酒，每发现一次扣</w:t>
            </w:r>
            <w:r>
              <w:rPr>
                <w:rFonts w:hint="eastAsia" w:ascii="仿宋_GB2312" w:hAnsi="仿宋_GB2312" w:eastAsia="仿宋_GB2312" w:cs="仿宋_GB2312"/>
                <w:b w:val="0"/>
                <w:bCs w:val="0"/>
                <w:i w:val="0"/>
                <w:iCs w:val="0"/>
                <w:smallCaps w:val="0"/>
                <w:color w:val="000000"/>
                <w:sz w:val="21"/>
                <w:szCs w:val="21"/>
                <w:lang w:val="en-US" w:eastAsia="zh-CN"/>
              </w:rPr>
              <w:t>2</w:t>
            </w:r>
            <w:r>
              <w:rPr>
                <w:rFonts w:hint="eastAsia" w:ascii="仿宋_GB2312" w:hAnsi="仿宋_GB2312" w:eastAsia="仿宋_GB2312" w:cs="仿宋_GB2312"/>
                <w:b w:val="0"/>
                <w:bCs w:val="0"/>
                <w:i w:val="0"/>
                <w:iCs w:val="0"/>
                <w:smallCaps w:val="0"/>
                <w:color w:val="000000"/>
                <w:sz w:val="21"/>
                <w:szCs w:val="21"/>
              </w:rPr>
              <w:t>分，中标人必须调换违规人员，中标人未按照规定在指定时间内调换的，加扣4分，扣分无下限。</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764023C0">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21FB5241">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4</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55C05B80">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01EA29C2">
        <w:tblPrEx>
          <w:tblCellMar>
            <w:top w:w="15" w:type="dxa"/>
            <w:left w:w="15" w:type="dxa"/>
            <w:bottom w:w="15" w:type="dxa"/>
            <w:right w:w="15" w:type="dxa"/>
          </w:tblCellMar>
        </w:tblPrEx>
        <w:trPr>
          <w:trHeight w:val="635" w:hRule="atLeast"/>
          <w:tblCellSpacing w:w="0" w:type="dxa"/>
        </w:trPr>
        <w:tc>
          <w:tcPr>
            <w:tcW w:w="1390" w:type="dxa"/>
            <w:vMerge w:val="continue"/>
            <w:tcBorders>
              <w:left w:val="single" w:color="000000" w:sz="8" w:space="0"/>
              <w:right w:val="single" w:color="000000" w:sz="8" w:space="0"/>
            </w:tcBorders>
            <w:vAlign w:val="center"/>
          </w:tcPr>
          <w:p w14:paraId="38BFBD5C">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723C0BC1">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服务人员未按规定要求着装上岗，仪容仪表不端正的，发现一次扣1分/人，扣完为止。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072087B3">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2</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68343F07">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22DE1A3C">
        <w:tblPrEx>
          <w:tblCellMar>
            <w:top w:w="15" w:type="dxa"/>
            <w:left w:w="15" w:type="dxa"/>
            <w:bottom w:w="15" w:type="dxa"/>
            <w:right w:w="15" w:type="dxa"/>
          </w:tblCellMar>
        </w:tblPrEx>
        <w:trPr>
          <w:trHeight w:val="285" w:hRule="atLeast"/>
          <w:tblCellSpacing w:w="0" w:type="dxa"/>
        </w:trPr>
        <w:tc>
          <w:tcPr>
            <w:tcW w:w="1390" w:type="dxa"/>
            <w:vMerge w:val="continue"/>
            <w:tcBorders>
              <w:left w:val="single" w:color="000000" w:sz="8" w:space="0"/>
              <w:right w:val="single" w:color="000000" w:sz="8" w:space="0"/>
            </w:tcBorders>
            <w:vAlign w:val="center"/>
          </w:tcPr>
          <w:p w14:paraId="3C63BB79">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7BB4A6FF">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服务人员未按要求落实首问责任制、限时办结制度、预约服务制度的、一次性告知制度、咨询管理制度的，发现一次扣1分/人，扣完为止。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685356A7">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34878631">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2</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494D7B8D">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6DA9EF28">
        <w:tblPrEx>
          <w:tblCellMar>
            <w:top w:w="15" w:type="dxa"/>
            <w:left w:w="15" w:type="dxa"/>
            <w:bottom w:w="15" w:type="dxa"/>
            <w:right w:w="15" w:type="dxa"/>
          </w:tblCellMar>
        </w:tblPrEx>
        <w:trPr>
          <w:trHeight w:val="558" w:hRule="atLeast"/>
          <w:tblCellSpacing w:w="0" w:type="dxa"/>
        </w:trPr>
        <w:tc>
          <w:tcPr>
            <w:tcW w:w="1390" w:type="dxa"/>
            <w:vMerge w:val="continue"/>
            <w:tcBorders>
              <w:left w:val="single" w:color="000000" w:sz="8" w:space="0"/>
              <w:right w:val="single" w:color="000000" w:sz="8" w:space="0"/>
            </w:tcBorders>
            <w:vAlign w:val="center"/>
          </w:tcPr>
          <w:p w14:paraId="0B1E41CB">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1E25F1A6">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服务人员与纳税人缴费人发生争执，经调查确属服务人员责任的，发生一次扣2分/人，扣完为止。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72D69F7D">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669D079D">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4</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759C07D1">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2E43F6B7">
        <w:tblPrEx>
          <w:tblCellMar>
            <w:top w:w="15" w:type="dxa"/>
            <w:left w:w="15" w:type="dxa"/>
            <w:bottom w:w="15" w:type="dxa"/>
            <w:right w:w="15" w:type="dxa"/>
          </w:tblCellMar>
        </w:tblPrEx>
        <w:trPr>
          <w:trHeight w:val="985" w:hRule="atLeast"/>
          <w:tblCellSpacing w:w="0" w:type="dxa"/>
        </w:trPr>
        <w:tc>
          <w:tcPr>
            <w:tcW w:w="1390" w:type="dxa"/>
            <w:vMerge w:val="continue"/>
            <w:tcBorders>
              <w:left w:val="single" w:color="000000" w:sz="8" w:space="0"/>
              <w:right w:val="single" w:color="000000" w:sz="8" w:space="0"/>
            </w:tcBorders>
            <w:vAlign w:val="center"/>
          </w:tcPr>
          <w:p w14:paraId="0716791D">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79C49BD6">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在与纳税人缴费人交流时，应遵守相关制度规定，使用文明用语，注意服务言行，不得与纳税人缴费人发生矛盾冲突，未使用文明用语，每发现一次扣1分/人，未使用文明用语而被纳税人缴费人投诉，经查证情况属实的，每次扣2分/人，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3E49BF72">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p w14:paraId="2DF8601B">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4</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0AD9BA01">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718AB447">
        <w:tblPrEx>
          <w:tblCellMar>
            <w:top w:w="15" w:type="dxa"/>
            <w:left w:w="15" w:type="dxa"/>
            <w:bottom w:w="15" w:type="dxa"/>
            <w:right w:w="15" w:type="dxa"/>
          </w:tblCellMar>
        </w:tblPrEx>
        <w:trPr>
          <w:trHeight w:val="334" w:hRule="atLeast"/>
          <w:tblCellSpacing w:w="0" w:type="dxa"/>
        </w:trPr>
        <w:tc>
          <w:tcPr>
            <w:tcW w:w="1390" w:type="dxa"/>
            <w:vMerge w:val="continue"/>
            <w:tcBorders>
              <w:left w:val="single" w:color="000000" w:sz="8" w:space="0"/>
              <w:right w:val="single" w:color="000000" w:sz="8" w:space="0"/>
            </w:tcBorders>
            <w:vAlign w:val="center"/>
          </w:tcPr>
          <w:p w14:paraId="16DB60C7">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5F6F1AF4">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服务人员应保持办公环境的干净整洁，下班后未对桌面物品进行整理，未倒垃圾的，发现一次扣1分/人，扣完为止。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2B1BEF93">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2</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5E1A3A6C">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3257F445">
        <w:tblPrEx>
          <w:tblCellMar>
            <w:top w:w="15" w:type="dxa"/>
            <w:left w:w="15" w:type="dxa"/>
            <w:bottom w:w="15" w:type="dxa"/>
            <w:right w:w="15" w:type="dxa"/>
          </w:tblCellMar>
        </w:tblPrEx>
        <w:trPr>
          <w:trHeight w:val="90" w:hRule="atLeast"/>
          <w:tblCellSpacing w:w="0" w:type="dxa"/>
        </w:trPr>
        <w:tc>
          <w:tcPr>
            <w:tcW w:w="1390" w:type="dxa"/>
            <w:vMerge w:val="continue"/>
            <w:tcBorders>
              <w:left w:val="single" w:color="000000" w:sz="8" w:space="0"/>
              <w:right w:val="single" w:color="000000" w:sz="8" w:space="0"/>
            </w:tcBorders>
            <w:vAlign w:val="center"/>
          </w:tcPr>
          <w:p w14:paraId="5B5D2F60">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2745A9FC">
            <w:pPr>
              <w:pStyle w:val="22"/>
              <w:keepNext w:val="0"/>
              <w:keepLines w:val="0"/>
              <w:pageBreakBefore w:val="0"/>
              <w:widowControl/>
              <w:kinsoku/>
              <w:wordWrap/>
              <w:overflowPunct/>
              <w:topLinePunct w:val="0"/>
              <w:autoSpaceDE/>
              <w:autoSpaceDN/>
              <w:bidi w:val="0"/>
              <w:adjustRightInd/>
              <w:snapToGrid/>
              <w:spacing w:line="240" w:lineRule="auto"/>
              <w:ind w:left="0"/>
              <w:jc w:val="both"/>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服务人员下班后未关闭办公电子设备电源或未锁存重要办公用品，发现一次扣</w:t>
            </w:r>
            <w:r>
              <w:rPr>
                <w:rFonts w:hint="eastAsia" w:ascii="仿宋_GB2312" w:hAnsi="仿宋_GB2312" w:eastAsia="仿宋_GB2312" w:cs="仿宋_GB2312"/>
                <w:b w:val="0"/>
                <w:bCs w:val="0"/>
                <w:i w:val="0"/>
                <w:iCs w:val="0"/>
                <w:smallCaps w:val="0"/>
                <w:color w:val="000000"/>
                <w:sz w:val="21"/>
                <w:szCs w:val="21"/>
                <w:lang w:val="en-US" w:eastAsia="zh-CN"/>
              </w:rPr>
              <w:t>1</w:t>
            </w:r>
            <w:r>
              <w:rPr>
                <w:rFonts w:hint="eastAsia" w:ascii="仿宋_GB2312" w:hAnsi="仿宋_GB2312" w:eastAsia="仿宋_GB2312" w:cs="仿宋_GB2312"/>
                <w:b w:val="0"/>
                <w:bCs w:val="0"/>
                <w:i w:val="0"/>
                <w:iCs w:val="0"/>
                <w:smallCaps w:val="0"/>
                <w:color w:val="000000"/>
                <w:sz w:val="21"/>
                <w:szCs w:val="21"/>
              </w:rPr>
              <w:t>分/人，扣完为止。</w:t>
            </w:r>
          </w:p>
        </w:tc>
        <w:tc>
          <w:tcPr>
            <w:tcW w:w="825" w:type="dxa"/>
            <w:tcBorders>
              <w:bottom w:val="single" w:color="000000" w:sz="8" w:space="0"/>
              <w:right w:val="single" w:color="000000" w:sz="8" w:space="0"/>
            </w:tcBorders>
            <w:tcMar>
              <w:top w:w="0" w:type="dxa"/>
              <w:left w:w="108" w:type="dxa"/>
              <w:bottom w:w="0" w:type="dxa"/>
              <w:right w:w="118" w:type="dxa"/>
            </w:tcMar>
            <w:vAlign w:val="top"/>
          </w:tcPr>
          <w:p w14:paraId="0278B241">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3</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453FBA1E">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197D7F49">
        <w:tblPrEx>
          <w:tblCellMar>
            <w:top w:w="15" w:type="dxa"/>
            <w:left w:w="15" w:type="dxa"/>
            <w:bottom w:w="15" w:type="dxa"/>
            <w:right w:w="15" w:type="dxa"/>
          </w:tblCellMar>
        </w:tblPrEx>
        <w:trPr>
          <w:trHeight w:val="1011" w:hRule="atLeast"/>
          <w:tblCellSpacing w:w="0" w:type="dxa"/>
        </w:trPr>
        <w:tc>
          <w:tcPr>
            <w:tcW w:w="1390" w:type="dxa"/>
            <w:vMerge w:val="continue"/>
            <w:tcBorders>
              <w:left w:val="single" w:color="000000" w:sz="8" w:space="0"/>
              <w:bottom w:val="single" w:color="000000" w:sz="8" w:space="0"/>
              <w:right w:val="single" w:color="000000" w:sz="8" w:space="0"/>
            </w:tcBorders>
            <w:vAlign w:val="center"/>
          </w:tcPr>
          <w:p w14:paraId="3BC9E953">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795587EB">
            <w:pPr>
              <w:pStyle w:val="22"/>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发生纳税投诉，且查证属实的，发生一次扣1分/人。情节严重，影响采购人荣誉及形象的，发生一次扣2分/人，扣分无下限。</w:t>
            </w:r>
          </w:p>
        </w:tc>
        <w:tc>
          <w:tcPr>
            <w:tcW w:w="825" w:type="dxa"/>
            <w:tcBorders>
              <w:bottom w:val="single" w:color="000000" w:sz="8" w:space="0"/>
              <w:right w:val="single" w:color="000000" w:sz="8" w:space="0"/>
            </w:tcBorders>
            <w:tcMar>
              <w:top w:w="0" w:type="dxa"/>
              <w:left w:w="108" w:type="dxa"/>
              <w:bottom w:w="0" w:type="dxa"/>
              <w:right w:w="118" w:type="dxa"/>
            </w:tcMar>
            <w:vAlign w:val="center"/>
          </w:tcPr>
          <w:p w14:paraId="30A43E66">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3</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0C3B9175">
            <w:pPr>
              <w:pStyle w:val="22"/>
              <w:keepNext w:val="0"/>
              <w:keepLines w:val="0"/>
              <w:pageBreakBefore w:val="0"/>
              <w:widowControl/>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val="0"/>
                <w:bCs w:val="0"/>
                <w:i w:val="0"/>
                <w:iCs w:val="0"/>
                <w:smallCaps w:val="0"/>
                <w:color w:val="000000"/>
                <w:sz w:val="21"/>
                <w:szCs w:val="21"/>
              </w:rPr>
            </w:pPr>
          </w:p>
        </w:tc>
      </w:tr>
      <w:tr w14:paraId="5B742403">
        <w:tblPrEx>
          <w:tblCellMar>
            <w:top w:w="15" w:type="dxa"/>
            <w:left w:w="15" w:type="dxa"/>
            <w:bottom w:w="15" w:type="dxa"/>
            <w:right w:w="15" w:type="dxa"/>
          </w:tblCellMar>
        </w:tblPrEx>
        <w:trPr>
          <w:trHeight w:val="619" w:hRule="atLeast"/>
          <w:tblCellSpacing w:w="0" w:type="dxa"/>
        </w:trPr>
        <w:tc>
          <w:tcPr>
            <w:tcW w:w="1390" w:type="dxa"/>
            <w:tcBorders>
              <w:left w:val="single" w:color="000000" w:sz="8" w:space="0"/>
              <w:right w:val="single" w:color="000000" w:sz="8" w:space="0"/>
            </w:tcBorders>
            <w:tcMar>
              <w:top w:w="0" w:type="dxa"/>
              <w:left w:w="118" w:type="dxa"/>
              <w:bottom w:w="0" w:type="dxa"/>
              <w:right w:w="118" w:type="dxa"/>
            </w:tcMar>
            <w:vAlign w:val="center"/>
          </w:tcPr>
          <w:p w14:paraId="40E966D7">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服务满意度测评情况</w:t>
            </w:r>
          </w:p>
          <w:p w14:paraId="7D6045BB">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（5分）</w:t>
            </w: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4BD3C74C">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采购人根据中标人的服务情况进行综合评价，满分5分。</w:t>
            </w:r>
          </w:p>
        </w:tc>
        <w:tc>
          <w:tcPr>
            <w:tcW w:w="825" w:type="dxa"/>
            <w:tcBorders>
              <w:bottom w:val="single" w:color="000000" w:sz="8" w:space="0"/>
              <w:right w:val="single" w:color="000000" w:sz="8" w:space="0"/>
            </w:tcBorders>
            <w:tcMar>
              <w:top w:w="0" w:type="dxa"/>
              <w:left w:w="108" w:type="dxa"/>
              <w:bottom w:w="0" w:type="dxa"/>
              <w:right w:w="118" w:type="dxa"/>
            </w:tcMar>
            <w:vAlign w:val="center"/>
          </w:tcPr>
          <w:p w14:paraId="6F86E213">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5</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5AC6FC95">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tc>
      </w:tr>
      <w:tr w14:paraId="7FAB61CF">
        <w:tblPrEx>
          <w:tblCellMar>
            <w:top w:w="15" w:type="dxa"/>
            <w:left w:w="15" w:type="dxa"/>
            <w:bottom w:w="15" w:type="dxa"/>
            <w:right w:w="15" w:type="dxa"/>
          </w:tblCellMar>
        </w:tblPrEx>
        <w:trPr>
          <w:trHeight w:val="269" w:hRule="atLeast"/>
          <w:tblCellSpacing w:w="0" w:type="dxa"/>
        </w:trPr>
        <w:tc>
          <w:tcPr>
            <w:tcW w:w="1390" w:type="dxa"/>
            <w:vMerge w:val="restart"/>
            <w:tcBorders>
              <w:top w:val="single" w:color="000000" w:sz="8" w:space="0"/>
              <w:left w:val="single" w:color="000000" w:sz="8" w:space="0"/>
              <w:right w:val="single" w:color="000000" w:sz="8" w:space="0"/>
            </w:tcBorders>
            <w:tcMar>
              <w:top w:w="0" w:type="dxa"/>
              <w:left w:w="118" w:type="dxa"/>
              <w:bottom w:w="0" w:type="dxa"/>
              <w:right w:w="118" w:type="dxa"/>
            </w:tcMar>
            <w:vAlign w:val="center"/>
          </w:tcPr>
          <w:p w14:paraId="15F4E70E">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p w14:paraId="3AEFD6A2">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特别加分</w:t>
            </w:r>
          </w:p>
          <w:p w14:paraId="20909467">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项目</w:t>
            </w:r>
          </w:p>
          <w:p w14:paraId="321C8D1B">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w:t>
            </w:r>
            <w:r>
              <w:rPr>
                <w:rFonts w:hint="eastAsia" w:ascii="仿宋_GB2312" w:hAnsi="仿宋_GB2312" w:eastAsia="仿宋_GB2312" w:cs="仿宋_GB2312"/>
                <w:b w:val="0"/>
                <w:bCs w:val="0"/>
                <w:i w:val="0"/>
                <w:iCs w:val="0"/>
                <w:smallCaps w:val="0"/>
                <w:color w:val="000000"/>
                <w:sz w:val="21"/>
                <w:szCs w:val="21"/>
                <w:lang w:val="en-US" w:eastAsia="zh-CN"/>
              </w:rPr>
              <w:t>20</w:t>
            </w:r>
            <w:r>
              <w:rPr>
                <w:rFonts w:hint="eastAsia" w:ascii="仿宋_GB2312" w:hAnsi="仿宋_GB2312" w:eastAsia="仿宋_GB2312" w:cs="仿宋_GB2312"/>
                <w:b w:val="0"/>
                <w:bCs w:val="0"/>
                <w:i w:val="0"/>
                <w:iCs w:val="0"/>
                <w:smallCaps w:val="0"/>
                <w:color w:val="000000"/>
                <w:sz w:val="21"/>
                <w:szCs w:val="21"/>
              </w:rPr>
              <w:t>分）</w:t>
            </w: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2DA14D03">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主动征求纳税人意见，改进服务，并向采购人提出合理化建议，收到良好效果的，采购人每采纳一条加</w:t>
            </w:r>
            <w:r>
              <w:rPr>
                <w:rFonts w:hint="eastAsia" w:ascii="仿宋_GB2312" w:hAnsi="仿宋_GB2312" w:eastAsia="仿宋_GB2312" w:cs="仿宋_GB2312"/>
                <w:b w:val="0"/>
                <w:bCs w:val="0"/>
                <w:i w:val="0"/>
                <w:iCs w:val="0"/>
                <w:smallCaps w:val="0"/>
                <w:color w:val="000000"/>
                <w:sz w:val="21"/>
                <w:szCs w:val="21"/>
                <w:lang w:val="en-US" w:eastAsia="zh-CN"/>
              </w:rPr>
              <w:t>5</w:t>
            </w:r>
            <w:r>
              <w:rPr>
                <w:rFonts w:hint="eastAsia" w:ascii="仿宋_GB2312" w:hAnsi="仿宋_GB2312" w:eastAsia="仿宋_GB2312" w:cs="仿宋_GB2312"/>
                <w:b w:val="0"/>
                <w:bCs w:val="0"/>
                <w:i w:val="0"/>
                <w:iCs w:val="0"/>
                <w:smallCaps w:val="0"/>
                <w:color w:val="000000"/>
                <w:sz w:val="21"/>
                <w:szCs w:val="21"/>
              </w:rPr>
              <w:t>分。</w:t>
            </w:r>
          </w:p>
        </w:tc>
        <w:tc>
          <w:tcPr>
            <w:tcW w:w="825" w:type="dxa"/>
            <w:tcBorders>
              <w:bottom w:val="single" w:color="000000" w:sz="8" w:space="0"/>
              <w:right w:val="single" w:color="000000" w:sz="8" w:space="0"/>
            </w:tcBorders>
            <w:tcMar>
              <w:top w:w="0" w:type="dxa"/>
              <w:left w:w="108" w:type="dxa"/>
              <w:bottom w:w="0" w:type="dxa"/>
              <w:right w:w="118" w:type="dxa"/>
            </w:tcMar>
            <w:vAlign w:val="center"/>
          </w:tcPr>
          <w:p w14:paraId="5F50680A">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5</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5EDCA397">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tc>
      </w:tr>
      <w:tr w14:paraId="2FBECF05">
        <w:tblPrEx>
          <w:tblCellMar>
            <w:top w:w="15" w:type="dxa"/>
            <w:left w:w="15" w:type="dxa"/>
            <w:bottom w:w="15" w:type="dxa"/>
            <w:right w:w="15" w:type="dxa"/>
          </w:tblCellMar>
        </w:tblPrEx>
        <w:trPr>
          <w:trHeight w:val="219" w:hRule="atLeast"/>
          <w:tblCellSpacing w:w="0" w:type="dxa"/>
        </w:trPr>
        <w:tc>
          <w:tcPr>
            <w:tcW w:w="1390" w:type="dxa"/>
            <w:vMerge w:val="continue"/>
            <w:tcBorders>
              <w:left w:val="single" w:color="000000" w:sz="8" w:space="0"/>
              <w:right w:val="single" w:color="000000" w:sz="8" w:space="0"/>
            </w:tcBorders>
            <w:vAlign w:val="center"/>
          </w:tcPr>
          <w:p w14:paraId="5CD7D76C">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0F578367">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受到纳税人缴费人的表扬，通报表扬加2分（形式包括但不限于表扬信、锦旗、电话表扬、通报表扬、联系值班领导当面表扬等）。</w:t>
            </w:r>
          </w:p>
        </w:tc>
        <w:tc>
          <w:tcPr>
            <w:tcW w:w="825" w:type="dxa"/>
            <w:tcBorders>
              <w:bottom w:val="single" w:color="000000" w:sz="8" w:space="0"/>
              <w:right w:val="single" w:color="000000" w:sz="8" w:space="0"/>
            </w:tcBorders>
            <w:tcMar>
              <w:top w:w="0" w:type="dxa"/>
              <w:left w:w="108" w:type="dxa"/>
              <w:bottom w:w="0" w:type="dxa"/>
              <w:right w:w="118" w:type="dxa"/>
            </w:tcMar>
            <w:vAlign w:val="center"/>
          </w:tcPr>
          <w:p w14:paraId="3B35FCA2">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6</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5800FCCF">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tc>
      </w:tr>
      <w:tr w14:paraId="6E6AB469">
        <w:tblPrEx>
          <w:tblCellMar>
            <w:top w:w="15" w:type="dxa"/>
            <w:left w:w="15" w:type="dxa"/>
            <w:bottom w:w="15" w:type="dxa"/>
            <w:right w:w="15" w:type="dxa"/>
          </w:tblCellMar>
        </w:tblPrEx>
        <w:trPr>
          <w:trHeight w:val="94" w:hRule="atLeast"/>
          <w:tblCellSpacing w:w="0" w:type="dxa"/>
        </w:trPr>
        <w:tc>
          <w:tcPr>
            <w:tcW w:w="1390" w:type="dxa"/>
            <w:vMerge w:val="continue"/>
            <w:tcBorders>
              <w:left w:val="single" w:color="000000" w:sz="8" w:space="0"/>
              <w:right w:val="single" w:color="000000" w:sz="8" w:space="0"/>
            </w:tcBorders>
            <w:vAlign w:val="center"/>
          </w:tcPr>
          <w:p w14:paraId="12EF5526">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770BC77C">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在开展项目服务的同时，当月完成辅助服务项目规定范围以外的突击性或临时性工作，完成较好的，每次加2分。</w:t>
            </w:r>
          </w:p>
        </w:tc>
        <w:tc>
          <w:tcPr>
            <w:tcW w:w="825" w:type="dxa"/>
            <w:tcBorders>
              <w:bottom w:val="single" w:color="000000" w:sz="8" w:space="0"/>
              <w:right w:val="single" w:color="000000" w:sz="8" w:space="0"/>
            </w:tcBorders>
            <w:tcMar>
              <w:top w:w="0" w:type="dxa"/>
              <w:left w:w="108" w:type="dxa"/>
              <w:bottom w:w="0" w:type="dxa"/>
              <w:right w:w="118" w:type="dxa"/>
            </w:tcMar>
            <w:vAlign w:val="center"/>
          </w:tcPr>
          <w:p w14:paraId="2E10C13B">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lang w:eastAsia="zh-CN"/>
              </w:rPr>
            </w:pPr>
            <w:r>
              <w:rPr>
                <w:rFonts w:hint="eastAsia" w:ascii="仿宋_GB2312" w:hAnsi="仿宋_GB2312" w:eastAsia="仿宋_GB2312" w:cs="仿宋_GB2312"/>
                <w:b w:val="0"/>
                <w:bCs w:val="0"/>
                <w:i w:val="0"/>
                <w:iCs w:val="0"/>
                <w:smallCaps w:val="0"/>
                <w:color w:val="000000"/>
                <w:sz w:val="21"/>
                <w:szCs w:val="21"/>
                <w:lang w:val="en-US" w:eastAsia="zh-CN"/>
              </w:rPr>
              <w:t>4</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39DB1B09">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tc>
      </w:tr>
      <w:tr w14:paraId="7615837D">
        <w:tblPrEx>
          <w:tblCellMar>
            <w:top w:w="15" w:type="dxa"/>
            <w:left w:w="15" w:type="dxa"/>
            <w:bottom w:w="15" w:type="dxa"/>
            <w:right w:w="15" w:type="dxa"/>
          </w:tblCellMar>
        </w:tblPrEx>
        <w:trPr>
          <w:trHeight w:val="559" w:hRule="atLeast"/>
          <w:tblCellSpacing w:w="0" w:type="dxa"/>
        </w:trPr>
        <w:tc>
          <w:tcPr>
            <w:tcW w:w="1390" w:type="dxa"/>
            <w:vMerge w:val="continue"/>
            <w:tcBorders>
              <w:left w:val="single" w:color="000000" w:sz="8" w:space="0"/>
              <w:right w:val="single" w:color="000000" w:sz="8" w:space="0"/>
            </w:tcBorders>
            <w:vAlign w:val="center"/>
          </w:tcPr>
          <w:p w14:paraId="1C3F1945">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4221E146">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在服务工作中业务熟练、态度热情、服务规范，受到县处级以上相关主管部门通报表扬、市级主流媒体正面宣传报道的，每次加5分。</w:t>
            </w:r>
          </w:p>
        </w:tc>
        <w:tc>
          <w:tcPr>
            <w:tcW w:w="825" w:type="dxa"/>
            <w:tcBorders>
              <w:bottom w:val="single" w:color="000000" w:sz="8" w:space="0"/>
              <w:right w:val="single" w:color="000000" w:sz="8" w:space="0"/>
            </w:tcBorders>
            <w:tcMar>
              <w:top w:w="0" w:type="dxa"/>
              <w:left w:w="108" w:type="dxa"/>
              <w:bottom w:w="0" w:type="dxa"/>
              <w:right w:w="118" w:type="dxa"/>
            </w:tcMar>
            <w:vAlign w:val="center"/>
          </w:tcPr>
          <w:p w14:paraId="4DC644C8">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default" w:ascii="仿宋_GB2312" w:hAnsi="仿宋_GB2312" w:eastAsia="仿宋_GB2312" w:cs="仿宋_GB2312"/>
                <w:b w:val="0"/>
                <w:bCs w:val="0"/>
                <w:i w:val="0"/>
                <w:iCs w:val="0"/>
                <w:smallCaps w:val="0"/>
                <w:color w:val="000000"/>
                <w:sz w:val="21"/>
                <w:szCs w:val="21"/>
                <w:lang w:val="en-US" w:eastAsia="zh-CN"/>
              </w:rPr>
            </w:pPr>
            <w:r>
              <w:rPr>
                <w:rFonts w:hint="eastAsia" w:ascii="仿宋_GB2312" w:hAnsi="仿宋_GB2312" w:eastAsia="仿宋_GB2312" w:cs="仿宋_GB2312"/>
                <w:b w:val="0"/>
                <w:bCs w:val="0"/>
                <w:i w:val="0"/>
                <w:iCs w:val="0"/>
                <w:smallCaps w:val="0"/>
                <w:color w:val="000000"/>
                <w:sz w:val="21"/>
                <w:szCs w:val="21"/>
                <w:lang w:val="en-US" w:eastAsia="zh-CN"/>
              </w:rPr>
              <w:t>5</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19C353DE">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tc>
      </w:tr>
      <w:tr w14:paraId="216CA4B2">
        <w:tblPrEx>
          <w:tblCellMar>
            <w:top w:w="15" w:type="dxa"/>
            <w:left w:w="15" w:type="dxa"/>
            <w:bottom w:w="15" w:type="dxa"/>
            <w:right w:w="15" w:type="dxa"/>
          </w:tblCellMar>
        </w:tblPrEx>
        <w:trPr>
          <w:trHeight w:val="659" w:hRule="atLeast"/>
          <w:tblCellSpacing w:w="0" w:type="dxa"/>
        </w:trPr>
        <w:tc>
          <w:tcPr>
            <w:tcW w:w="1390" w:type="dxa"/>
            <w:vMerge w:val="restart"/>
            <w:tcBorders>
              <w:left w:val="single" w:color="000000" w:sz="8" w:space="0"/>
              <w:right w:val="single" w:color="000000" w:sz="8" w:space="0"/>
            </w:tcBorders>
            <w:tcMar>
              <w:top w:w="0" w:type="dxa"/>
              <w:left w:w="118" w:type="dxa"/>
              <w:bottom w:w="0" w:type="dxa"/>
              <w:right w:w="118" w:type="dxa"/>
            </w:tcMar>
            <w:vAlign w:val="center"/>
          </w:tcPr>
          <w:p w14:paraId="67E6BFC2">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p w14:paraId="6C8218BC">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p w14:paraId="16BCB487">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p w14:paraId="70353EAF">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特别减分</w:t>
            </w:r>
          </w:p>
          <w:p w14:paraId="7A83EE2E">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项目</w:t>
            </w:r>
          </w:p>
          <w:p w14:paraId="5F0F5B8C">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（30分）</w:t>
            </w: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70225167">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中标人需按规定的时间和标准发放工资、缴纳社会保险费,未按规定的时间和标准发放工资、缴纳社会保险费的，每次扣10分。</w:t>
            </w:r>
          </w:p>
        </w:tc>
        <w:tc>
          <w:tcPr>
            <w:tcW w:w="825" w:type="dxa"/>
            <w:tcBorders>
              <w:bottom w:val="single" w:color="000000" w:sz="8" w:space="0"/>
              <w:right w:val="single" w:color="000000" w:sz="8" w:space="0"/>
            </w:tcBorders>
            <w:tcMar>
              <w:top w:w="0" w:type="dxa"/>
              <w:left w:w="108" w:type="dxa"/>
              <w:bottom w:w="0" w:type="dxa"/>
              <w:right w:w="118" w:type="dxa"/>
            </w:tcMar>
            <w:vAlign w:val="center"/>
          </w:tcPr>
          <w:p w14:paraId="4FFEE641">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10</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3EB40DB7">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tc>
      </w:tr>
      <w:tr w14:paraId="599F6037">
        <w:tblPrEx>
          <w:tblCellMar>
            <w:top w:w="15" w:type="dxa"/>
            <w:left w:w="15" w:type="dxa"/>
            <w:bottom w:w="15" w:type="dxa"/>
            <w:right w:w="15" w:type="dxa"/>
          </w:tblCellMar>
        </w:tblPrEx>
        <w:trPr>
          <w:trHeight w:val="396" w:hRule="atLeast"/>
          <w:tblCellSpacing w:w="0" w:type="dxa"/>
        </w:trPr>
        <w:tc>
          <w:tcPr>
            <w:tcW w:w="1390" w:type="dxa"/>
            <w:vMerge w:val="continue"/>
            <w:tcBorders>
              <w:left w:val="single" w:color="000000" w:sz="8" w:space="0"/>
              <w:right w:val="single" w:color="000000" w:sz="8" w:space="0"/>
            </w:tcBorders>
            <w:vAlign w:val="center"/>
          </w:tcPr>
          <w:p w14:paraId="3481F644">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42ABF659">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中标人按月度向采购人提供服务费用支出情况，未按补充协议规定落实按月度向采购人提供服务费用支出情况的，每次扣5分。</w:t>
            </w:r>
          </w:p>
        </w:tc>
        <w:tc>
          <w:tcPr>
            <w:tcW w:w="825" w:type="dxa"/>
            <w:tcBorders>
              <w:bottom w:val="single" w:color="000000" w:sz="8" w:space="0"/>
              <w:right w:val="single" w:color="000000" w:sz="8" w:space="0"/>
            </w:tcBorders>
            <w:tcMar>
              <w:top w:w="0" w:type="dxa"/>
              <w:left w:w="108" w:type="dxa"/>
              <w:bottom w:w="0" w:type="dxa"/>
              <w:right w:w="118" w:type="dxa"/>
            </w:tcMar>
            <w:vAlign w:val="center"/>
          </w:tcPr>
          <w:p w14:paraId="2D6C84C7">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10</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131B03E6">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tc>
      </w:tr>
      <w:tr w14:paraId="55AF77E9">
        <w:tblPrEx>
          <w:tblCellMar>
            <w:top w:w="15" w:type="dxa"/>
            <w:left w:w="15" w:type="dxa"/>
            <w:bottom w:w="15" w:type="dxa"/>
            <w:right w:w="15" w:type="dxa"/>
          </w:tblCellMar>
        </w:tblPrEx>
        <w:trPr>
          <w:trHeight w:val="396" w:hRule="atLeast"/>
          <w:tblCellSpacing w:w="0" w:type="dxa"/>
        </w:trPr>
        <w:tc>
          <w:tcPr>
            <w:tcW w:w="1390" w:type="dxa"/>
            <w:vMerge w:val="continue"/>
            <w:tcBorders>
              <w:left w:val="single" w:color="000000" w:sz="8" w:space="0"/>
              <w:right w:val="single" w:color="000000" w:sz="8" w:space="0"/>
            </w:tcBorders>
            <w:vAlign w:val="center"/>
          </w:tcPr>
          <w:p w14:paraId="6E95B2E5">
            <w:pPr>
              <w:keepNext w:val="0"/>
              <w:keepLines w:val="0"/>
              <w:pageBreakBefore w:val="0"/>
              <w:widowControl/>
              <w:kinsoku/>
              <w:wordWrap/>
              <w:overflowPunct/>
              <w:topLinePunct w:val="0"/>
              <w:autoSpaceDE/>
              <w:autoSpaceDN/>
              <w:bidi w:val="0"/>
              <w:adjustRightInd/>
              <w:snapToGrid/>
              <w:spacing w:line="240" w:lineRule="auto"/>
              <w:ind w:left="0"/>
              <w:rPr>
                <w:rFonts w:hint="eastAsia" w:ascii="仿宋_GB2312" w:hAnsi="仿宋_GB2312" w:eastAsia="仿宋_GB2312" w:cs="仿宋_GB2312"/>
                <w:b w:val="0"/>
                <w:bCs w:val="0"/>
                <w:i w:val="0"/>
                <w:iCs w:val="0"/>
                <w:smallCaps w:val="0"/>
                <w:color w:val="000000"/>
                <w:sz w:val="21"/>
                <w:szCs w:val="21"/>
              </w:rPr>
            </w:pP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01BCB477">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服务人员有严重违反采购人规章制度、严重失职或同时在两处及以上工作单位任职等情形的，采购人有权要求中标人调换，中标人未按照规定在指定时间内调换的，每次扣10分/人。</w:t>
            </w:r>
          </w:p>
        </w:tc>
        <w:tc>
          <w:tcPr>
            <w:tcW w:w="825" w:type="dxa"/>
            <w:tcBorders>
              <w:bottom w:val="single" w:color="000000" w:sz="8" w:space="0"/>
              <w:right w:val="single" w:color="000000" w:sz="8" w:space="0"/>
            </w:tcBorders>
            <w:tcMar>
              <w:top w:w="0" w:type="dxa"/>
              <w:left w:w="108" w:type="dxa"/>
              <w:bottom w:w="0" w:type="dxa"/>
              <w:right w:w="118" w:type="dxa"/>
            </w:tcMar>
            <w:vAlign w:val="center"/>
          </w:tcPr>
          <w:p w14:paraId="12B4A77C">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10</w:t>
            </w:r>
          </w:p>
        </w:tc>
        <w:tc>
          <w:tcPr>
            <w:tcW w:w="766" w:type="dxa"/>
            <w:tcBorders>
              <w:bottom w:val="single" w:color="000000" w:sz="8" w:space="0"/>
              <w:right w:val="single" w:color="000000" w:sz="8" w:space="0"/>
            </w:tcBorders>
            <w:tcMar>
              <w:top w:w="0" w:type="dxa"/>
              <w:left w:w="108" w:type="dxa"/>
              <w:bottom w:w="0" w:type="dxa"/>
              <w:right w:w="118" w:type="dxa"/>
            </w:tcMar>
            <w:vAlign w:val="center"/>
          </w:tcPr>
          <w:p w14:paraId="1A730751">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p>
        </w:tc>
      </w:tr>
      <w:tr w14:paraId="007B4B85">
        <w:tblPrEx>
          <w:tblCellMar>
            <w:top w:w="15" w:type="dxa"/>
            <w:left w:w="15" w:type="dxa"/>
            <w:bottom w:w="15" w:type="dxa"/>
            <w:right w:w="15" w:type="dxa"/>
          </w:tblCellMar>
        </w:tblPrEx>
        <w:trPr>
          <w:trHeight w:val="622" w:hRule="atLeast"/>
          <w:tblCellSpacing w:w="0" w:type="dxa"/>
        </w:trPr>
        <w:tc>
          <w:tcPr>
            <w:tcW w:w="1390"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68C919F6">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总得分</w:t>
            </w:r>
          </w:p>
        </w:tc>
        <w:tc>
          <w:tcPr>
            <w:tcW w:w="5862" w:type="dxa"/>
            <w:tcBorders>
              <w:bottom w:val="single" w:color="000000" w:sz="8" w:space="0"/>
              <w:right w:val="single" w:color="000000" w:sz="8" w:space="0"/>
            </w:tcBorders>
            <w:tcMar>
              <w:top w:w="0" w:type="dxa"/>
              <w:left w:w="108" w:type="dxa"/>
              <w:bottom w:w="0" w:type="dxa"/>
              <w:right w:w="118" w:type="dxa"/>
            </w:tcMar>
            <w:vAlign w:val="center"/>
          </w:tcPr>
          <w:p w14:paraId="10205B89">
            <w:pPr>
              <w:pStyle w:val="22"/>
              <w:keepNext w:val="0"/>
              <w:keepLines w:val="0"/>
              <w:pageBreakBefore w:val="0"/>
              <w:widowControl/>
              <w:kinsoku/>
              <w:wordWrap/>
              <w:overflowPunct/>
              <w:topLinePunct w:val="0"/>
              <w:autoSpaceDE/>
              <w:autoSpaceDN/>
              <w:bidi w:val="0"/>
              <w:adjustRightInd/>
              <w:snapToGrid/>
              <w:spacing w:line="240" w:lineRule="auto"/>
              <w:ind w:left="0"/>
              <w:jc w:val="both"/>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考核实际得分+特别加分总分-特别减分</w:t>
            </w:r>
          </w:p>
        </w:tc>
        <w:tc>
          <w:tcPr>
            <w:tcW w:w="1591" w:type="dxa"/>
            <w:gridSpan w:val="2"/>
            <w:tcBorders>
              <w:bottom w:val="single" w:color="000000" w:sz="8" w:space="0"/>
              <w:right w:val="single" w:color="000000" w:sz="8" w:space="0"/>
            </w:tcBorders>
            <w:tcMar>
              <w:top w:w="0" w:type="dxa"/>
              <w:left w:w="108" w:type="dxa"/>
              <w:bottom w:w="0" w:type="dxa"/>
              <w:right w:w="118" w:type="dxa"/>
            </w:tcMar>
            <w:vAlign w:val="center"/>
          </w:tcPr>
          <w:p w14:paraId="23AD403E">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tc>
      </w:tr>
      <w:tr w14:paraId="1A4A4B5F">
        <w:tblPrEx>
          <w:tblCellMar>
            <w:top w:w="15" w:type="dxa"/>
            <w:left w:w="15" w:type="dxa"/>
            <w:bottom w:w="15" w:type="dxa"/>
            <w:right w:w="15" w:type="dxa"/>
          </w:tblCellMar>
        </w:tblPrEx>
        <w:trPr>
          <w:trHeight w:val="699" w:hRule="atLeast"/>
          <w:tblCellSpacing w:w="0" w:type="dxa"/>
        </w:trPr>
        <w:tc>
          <w:tcPr>
            <w:tcW w:w="1390"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14:paraId="16128FCB">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考核人签字</w:t>
            </w:r>
          </w:p>
        </w:tc>
        <w:tc>
          <w:tcPr>
            <w:tcW w:w="7453" w:type="dxa"/>
            <w:gridSpan w:val="3"/>
            <w:tcBorders>
              <w:bottom w:val="single" w:color="000000" w:sz="8" w:space="0"/>
              <w:right w:val="single" w:color="000000" w:sz="8" w:space="0"/>
            </w:tcBorders>
            <w:tcMar>
              <w:top w:w="0" w:type="dxa"/>
              <w:left w:w="108" w:type="dxa"/>
              <w:bottom w:w="0" w:type="dxa"/>
              <w:right w:w="118" w:type="dxa"/>
            </w:tcMar>
            <w:vAlign w:val="center"/>
          </w:tcPr>
          <w:p w14:paraId="05D48B7A">
            <w:pPr>
              <w:pStyle w:val="22"/>
              <w:keepNext w:val="0"/>
              <w:keepLines w:val="0"/>
              <w:pageBreakBefore w:val="0"/>
              <w:widowControl/>
              <w:kinsoku/>
              <w:wordWrap/>
              <w:overflowPunct/>
              <w:topLinePunct w:val="0"/>
              <w:autoSpaceDE/>
              <w:autoSpaceDN/>
              <w:bidi w:val="0"/>
              <w:adjustRightInd/>
              <w:snapToGrid/>
              <w:spacing w:line="240" w:lineRule="auto"/>
              <w:ind w:left="0"/>
              <w:textAlignment w:val="center"/>
              <w:rPr>
                <w:rFonts w:hint="eastAsia" w:ascii="仿宋_GB2312" w:hAnsi="仿宋_GB2312" w:eastAsia="仿宋_GB2312" w:cs="仿宋_GB2312"/>
                <w:b w:val="0"/>
                <w:bCs w:val="0"/>
                <w:i w:val="0"/>
                <w:iCs w:val="0"/>
                <w:smallCaps w:val="0"/>
                <w:color w:val="000000"/>
                <w:sz w:val="21"/>
                <w:szCs w:val="21"/>
              </w:rPr>
            </w:pPr>
            <w:r>
              <w:rPr>
                <w:rFonts w:hint="eastAsia" w:ascii="仿宋_GB2312" w:hAnsi="仿宋_GB2312" w:eastAsia="仿宋_GB2312" w:cs="仿宋_GB2312"/>
                <w:b w:val="0"/>
                <w:bCs w:val="0"/>
                <w:i w:val="0"/>
                <w:iCs w:val="0"/>
                <w:smallCaps w:val="0"/>
                <w:color w:val="000000"/>
                <w:sz w:val="21"/>
                <w:szCs w:val="21"/>
              </w:rPr>
              <w:t> </w:t>
            </w:r>
          </w:p>
        </w:tc>
      </w:tr>
    </w:tbl>
    <w:p w14:paraId="0068F0F5">
      <w:pPr>
        <w:pStyle w:val="2"/>
        <w:keepNext w:val="0"/>
        <w:keepLines w:val="0"/>
        <w:pageBreakBefore w:val="0"/>
        <w:kinsoku/>
        <w:wordWrap/>
        <w:overflowPunct/>
        <w:topLinePunct w:val="0"/>
        <w:autoSpaceDE/>
        <w:autoSpaceDN/>
        <w:bidi w:val="0"/>
        <w:adjustRightInd/>
        <w:snapToGrid/>
        <w:spacing w:line="560" w:lineRule="exact"/>
        <w:rPr>
          <w:rFonts w:hint="default"/>
          <w:lang w:val="en-US" w:eastAsia="zh-CN"/>
        </w:rPr>
      </w:pPr>
    </w:p>
    <w:p w14:paraId="043E494E">
      <w:pPr>
        <w:pStyle w:val="3"/>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kern w:val="36"/>
          <w:lang w:val="en-US" w:eastAsia="zh-CN"/>
        </w:rPr>
        <w:t>8</w:t>
      </w:r>
      <w:r>
        <w:rPr>
          <w:rFonts w:ascii="仿宋_GB2312" w:hAnsi="仿宋_GB2312" w:eastAsia="仿宋_GB2312" w:cs="仿宋_GB2312"/>
          <w:kern w:val="36"/>
        </w:rPr>
        <w:t>其他要求</w:t>
      </w:r>
      <w:bookmarkEnd w:id="25"/>
    </w:p>
    <w:p w14:paraId="712404A5">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28" w:name="_Toc16867"/>
      <w:r>
        <w:rPr>
          <w:rFonts w:hint="eastAsia" w:ascii="仿宋_GB2312" w:hAnsi="仿宋_GB2312" w:eastAsia="仿宋_GB2312" w:cs="仿宋_GB2312"/>
          <w:i w:val="0"/>
          <w:iCs w:val="0"/>
          <w:lang w:val="en-US" w:eastAsia="zh-CN"/>
        </w:rPr>
        <w:t>8</w:t>
      </w:r>
      <w:r>
        <w:rPr>
          <w:rFonts w:ascii="仿宋_GB2312" w:hAnsi="仿宋_GB2312" w:eastAsia="仿宋_GB2312" w:cs="仿宋_GB2312"/>
          <w:i w:val="0"/>
          <w:iCs w:val="0"/>
        </w:rPr>
        <w:t>.1必备要求</w:t>
      </w:r>
      <w:bookmarkEnd w:id="28"/>
    </w:p>
    <w:p w14:paraId="46C44144">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29" w:name="_Toc6955"/>
      <w:r>
        <w:rPr>
          <w:rFonts w:hint="eastAsia" w:ascii="仿宋_GB2312" w:hAnsi="仿宋_GB2312" w:eastAsia="仿宋_GB2312" w:cs="仿宋_GB2312"/>
          <w:sz w:val="28"/>
          <w:szCs w:val="28"/>
          <w:lang w:val="en-US" w:eastAsia="zh-CN"/>
        </w:rPr>
        <w:t>8</w:t>
      </w:r>
      <w:r>
        <w:rPr>
          <w:rFonts w:ascii="仿宋_GB2312" w:hAnsi="仿宋_GB2312" w:eastAsia="仿宋_GB2312" w:cs="仿宋_GB2312"/>
          <w:sz w:val="28"/>
          <w:szCs w:val="28"/>
        </w:rPr>
        <w:t>.1.1通用必备要求</w:t>
      </w:r>
      <w:bookmarkEnd w:id="29"/>
    </w:p>
    <w:p w14:paraId="5A82C272">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（一）</w:t>
      </w:r>
      <w:r>
        <w:rPr>
          <w:rFonts w:ascii="仿宋_GB2312" w:hAnsi="仿宋_GB2312" w:eastAsia="仿宋_GB2312" w:cs="仿宋_GB2312"/>
          <w:sz w:val="28"/>
          <w:szCs w:val="28"/>
          <w:lang w:val="en-US" w:eastAsia="en-US"/>
        </w:rPr>
        <w:t xml:space="preserve">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40B5B4C2">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（二）</w:t>
      </w:r>
      <w:r>
        <w:rPr>
          <w:rFonts w:ascii="仿宋_GB2312" w:hAnsi="仿宋_GB2312" w:eastAsia="仿宋_GB2312" w:cs="仿宋_GB2312"/>
          <w:sz w:val="28"/>
          <w:szCs w:val="28"/>
          <w:lang w:val="en-US" w:eastAsia="en-US"/>
        </w:rPr>
        <w:t xml:space="preserve">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7B30085B">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lang w:val="en-US" w:eastAsia="en-US"/>
        </w:rPr>
      </w:pPr>
      <w:r>
        <w:rPr>
          <w:rFonts w:hint="eastAsia" w:ascii="仿宋_GB2312" w:hAnsi="仿宋_GB2312" w:eastAsia="仿宋_GB2312" w:cs="仿宋_GB2312"/>
          <w:sz w:val="28"/>
          <w:szCs w:val="28"/>
          <w:lang w:val="en-US" w:eastAsia="zh-CN"/>
        </w:rPr>
        <w:t>（三）</w:t>
      </w:r>
      <w:r>
        <w:rPr>
          <w:rFonts w:ascii="仿宋_GB2312" w:hAnsi="仿宋_GB2312" w:eastAsia="仿宋_GB2312" w:cs="仿宋_GB2312"/>
          <w:sz w:val="28"/>
          <w:szCs w:val="28"/>
          <w:lang w:val="en-US" w:eastAsia="en-US"/>
        </w:rPr>
        <w:t xml:space="preserve">本项目中如涉及国家强制性产品认证证书（CCC 认证证书）、电信设备进网许可证、无线电发射设备核准证等市场准入类资质的，应严格执行国家相关法律法规的要求。 </w:t>
      </w:r>
    </w:p>
    <w:p w14:paraId="63CFEA20">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lang w:val="en-US" w:eastAsia="en-US"/>
        </w:rPr>
        <w:t>以上相关要求，由供应商在响应时应答，在履约验收中，采购人将按照采购文件、中标/成交供应商响应文件、采购合同等对中标/成交供应商提供的货物和服务进行验收，必要时依法依规开展相应检测、认证。</w:t>
      </w:r>
    </w:p>
    <w:p w14:paraId="5A9A31A3">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30" w:name="_Toc609"/>
      <w:r>
        <w:rPr>
          <w:rFonts w:hint="eastAsia" w:ascii="仿宋_GB2312" w:hAnsi="仿宋_GB2312" w:eastAsia="仿宋_GB2312" w:cs="仿宋_GB2312"/>
          <w:i w:val="0"/>
          <w:iCs w:val="0"/>
          <w:lang w:val="en-US" w:eastAsia="zh-CN"/>
        </w:rPr>
        <w:t>8</w:t>
      </w:r>
      <w:r>
        <w:rPr>
          <w:rFonts w:ascii="仿宋_GB2312" w:hAnsi="仿宋_GB2312" w:eastAsia="仿宋_GB2312" w:cs="仿宋_GB2312"/>
          <w:i w:val="0"/>
          <w:iCs w:val="0"/>
        </w:rPr>
        <w:t>.2付款安排建议</w:t>
      </w:r>
      <w:bookmarkEnd w:id="30"/>
    </w:p>
    <w:tbl>
      <w:tblPr>
        <w:tblStyle w:val="17"/>
        <w:tblW w:w="9070" w:type="dxa"/>
        <w:tblInd w:w="30" w:type="dxa"/>
        <w:tblLayout w:type="fixed"/>
        <w:tblCellMar>
          <w:top w:w="15" w:type="dxa"/>
          <w:left w:w="15" w:type="dxa"/>
          <w:bottom w:w="15" w:type="dxa"/>
          <w:right w:w="15" w:type="dxa"/>
        </w:tblCellMar>
      </w:tblPr>
      <w:tblGrid>
        <w:gridCol w:w="1814"/>
        <w:gridCol w:w="5442"/>
        <w:gridCol w:w="1814"/>
      </w:tblGrid>
      <w:tr w14:paraId="2C32E90C">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14:paraId="2916DB4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544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14:paraId="04C77F5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814"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14:paraId="3D95F3D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14:paraId="4EDDB01C">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3237C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付款</w:t>
            </w:r>
          </w:p>
        </w:tc>
        <w:tc>
          <w:tcPr>
            <w:tcW w:w="544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CD4976">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中标人按照实际发生金额于每月10日前向采购人提供发票及相关资料，交采购人审核后10个工作日内支付服务费（节假日顺延）。</w:t>
            </w:r>
          </w:p>
        </w:tc>
        <w:tc>
          <w:tcPr>
            <w:tcW w:w="181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20638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100.0</w:t>
            </w:r>
          </w:p>
        </w:tc>
      </w:tr>
    </w:tbl>
    <w:p w14:paraId="24AA1640">
      <w:pPr>
        <w:pStyle w:val="4"/>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31" w:name="_Toc16515"/>
      <w:r>
        <w:rPr>
          <w:rFonts w:hint="eastAsia" w:ascii="仿宋_GB2312" w:hAnsi="仿宋_GB2312" w:eastAsia="仿宋_GB2312" w:cs="仿宋_GB2312"/>
          <w:i w:val="0"/>
          <w:iCs w:val="0"/>
          <w:lang w:val="en-US" w:eastAsia="zh-CN"/>
        </w:rPr>
        <w:t>8</w:t>
      </w:r>
      <w:r>
        <w:rPr>
          <w:rFonts w:ascii="仿宋_GB2312" w:hAnsi="仿宋_GB2312" w:eastAsia="仿宋_GB2312" w:cs="仿宋_GB2312"/>
          <w:i w:val="0"/>
          <w:iCs w:val="0"/>
        </w:rPr>
        <w:t>.3其他要求</w:t>
      </w:r>
      <w:bookmarkEnd w:id="31"/>
    </w:p>
    <w:p w14:paraId="55726B8A">
      <w:pPr>
        <w:pStyle w:val="5"/>
        <w:keepNext w:val="0"/>
        <w:keepLines w:val="0"/>
        <w:pageBreakBefore w:val="0"/>
        <w:widowControl/>
        <w:kinsoku/>
        <w:wordWrap/>
        <w:overflowPunct/>
        <w:topLinePunct w:val="0"/>
        <w:autoSpaceDE/>
        <w:autoSpaceDN/>
        <w:bidi w:val="0"/>
        <w:adjustRightInd/>
        <w:snapToGrid/>
        <w:spacing w:before="0" w:after="0" w:line="560" w:lineRule="exact"/>
        <w:ind w:left="0"/>
        <w:textAlignment w:val="auto"/>
        <w:rPr>
          <w:rFonts w:ascii="仿宋_GB2312" w:hAnsi="仿宋_GB2312" w:eastAsia="仿宋_GB2312" w:cs="仿宋_GB2312"/>
          <w:b/>
          <w:bCs/>
          <w:sz w:val="28"/>
          <w:szCs w:val="28"/>
        </w:rPr>
      </w:pPr>
      <w:bookmarkStart w:id="32" w:name="_Toc1023"/>
      <w:r>
        <w:rPr>
          <w:rFonts w:hint="eastAsia" w:ascii="仿宋_GB2312" w:hAnsi="仿宋_GB2312" w:eastAsia="仿宋_GB2312" w:cs="仿宋_GB2312"/>
          <w:sz w:val="28"/>
          <w:szCs w:val="28"/>
          <w:lang w:val="en-US" w:eastAsia="zh-CN"/>
        </w:rPr>
        <w:t>8</w:t>
      </w:r>
      <w:r>
        <w:rPr>
          <w:rFonts w:ascii="仿宋_GB2312" w:hAnsi="仿宋_GB2312" w:eastAsia="仿宋_GB2312" w:cs="仿宋_GB2312"/>
          <w:sz w:val="28"/>
          <w:szCs w:val="28"/>
        </w:rPr>
        <w:t>.3.1保密要求</w:t>
      </w:r>
      <w:bookmarkEnd w:id="32"/>
    </w:p>
    <w:p w14:paraId="1E1968AC">
      <w:pPr>
        <w:pStyle w:val="22"/>
        <w:keepNext w:val="0"/>
        <w:keepLines w:val="0"/>
        <w:pageBreakBefore w:val="0"/>
        <w:widowControl/>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中标人投入本项目的服务人员应当遵守保密要求，中标人须与采购人签订保密协议，服务人员在入职前必须与采购人签订保密协议（保密协议由采购人提供），若在服务过程中泄露采购人的工作秘密，中标人须承担全部责任。（投标时须提供相关说明承诺函并加盖公章）</w:t>
      </w:r>
    </w:p>
    <w:sectPr>
      <w:footerReference r:id="rId4" w:type="default"/>
      <w:pgSz w:w="11906" w:h="16838"/>
      <w:pgMar w:top="1440" w:right="1440" w:bottom="1440" w:left="1440" w:header="708" w:footer="708" w:gutter="0"/>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FZFangSong-Z02">
    <w:altName w:val="宋体"/>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4B4A7">
    <w:pPr>
      <w:spacing w:before="0" w:after="0"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93686">
    <w:pPr>
      <w:spacing w:before="0" w:after="0" w:line="360" w:lineRule="auto"/>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6BB98">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56BB98">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77B3E"/>
    <w:rsid w:val="00CA2A55"/>
    <w:rsid w:val="011D79BF"/>
    <w:rsid w:val="02AB0E69"/>
    <w:rsid w:val="033E663D"/>
    <w:rsid w:val="036F02A4"/>
    <w:rsid w:val="041D4825"/>
    <w:rsid w:val="04694EA4"/>
    <w:rsid w:val="04BA1572"/>
    <w:rsid w:val="06536A6C"/>
    <w:rsid w:val="084A0CF4"/>
    <w:rsid w:val="08550F2C"/>
    <w:rsid w:val="08FE3928"/>
    <w:rsid w:val="09050A93"/>
    <w:rsid w:val="096531DC"/>
    <w:rsid w:val="0ACB0B5E"/>
    <w:rsid w:val="0CE736DC"/>
    <w:rsid w:val="0FEB098D"/>
    <w:rsid w:val="11BF4157"/>
    <w:rsid w:val="15E34DA5"/>
    <w:rsid w:val="17DC3320"/>
    <w:rsid w:val="183B0905"/>
    <w:rsid w:val="18952E4E"/>
    <w:rsid w:val="190205FD"/>
    <w:rsid w:val="1A572A55"/>
    <w:rsid w:val="1B20322A"/>
    <w:rsid w:val="1E060C08"/>
    <w:rsid w:val="1E0F3E2C"/>
    <w:rsid w:val="1FF9607F"/>
    <w:rsid w:val="229C5698"/>
    <w:rsid w:val="22AF41D4"/>
    <w:rsid w:val="23BB035C"/>
    <w:rsid w:val="257606BD"/>
    <w:rsid w:val="26CD6AFB"/>
    <w:rsid w:val="27311758"/>
    <w:rsid w:val="27D20798"/>
    <w:rsid w:val="2AC341BF"/>
    <w:rsid w:val="2B3D2D35"/>
    <w:rsid w:val="2CF0070D"/>
    <w:rsid w:val="2D323AEC"/>
    <w:rsid w:val="2DCD681C"/>
    <w:rsid w:val="2DD137C8"/>
    <w:rsid w:val="2E4E3F95"/>
    <w:rsid w:val="2E7537D7"/>
    <w:rsid w:val="2EF724AC"/>
    <w:rsid w:val="2F3576C9"/>
    <w:rsid w:val="30EA6EB6"/>
    <w:rsid w:val="32571AEB"/>
    <w:rsid w:val="336B521D"/>
    <w:rsid w:val="33D63581"/>
    <w:rsid w:val="354E4438"/>
    <w:rsid w:val="35DC5941"/>
    <w:rsid w:val="383B5984"/>
    <w:rsid w:val="384B73A1"/>
    <w:rsid w:val="397F07F4"/>
    <w:rsid w:val="3A671B55"/>
    <w:rsid w:val="3ACB58F1"/>
    <w:rsid w:val="3ACE11EB"/>
    <w:rsid w:val="3B635AC5"/>
    <w:rsid w:val="3BB610E0"/>
    <w:rsid w:val="3D936F2F"/>
    <w:rsid w:val="3E604414"/>
    <w:rsid w:val="3F4C66D8"/>
    <w:rsid w:val="3FE05498"/>
    <w:rsid w:val="418A60D4"/>
    <w:rsid w:val="42102B87"/>
    <w:rsid w:val="42177F6D"/>
    <w:rsid w:val="42761E08"/>
    <w:rsid w:val="42A01F0B"/>
    <w:rsid w:val="42B378E9"/>
    <w:rsid w:val="43C358FF"/>
    <w:rsid w:val="43D01B41"/>
    <w:rsid w:val="452A69F6"/>
    <w:rsid w:val="47803BF3"/>
    <w:rsid w:val="47A43B5B"/>
    <w:rsid w:val="49C63284"/>
    <w:rsid w:val="4B33456A"/>
    <w:rsid w:val="4C503412"/>
    <w:rsid w:val="4CE678B6"/>
    <w:rsid w:val="4CFC0F4E"/>
    <w:rsid w:val="4E2D643D"/>
    <w:rsid w:val="4F1917EE"/>
    <w:rsid w:val="4F3B3185"/>
    <w:rsid w:val="4F642932"/>
    <w:rsid w:val="501E3BD7"/>
    <w:rsid w:val="51550AC5"/>
    <w:rsid w:val="522671CA"/>
    <w:rsid w:val="535E0B0D"/>
    <w:rsid w:val="542A64A4"/>
    <w:rsid w:val="553C2DC3"/>
    <w:rsid w:val="55EE0415"/>
    <w:rsid w:val="572F45F1"/>
    <w:rsid w:val="57B320F2"/>
    <w:rsid w:val="584F5AB1"/>
    <w:rsid w:val="59E20ECC"/>
    <w:rsid w:val="5B30105E"/>
    <w:rsid w:val="5BBC79E2"/>
    <w:rsid w:val="5D9E085E"/>
    <w:rsid w:val="5EA618FC"/>
    <w:rsid w:val="5F1F644A"/>
    <w:rsid w:val="5F8D09CD"/>
    <w:rsid w:val="600F6EFE"/>
    <w:rsid w:val="61360C89"/>
    <w:rsid w:val="616F306C"/>
    <w:rsid w:val="61F74B2A"/>
    <w:rsid w:val="6308286C"/>
    <w:rsid w:val="63765F40"/>
    <w:rsid w:val="67250A93"/>
    <w:rsid w:val="681E12AA"/>
    <w:rsid w:val="682442E8"/>
    <w:rsid w:val="691D560D"/>
    <w:rsid w:val="69BFB38D"/>
    <w:rsid w:val="6A312300"/>
    <w:rsid w:val="6AE42CED"/>
    <w:rsid w:val="6C496069"/>
    <w:rsid w:val="6C73563B"/>
    <w:rsid w:val="6E153A30"/>
    <w:rsid w:val="6EE8733D"/>
    <w:rsid w:val="6F6E6455"/>
    <w:rsid w:val="6FDB4B93"/>
    <w:rsid w:val="70D56E4B"/>
    <w:rsid w:val="726257D8"/>
    <w:rsid w:val="726D169D"/>
    <w:rsid w:val="72A1203C"/>
    <w:rsid w:val="74090EDF"/>
    <w:rsid w:val="74E9127F"/>
    <w:rsid w:val="75537961"/>
    <w:rsid w:val="76CC52C5"/>
    <w:rsid w:val="7A5615DD"/>
    <w:rsid w:val="7AFC45A0"/>
    <w:rsid w:val="7BB47ADB"/>
    <w:rsid w:val="7C8B23B0"/>
    <w:rsid w:val="7CEA492D"/>
    <w:rsid w:val="7D135F02"/>
    <w:rsid w:val="7DF24AF1"/>
    <w:rsid w:val="7E3005F9"/>
    <w:rsid w:val="7E6128C6"/>
    <w:rsid w:val="7F7E3B97"/>
    <w:rsid w:val="9BBF89DF"/>
    <w:rsid w:val="DFDF8669"/>
    <w:rsid w:val="DFFE0B1C"/>
    <w:rsid w:val="E5FEF6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1"/>
    <w:basedOn w:val="1"/>
    <w:next w:val="1"/>
    <w:qFormat/>
    <w:uiPriority w:val="0"/>
    <w:pPr>
      <w:keepNext/>
      <w:spacing w:before="240" w:after="60"/>
      <w:outlineLvl w:val="0"/>
    </w:pPr>
    <w:rPr>
      <w:rFonts w:ascii="Arial" w:hAnsi="Arial" w:cs="Arial"/>
      <w:b/>
      <w:bCs/>
      <w:kern w:val="32"/>
      <w:sz w:val="32"/>
      <w:szCs w:val="32"/>
    </w:rPr>
  </w:style>
  <w:style w:type="paragraph" w:styleId="4">
    <w:name w:val="heading 2"/>
    <w:basedOn w:val="1"/>
    <w:next w:val="1"/>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0"/>
    <w:pPr>
      <w:keepNext/>
      <w:spacing w:before="240" w:after="60"/>
      <w:outlineLvl w:val="3"/>
    </w:pPr>
    <w:rPr>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7">
    <w:name w:val="Body Text"/>
    <w:basedOn w:val="1"/>
    <w:next w:val="1"/>
    <w:unhideWhenUsed/>
    <w:qFormat/>
    <w:uiPriority w:val="99"/>
    <w:pPr>
      <w:spacing w:before="100" w:beforeAutospacing="1" w:after="120"/>
    </w:pPr>
  </w:style>
  <w:style w:type="paragraph" w:styleId="8">
    <w:name w:val="Body Text Indent"/>
    <w:basedOn w:val="1"/>
    <w:next w:val="9"/>
    <w:qFormat/>
    <w:uiPriority w:val="0"/>
    <w:pPr>
      <w:widowControl w:val="0"/>
      <w:spacing w:after="120" w:line="276" w:lineRule="auto"/>
      <w:ind w:left="420" w:leftChars="200"/>
      <w:jc w:val="both"/>
    </w:pPr>
    <w:rPr>
      <w:rFonts w:ascii="Times New Roman" w:hAnsi="Times New Roman" w:cs="Times New Roman"/>
      <w:kern w:val="2"/>
      <w:szCs w:val="24"/>
      <w:lang w:eastAsia="zh-CN"/>
    </w:rPr>
  </w:style>
  <w:style w:type="paragraph" w:styleId="9">
    <w:name w:val="envelope return"/>
    <w:basedOn w:val="1"/>
    <w:qFormat/>
    <w:uiPriority w:val="0"/>
    <w:pPr>
      <w:snapToGrid w:val="0"/>
    </w:pPr>
    <w:rPr>
      <w:rFonts w:ascii="Arial" w:hAnsi="Arial" w:eastAsia="宋体" w:cs="Times New Roman"/>
    </w:rPr>
  </w:style>
  <w:style w:type="paragraph" w:styleId="10">
    <w:name w:val="toc 3"/>
    <w:basedOn w:val="1"/>
    <w:next w:val="1"/>
    <w:qFormat/>
    <w:uiPriority w:val="0"/>
    <w:pPr>
      <w:ind w:left="48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List"/>
    <w:basedOn w:val="1"/>
    <w:next w:val="1"/>
    <w:qFormat/>
    <w:uiPriority w:val="0"/>
    <w:pPr>
      <w:widowControl w:val="0"/>
      <w:spacing w:line="240" w:lineRule="auto"/>
      <w:ind w:left="420" w:hanging="420"/>
      <w:textAlignment w:val="auto"/>
    </w:pPr>
    <w:rPr>
      <w:rFonts w:ascii="Arial" w:hAnsi="Arial" w:eastAsia="楷体_GB2312" w:cs="Times New Roman"/>
      <w:color w:val="auto"/>
      <w:kern w:val="2"/>
      <w:sz w:val="28"/>
      <w:u w:val="none" w:color="auto"/>
    </w:rPr>
  </w:style>
  <w:style w:type="paragraph" w:styleId="15">
    <w:name w:val="toc 2"/>
    <w:basedOn w:val="1"/>
    <w:next w:val="1"/>
    <w:qFormat/>
    <w:uiPriority w:val="0"/>
    <w:pPr>
      <w:ind w:left="240"/>
    </w:pPr>
  </w:style>
  <w:style w:type="paragraph" w:styleId="16">
    <w:name w:val="Body Text First Indent 2"/>
    <w:basedOn w:val="8"/>
    <w:next w:val="14"/>
    <w:qFormat/>
    <w:uiPriority w:val="0"/>
    <w:pPr>
      <w:spacing w:line="360" w:lineRule="auto"/>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footnote reference"/>
    <w:basedOn w:val="19"/>
    <w:qFormat/>
    <w:uiPriority w:val="0"/>
    <w:rPr>
      <w:vertAlign w:val="superscript"/>
    </w:rPr>
  </w:style>
  <w:style w:type="paragraph" w:customStyle="1" w:styleId="22">
    <w:name w:val="MsoNormal"/>
    <w:basedOn w:val="1"/>
    <w:qFormat/>
    <w:uiPriority w:val="0"/>
  </w:style>
  <w:style w:type="paragraph" w:customStyle="1" w:styleId="23">
    <w:name w:val="MsoBodyTextFirstIndent2"/>
    <w:basedOn w:val="1"/>
    <w:qFormat/>
    <w:uiPriority w:val="0"/>
  </w:style>
  <w:style w:type="paragraph" w:customStyle="1" w:styleId="24">
    <w:name w:val="16"/>
    <w:basedOn w:val="1"/>
    <w:qFormat/>
    <w:uiPriority w:val="0"/>
  </w:style>
  <w:style w:type="paragraph" w:customStyle="1" w:styleId="25">
    <w:name w:val="15"/>
    <w:basedOn w:val="1"/>
    <w:qFormat/>
    <w:uiPriority w:val="0"/>
  </w:style>
  <w:style w:type="table" w:customStyle="1" w:styleId="26">
    <w:name w:val="MsoNormalTable"/>
    <w:basedOn w:val="17"/>
    <w:qFormat/>
    <w:uiPriority w:val="0"/>
  </w:style>
  <w:style w:type="paragraph" w:customStyle="1" w:styleId="27">
    <w:name w:val="UserStyle_0"/>
    <w:qFormat/>
    <w:uiPriority w:val="0"/>
    <w:rPr>
      <w:rFonts w:ascii="FZFangSong-Z02" w:hAnsi="FZFangSong-Z02" w:eastAsia="FZFangSong-Z02" w:cs="Times New Roman"/>
      <w:color w:val="000000"/>
      <w:sz w:val="24"/>
      <w:lang w:val="en-US" w:eastAsia="zh-CN" w:bidi="ar-SA"/>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font31"/>
    <w:basedOn w:val="19"/>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20</Pages>
  <Words>3904</Words>
  <Characters>4141</Characters>
  <Lines>1</Lines>
  <Paragraphs>1</Paragraphs>
  <TotalTime>2</TotalTime>
  <ScaleCrop>false</ScaleCrop>
  <LinksUpToDate>false</LinksUpToDate>
  <CharactersWithSpaces>4178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2025-01-05T18:14:00Z</dcterms:created>
  <dc:creator>Administrator</dc:creator>
  <cp:lastModifiedBy>闫长伟</cp:lastModifiedBy>
  <cp:lastPrinted>2025-01-15T12:41:00Z</cp:lastPrinted>
  <dcterms:modified xsi:type="dcterms:W3CDTF">2025-04-11T10:20:28Z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eyJoZGlkIjoiYzY5ZTA2ODM0OTIyM2M4OWJlZjJkZjkzZTU4NGU1ZjQiLCJ1c2VySWQiOiIzNTMxNjIwMzQifQ==</vt:lpwstr>
  </property>
  <property fmtid="{D5CDD505-2E9C-101B-9397-08002B2CF9AE}" pid="4" name="ICV">
    <vt:lpwstr>C084CDA7BD384548905A4FE4D5811F36_12</vt:lpwstr>
  </property>
</Properties>
</file>