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77" w:rsidRPr="00F457EC" w:rsidRDefault="00301A77" w:rsidP="0059735A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F457E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F457EC">
        <w:rPr>
          <w:rFonts w:ascii="黑体" w:eastAsia="黑体" w:hAnsi="黑体" w:hint="eastAsia"/>
          <w:sz w:val="32"/>
          <w:szCs w:val="32"/>
        </w:rPr>
        <w:t>：</w:t>
      </w:r>
    </w:p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adjustRightInd w:val="0"/>
        <w:snapToGrid w:val="0"/>
        <w:spacing w:line="600" w:lineRule="exact"/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301A77" w:rsidRPr="00F457EC" w:rsidRDefault="00E8070E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国家税务总局铁门关税务局</w:t>
      </w:r>
      <w:r w:rsidR="004A62A8"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 w:rsidR="00301A77" w:rsidRPr="00F457EC"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CB67B7" w:rsidRDefault="002427FF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301A77" w:rsidRPr="00CB67B7" w:rsidRDefault="00301A77" w:rsidP="0059735A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F457EC" w:rsidRDefault="002427FF" w:rsidP="001919BC">
      <w:pPr>
        <w:widowControl/>
        <w:spacing w:line="6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 w:rsidRPr="00F457EC">
        <w:rPr>
          <w:rFonts w:ascii="黑体" w:eastAsia="黑体" w:hAnsi="黑体" w:hint="eastAsia"/>
          <w:kern w:val="0"/>
          <w:sz w:val="44"/>
          <w:szCs w:val="44"/>
        </w:rPr>
        <w:lastRenderedPageBreak/>
        <w:t>目录</w:t>
      </w:r>
    </w:p>
    <w:p w:rsidR="002427FF" w:rsidRPr="00CB67B7" w:rsidRDefault="002427FF" w:rsidP="001919BC"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2427FF" w:rsidRPr="00E03CB3" w:rsidRDefault="002427FF" w:rsidP="001919BC"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="00E8070E">
        <w:rPr>
          <w:rFonts w:ascii="仿宋_GB2312" w:eastAsia="仿宋_GB2312" w:hAnsi="宋体" w:hint="eastAsia"/>
          <w:b/>
          <w:kern w:val="0"/>
          <w:sz w:val="32"/>
          <w:szCs w:val="32"/>
        </w:rPr>
        <w:t>国家税务总局铁门关税务局</w:t>
      </w:r>
      <w:r w:rsidRPr="00E03CB3">
        <w:rPr>
          <w:rFonts w:ascii="仿宋_GB2312" w:eastAsia="仿宋_GB2312" w:hAnsi="宋体" w:hint="eastAsia"/>
          <w:b/>
          <w:kern w:val="0"/>
          <w:sz w:val="32"/>
          <w:szCs w:val="32"/>
        </w:rPr>
        <w:t>概况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CB67B7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收入预算情况说明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支出预算情况说明</w:t>
      </w:r>
    </w:p>
    <w:p w:rsidR="002427FF" w:rsidRPr="005E752B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5E752B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四、关于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2019年财政拨款收支预算情况的总体说明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一般公共预算当年拨款情况说明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一般公共预算基本支出情况说明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项目支出情况说明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一般公共预算“三公”经费预算情况说明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5E752B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政府性基金预算拨款情况说明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2427FF" w:rsidRPr="00CB67B7" w:rsidRDefault="002427FF" w:rsidP="001919BC">
      <w:pPr>
        <w:widowControl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E03CB3" w:rsidRDefault="00E03CB3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1919BC" w:rsidRDefault="001919BC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59735A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t xml:space="preserve">第一部分  </w:t>
      </w:r>
      <w:r w:rsidR="00E8070E">
        <w:rPr>
          <w:rFonts w:ascii="黑体" w:eastAsia="黑体" w:hAnsi="黑体" w:hint="eastAsia"/>
          <w:b/>
          <w:kern w:val="0"/>
          <w:sz w:val="32"/>
          <w:szCs w:val="32"/>
        </w:rPr>
        <w:t>国家税务总局铁门关税务局</w:t>
      </w:r>
      <w:r w:rsidRPr="0059735A">
        <w:rPr>
          <w:rFonts w:ascii="黑体" w:eastAsia="黑体" w:hAnsi="黑体" w:hint="eastAsia"/>
          <w:b/>
          <w:kern w:val="0"/>
          <w:sz w:val="32"/>
          <w:szCs w:val="32"/>
        </w:rPr>
        <w:t>概况</w:t>
      </w:r>
    </w:p>
    <w:p w:rsidR="00301A77" w:rsidRPr="0059735A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59735A">
        <w:rPr>
          <w:rFonts w:ascii="黑体" w:eastAsia="黑体" w:hAnsi="黑体" w:hint="eastAsia"/>
          <w:kern w:val="0"/>
          <w:sz w:val="32"/>
          <w:szCs w:val="32"/>
        </w:rPr>
        <w:t>一、主要职能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负责贯彻执行税收、保社会保险费和有关非税收入法律、法规、规章和规范性文件，研究制定具体实施办法。组织落实国家规定的税收优惠政策。</w:t>
      </w:r>
    </w:p>
    <w:p w:rsidR="002F504F" w:rsidRDefault="002F504F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负责研究拟定本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局</w:t>
      </w:r>
      <w:r>
        <w:rPr>
          <w:rFonts w:ascii="仿宋_GB2312" w:eastAsia="仿宋_GB2312" w:hAnsi="宋体" w:hint="eastAsia"/>
          <w:kern w:val="0"/>
          <w:sz w:val="32"/>
          <w:szCs w:val="32"/>
        </w:rPr>
        <w:t>税收、社会保险费和有关非税收入中长期规划，参与拟定税收</w:t>
      </w:r>
      <w:r w:rsidR="00285827">
        <w:rPr>
          <w:rFonts w:ascii="仿宋_GB2312" w:eastAsia="仿宋_GB2312" w:hAnsi="宋体" w:hint="eastAsia"/>
          <w:kern w:val="0"/>
          <w:sz w:val="32"/>
          <w:szCs w:val="32"/>
        </w:rPr>
        <w:t>、社会保险费和有关非税收入预算目标并依法组织实施。负责本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局</w:t>
      </w:r>
      <w:r w:rsidR="00285827">
        <w:rPr>
          <w:rFonts w:ascii="仿宋_GB2312" w:eastAsia="仿宋_GB2312" w:hAnsi="宋体" w:hint="eastAsia"/>
          <w:kern w:val="0"/>
          <w:sz w:val="32"/>
          <w:szCs w:val="32"/>
        </w:rPr>
        <w:t>税收、社会保险费和有关非税收入的会统核算工作。组织开展收入分析预测。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负责开展税收经济分析和税收政策效应分析，为国家税务总局和自治区党委、政府提供决策参考。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负责所辖区域内各项税收、社会保险费和有关非税收入征收管理。组织实施税（费）源监控和风险管理，加强大企业和自然人税收管理。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负责组织实施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税收、社会保险费和有关非税收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入服务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体系建设。组织开展纳税服务、税收宣传工作，保护纳税人、缴费人合法权益。承担涉及税收、社会保险费和有关非税收入的行政处罚听证、行政复议和行政诉讼事项。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负责组织实施所辖区域内税务稽查和社会保险费、有关非税收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入检查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工作。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负责组织实施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各项税收、社会保险费和有关非税收入征管信息化建设和数据治理工作。</w:t>
      </w:r>
    </w:p>
    <w:p w:rsidR="00285827" w:rsidRDefault="0028582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内部控制机制建设工作，开展对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贯彻执行党中央、国务院重大决策及上级工作部署情况的</w:t>
      </w:r>
      <w:r w:rsidR="00D41CCB">
        <w:rPr>
          <w:rFonts w:ascii="仿宋_GB2312" w:eastAsia="仿宋_GB2312" w:hAnsi="宋体" w:hint="eastAsia"/>
          <w:kern w:val="0"/>
          <w:sz w:val="32"/>
          <w:szCs w:val="32"/>
        </w:rPr>
        <w:t>督查督办，组织实施税收执行法督察。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基层建设和队伍建设工作，加强领导班子和后备干部队伍建设，承担税务人才培养和干部教育培训工作。负责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绩效管理和干部考核工作。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负责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本局</w:t>
      </w:r>
      <w:r>
        <w:rPr>
          <w:rFonts w:ascii="仿宋_GB2312" w:eastAsia="仿宋_GB2312" w:hAnsi="宋体" w:hint="eastAsia"/>
          <w:kern w:val="0"/>
          <w:sz w:val="32"/>
          <w:szCs w:val="32"/>
        </w:rPr>
        <w:t>机构、编制、经费和资产管理工作。</w:t>
      </w:r>
    </w:p>
    <w:p w:rsidR="00D41CCB" w:rsidRDefault="00D41CCB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完成国家税务总局和自治区党委、政府交办的其他工作。</w:t>
      </w:r>
    </w:p>
    <w:p w:rsidR="00301A77" w:rsidRPr="0059735A" w:rsidRDefault="00D41CCB" w:rsidP="0059735A">
      <w:pPr>
        <w:widowControl/>
        <w:adjustRightInd w:val="0"/>
        <w:snapToGrid w:val="0"/>
        <w:spacing w:line="600" w:lineRule="exact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</w:t>
      </w:r>
      <w:r w:rsidRPr="0059735A">
        <w:rPr>
          <w:rFonts w:ascii="黑体" w:eastAsia="黑体" w:hAnsi="黑体" w:hint="eastAsia"/>
          <w:kern w:val="0"/>
          <w:sz w:val="32"/>
          <w:szCs w:val="32"/>
        </w:rPr>
        <w:t xml:space="preserve">   二、机构</w:t>
      </w:r>
      <w:r w:rsidR="00301A77" w:rsidRPr="0059735A">
        <w:rPr>
          <w:rFonts w:ascii="黑体" w:eastAsia="黑体" w:hAnsi="黑体" w:hint="eastAsia"/>
          <w:kern w:val="0"/>
          <w:sz w:val="32"/>
          <w:szCs w:val="32"/>
        </w:rPr>
        <w:t>及人员情况</w:t>
      </w:r>
    </w:p>
    <w:p w:rsidR="00FC3AE6" w:rsidRDefault="00FC3AE6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从预算单位构成看，</w:t>
      </w:r>
      <w:r w:rsidR="00E8070E">
        <w:rPr>
          <w:rFonts w:hint="eastAsia"/>
          <w:sz w:val="32"/>
          <w:szCs w:val="32"/>
        </w:rPr>
        <w:t>国家税务总局铁门关税务局</w:t>
      </w:r>
      <w:r>
        <w:rPr>
          <w:rFonts w:hint="eastAsia"/>
          <w:sz w:val="32"/>
          <w:szCs w:val="32"/>
        </w:rPr>
        <w:t>的部门预算包括：</w:t>
      </w:r>
      <w:r w:rsidR="002B1F91">
        <w:rPr>
          <w:rFonts w:hint="eastAsia"/>
          <w:sz w:val="32"/>
          <w:szCs w:val="32"/>
        </w:rPr>
        <w:t>国家税务总局铁门关税务局</w:t>
      </w:r>
      <w:r w:rsidR="00E8070E">
        <w:rPr>
          <w:rFonts w:hint="eastAsia"/>
          <w:sz w:val="32"/>
          <w:szCs w:val="32"/>
        </w:rPr>
        <w:t>1</w:t>
      </w:r>
      <w:r w:rsidR="0051626B">
        <w:rPr>
          <w:rFonts w:hint="eastAsia"/>
          <w:sz w:val="32"/>
          <w:szCs w:val="32"/>
        </w:rPr>
        <w:t>家预算单位的</w:t>
      </w:r>
      <w:r>
        <w:rPr>
          <w:rFonts w:hint="eastAsia"/>
          <w:sz w:val="32"/>
          <w:szCs w:val="32"/>
        </w:rPr>
        <w:t>预算。</w:t>
      </w:r>
      <w:r>
        <w:rPr>
          <w:sz w:val="32"/>
          <w:szCs w:val="32"/>
        </w:rPr>
        <w:t xml:space="preserve"> </w:t>
      </w:r>
    </w:p>
    <w:p w:rsidR="00547640" w:rsidRDefault="00547640" w:rsidP="00547640">
      <w:pPr>
        <w:pStyle w:val="Default"/>
        <w:snapToGrid w:val="0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547640">
        <w:rPr>
          <w:rFonts w:hint="eastAsia"/>
          <w:sz w:val="32"/>
          <w:szCs w:val="32"/>
        </w:rPr>
        <w:t>国家税务总局铁门关税务局，设11个内设机构、1个派出机构、1个事业单位，级别均为正科级。</w:t>
      </w:r>
    </w:p>
    <w:p w:rsidR="00D36535" w:rsidRDefault="00D36535" w:rsidP="00547640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</w:t>
      </w:r>
      <w:r w:rsidR="00547640" w:rsidRPr="00547640">
        <w:rPr>
          <w:rFonts w:hint="eastAsia"/>
          <w:sz w:val="32"/>
          <w:szCs w:val="32"/>
        </w:rPr>
        <w:t>办公室、法制科、社会保险费和非税收入科、纳税服务科（办税服务厅）、征收管理科、收入核算科、税源管理科、风险管理科、人事教育科、机关党委、纪检组。</w:t>
      </w:r>
    </w:p>
    <w:p w:rsidR="00D36535" w:rsidRPr="00D36535" w:rsidRDefault="00D36535" w:rsidP="0059735A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</w:t>
      </w:r>
      <w:r w:rsidR="00547640" w:rsidRPr="00547640">
        <w:rPr>
          <w:rFonts w:hint="eastAsia"/>
          <w:sz w:val="32"/>
          <w:szCs w:val="32"/>
        </w:rPr>
        <w:t>稽查局</w:t>
      </w:r>
      <w:r w:rsidR="008B2FA1">
        <w:rPr>
          <w:rFonts w:hint="eastAsia"/>
          <w:sz w:val="32"/>
          <w:szCs w:val="32"/>
        </w:rPr>
        <w:t>。</w:t>
      </w:r>
    </w:p>
    <w:p w:rsidR="00D36535" w:rsidRDefault="00D36535" w:rsidP="0059735A">
      <w:pPr>
        <w:pStyle w:val="Default"/>
        <w:snapToGrid w:val="0"/>
        <w:spacing w:line="600" w:lineRule="exact"/>
        <w:ind w:firstLineChars="200" w:firstLine="643"/>
        <w:rPr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</w:t>
      </w:r>
      <w:r w:rsidR="001E3EFA" w:rsidRPr="001E3EFA">
        <w:rPr>
          <w:rFonts w:hint="eastAsia"/>
          <w:sz w:val="32"/>
          <w:szCs w:val="32"/>
        </w:rPr>
        <w:t>信息中心</w:t>
      </w:r>
      <w:r>
        <w:rPr>
          <w:rFonts w:hint="eastAsia"/>
          <w:sz w:val="32"/>
          <w:szCs w:val="32"/>
        </w:rPr>
        <w:t>。</w:t>
      </w:r>
    </w:p>
    <w:p w:rsidR="008B2FA1" w:rsidRPr="0059735A" w:rsidRDefault="008B2FA1" w:rsidP="0059735A">
      <w:pPr>
        <w:pStyle w:val="Default"/>
        <w:snapToGrid w:val="0"/>
        <w:spacing w:line="600" w:lineRule="exact"/>
        <w:ind w:firstLineChars="200" w:firstLine="643"/>
        <w:rPr>
          <w:b/>
          <w:sz w:val="32"/>
          <w:szCs w:val="32"/>
        </w:rPr>
      </w:pPr>
      <w:r w:rsidRPr="0059735A">
        <w:rPr>
          <w:rFonts w:hint="eastAsia"/>
          <w:b/>
          <w:sz w:val="32"/>
          <w:szCs w:val="32"/>
        </w:rPr>
        <w:t>（四）所属机构</w:t>
      </w:r>
    </w:p>
    <w:p w:rsidR="008B2FA1" w:rsidRDefault="00E8070E" w:rsidP="0059735A">
      <w:pPr>
        <w:pStyle w:val="Default"/>
        <w:snapToGrid w:val="0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国家税务总局铁门关税务局</w:t>
      </w:r>
      <w:r w:rsidR="008B2FA1">
        <w:rPr>
          <w:rFonts w:hint="eastAsia"/>
          <w:sz w:val="32"/>
          <w:szCs w:val="32"/>
        </w:rPr>
        <w:t>直接管理的税务局共</w:t>
      </w:r>
      <w:r w:rsidR="000C2407">
        <w:rPr>
          <w:rFonts w:hint="eastAsia"/>
          <w:sz w:val="32"/>
          <w:szCs w:val="32"/>
        </w:rPr>
        <w:t>0</w:t>
      </w:r>
      <w:r w:rsidR="008B2FA1">
        <w:rPr>
          <w:rFonts w:hint="eastAsia"/>
          <w:sz w:val="32"/>
          <w:szCs w:val="32"/>
        </w:rPr>
        <w:t>个。</w:t>
      </w:r>
    </w:p>
    <w:p w:rsidR="00E066A9" w:rsidRPr="00E066A9" w:rsidRDefault="00E8070E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HAnsi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国家税务总局铁门关税务局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人员编制与实有人数均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按合并后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规模统计。</w:t>
      </w:r>
      <w:r w:rsidR="00E066A9"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实有编制数</w:t>
      </w:r>
      <w:r w:rsidR="00524A1D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5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9</w:t>
      </w:r>
      <w:r w:rsidR="00E066A9"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人，其中：行政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56</w:t>
      </w:r>
      <w:r w:rsidR="00E066A9"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人，事业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</w:t>
      </w:r>
      <w:r w:rsidR="00E066A9" w:rsidRPr="00E066A9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人。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实有人数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5</w:t>
      </w:r>
      <w:r w:rsidR="007F0E0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4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人，其中：在职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51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人，退休</w:t>
      </w:r>
      <w:r w:rsidR="008907BC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人，离休</w:t>
      </w:r>
      <w:r w:rsidR="007F0E0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0</w:t>
      </w:r>
      <w:r w:rsidR="00271B97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人。</w:t>
      </w:r>
      <w:r w:rsidR="00D4339A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实有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人数增加</w:t>
      </w:r>
      <w:r w:rsidR="00E6320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38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人，其中在职</w:t>
      </w:r>
      <w:r w:rsidR="00E6320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35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人，离退休</w:t>
      </w:r>
      <w:r w:rsidR="00E6320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3</w:t>
      </w:r>
      <w:r w:rsidR="00D4339A" w:rsidRPr="002427FF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人</w:t>
      </w:r>
      <w:r w:rsidR="004A62A8">
        <w:rPr>
          <w:rFonts w:ascii="仿宋_GB2312" w:eastAsia="仿宋_GB2312" w:hAnsiTheme="minorHAnsi" w:cs="仿宋_GB2312" w:hint="eastAsia"/>
          <w:color w:val="000000"/>
          <w:kern w:val="0"/>
          <w:sz w:val="32"/>
          <w:szCs w:val="32"/>
        </w:rPr>
        <w:t>。</w:t>
      </w:r>
    </w:p>
    <w:p w:rsidR="00301A77" w:rsidRPr="00271B97" w:rsidRDefault="00301A77" w:rsidP="00271B97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 xml:space="preserve">第二部分  </w:t>
      </w:r>
      <w:r w:rsidR="00F02945" w:rsidRPr="00271B97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71B97">
        <w:rPr>
          <w:rFonts w:ascii="黑体" w:eastAsia="黑体" w:hAnsi="黑体" w:hint="eastAsia"/>
          <w:b/>
          <w:kern w:val="0"/>
          <w:sz w:val="32"/>
          <w:szCs w:val="32"/>
        </w:rPr>
        <w:t>年部门预算公开表</w:t>
      </w:r>
    </w:p>
    <w:p w:rsidR="00301A7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6"/>
        <w:gridCol w:w="1585"/>
        <w:gridCol w:w="2616"/>
        <w:gridCol w:w="1585"/>
      </w:tblGrid>
      <w:tr w:rsidR="00816386" w:rsidRPr="00816386" w:rsidTr="00816386">
        <w:trPr>
          <w:trHeight w:val="36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6386">
              <w:rPr>
                <w:rFonts w:ascii="宋体" w:hAnsi="宋体" w:cs="宋体" w:hint="eastAsia"/>
                <w:kern w:val="0"/>
                <w:sz w:val="24"/>
              </w:rPr>
              <w:t>收                入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6386">
              <w:rPr>
                <w:rFonts w:ascii="宋体" w:hAnsi="宋体" w:cs="宋体" w:hint="eastAsia"/>
                <w:kern w:val="0"/>
                <w:sz w:val="24"/>
              </w:rPr>
              <w:t>支                出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63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2019年预算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事业收入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16386" w:rsidRPr="00816386" w:rsidTr="00816386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386" w:rsidRPr="00816386" w:rsidRDefault="00816386" w:rsidP="00816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86" w:rsidRPr="00816386" w:rsidRDefault="00816386" w:rsidP="008163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63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</w:tr>
    </w:tbl>
    <w:p w:rsidR="00160545" w:rsidRDefault="00160545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1656"/>
        <w:gridCol w:w="810"/>
        <w:gridCol w:w="535"/>
        <w:gridCol w:w="535"/>
        <w:gridCol w:w="576"/>
        <w:gridCol w:w="499"/>
        <w:gridCol w:w="535"/>
        <w:gridCol w:w="536"/>
        <w:gridCol w:w="536"/>
        <w:gridCol w:w="576"/>
      </w:tblGrid>
      <w:tr w:rsidR="00B94486" w:rsidRPr="00B94486" w:rsidTr="00B94486">
        <w:trPr>
          <w:trHeight w:val="510"/>
        </w:trPr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总  计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政府性基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金预算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财政专户管理资金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（教育收费）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事业收入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经营收入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其他收入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金弥补收支差额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单位上年结余（不</w:t>
            </w: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包括国库集中支付额度结余）</w:t>
            </w:r>
          </w:p>
        </w:tc>
      </w:tr>
      <w:tr w:rsidR="00B94486" w:rsidRPr="00B94486" w:rsidTr="00B94486">
        <w:trPr>
          <w:trHeight w:val="720"/>
        </w:trPr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94486" w:rsidRPr="00B94486" w:rsidTr="00B94486">
        <w:trPr>
          <w:trHeight w:val="360"/>
        </w:trPr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※※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94486" w:rsidRPr="00B94486" w:rsidTr="00B94486">
        <w:trPr>
          <w:trHeight w:val="40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94486" w:rsidRDefault="00B94486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091"/>
        <w:gridCol w:w="1653"/>
        <w:gridCol w:w="1526"/>
        <w:gridCol w:w="1524"/>
      </w:tblGrid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39"/>
        </w:trPr>
        <w:tc>
          <w:tcPr>
            <w:tcW w:w="558" w:type="pct"/>
            <w:gridSpan w:val="3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341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4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009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B94486" w:rsidRPr="00B94486" w:rsidTr="003A21EB">
        <w:trPr>
          <w:trHeight w:val="312"/>
        </w:trPr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341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94486" w:rsidRPr="00B94486" w:rsidTr="003A21EB">
        <w:trPr>
          <w:trHeight w:val="312"/>
        </w:trPr>
        <w:tc>
          <w:tcPr>
            <w:tcW w:w="194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94486" w:rsidRPr="00B94486" w:rsidTr="003A21EB">
        <w:trPr>
          <w:trHeight w:val="393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94486" w:rsidRPr="00B94486" w:rsidTr="003A21EB">
        <w:trPr>
          <w:trHeight w:val="360"/>
        </w:trPr>
        <w:tc>
          <w:tcPr>
            <w:tcW w:w="19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B94486" w:rsidRPr="00B94486" w:rsidRDefault="00B94486" w:rsidP="00B9448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9448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Pr="00B94486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91"/>
        <w:gridCol w:w="1300"/>
        <w:gridCol w:w="841"/>
        <w:gridCol w:w="1133"/>
        <w:gridCol w:w="925"/>
      </w:tblGrid>
      <w:tr w:rsidR="002F2DA8" w:rsidRPr="002F2DA8" w:rsidTr="003A21EB">
        <w:trPr>
          <w:trHeight w:val="405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2D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2D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2D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2DA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F2DA8" w:rsidRPr="002F2DA8" w:rsidTr="003A21EB">
        <w:trPr>
          <w:trHeight w:val="42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  <w:r w:rsidRPr="002F2DA8">
              <w:rPr>
                <w:kern w:val="0"/>
                <w:sz w:val="18"/>
                <w:szCs w:val="18"/>
              </w:rPr>
              <w:t xml:space="preserve">           </w:t>
            </w: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般  公  共  预  算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基</w:t>
            </w:r>
            <w:r w:rsidRPr="002F2DA8">
              <w:rPr>
                <w:kern w:val="0"/>
                <w:sz w:val="18"/>
                <w:szCs w:val="18"/>
              </w:rPr>
              <w:t xml:space="preserve">   </w:t>
            </w: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金</w:t>
            </w:r>
            <w:r w:rsidRPr="002F2DA8">
              <w:rPr>
                <w:kern w:val="0"/>
                <w:sz w:val="18"/>
                <w:szCs w:val="18"/>
              </w:rPr>
              <w:t xml:space="preserve">   </w:t>
            </w: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预</w:t>
            </w:r>
            <w:r w:rsidRPr="002F2DA8">
              <w:rPr>
                <w:kern w:val="0"/>
                <w:sz w:val="18"/>
                <w:szCs w:val="18"/>
              </w:rPr>
              <w:t xml:space="preserve">   </w:t>
            </w: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算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311.35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</w:t>
            </w: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202 外交支出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  政府性基金预算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38.38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3A21EB">
        <w:trPr>
          <w:trHeight w:val="360"/>
        </w:trPr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349.73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747"/>
        <w:gridCol w:w="1656"/>
        <w:gridCol w:w="1196"/>
        <w:gridCol w:w="1195"/>
      </w:tblGrid>
      <w:tr w:rsidR="002F2DA8" w:rsidRPr="002F2DA8" w:rsidTr="002F2DA8">
        <w:trPr>
          <w:trHeight w:val="3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405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7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7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2DA8" w:rsidRPr="002F2DA8" w:rsidTr="002F2DA8">
        <w:trPr>
          <w:trHeight w:val="312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F2DA8" w:rsidRPr="002F2DA8" w:rsidTr="002F2DA8">
        <w:trPr>
          <w:trHeight w:val="39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311.35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38.38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2DA8" w:rsidRPr="002F2DA8" w:rsidTr="002F2DA8">
        <w:trPr>
          <w:trHeight w:val="3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A8" w:rsidRPr="002F2DA8" w:rsidRDefault="002F2DA8" w:rsidP="002F2D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2DA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0819" w:rsidRPr="00B94486" w:rsidRDefault="00870819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3000"/>
        <w:gridCol w:w="2016"/>
        <w:gridCol w:w="1177"/>
        <w:gridCol w:w="1177"/>
      </w:tblGrid>
      <w:tr w:rsidR="00F30C43" w:rsidRPr="00F30C43" w:rsidTr="00F30C43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0C43" w:rsidRPr="00F30C43" w:rsidTr="00F30C43">
        <w:trPr>
          <w:trHeight w:val="435"/>
        </w:trPr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189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82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</w:tr>
      <w:tr w:rsidR="00F30C43" w:rsidRPr="00F30C43" w:rsidTr="00F30C43">
        <w:trPr>
          <w:trHeight w:val="312"/>
        </w:trPr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30C43" w:rsidRPr="00F30C43" w:rsidTr="00F30C43">
        <w:trPr>
          <w:trHeight w:val="3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8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30C43" w:rsidRPr="00F30C43" w:rsidTr="00F30C43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344.93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铁门关税务局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349.73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344.93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340.89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340.89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235.28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235.28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34.34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21.18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16.47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16.47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28.23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28.23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5.15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4.04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1.68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  <w:tr w:rsidR="00F30C43" w:rsidRPr="00F30C43" w:rsidTr="00F30C43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43" w:rsidRPr="00F30C43" w:rsidRDefault="00F30C43" w:rsidP="00F30C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0C43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</w:tr>
    </w:tbl>
    <w:p w:rsidR="00812537" w:rsidRPr="00CB67B7" w:rsidRDefault="0081253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301A77" w:rsidRPr="00CB67B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3A21EB">
        <w:rPr>
          <w:rFonts w:ascii="仿宋_GB2312" w:eastAsia="仿宋_GB2312" w:hAnsi="宋体" w:hint="eastAsia"/>
          <w:kern w:val="0"/>
          <w:sz w:val="32"/>
          <w:szCs w:val="32"/>
        </w:rPr>
        <w:t>项目支出情况表</w:t>
      </w:r>
    </w:p>
    <w:p w:rsidR="002C098C" w:rsidRPr="003A21EB" w:rsidRDefault="002C098C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3A21EB">
        <w:rPr>
          <w:rFonts w:ascii="仿宋_GB2312" w:eastAsia="仿宋_GB2312" w:hAnsi="宋体" w:hint="eastAsia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 w:rsidR="00F30C43" w:rsidRPr="003A21EB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1523"/>
        <w:gridCol w:w="870"/>
        <w:gridCol w:w="379"/>
        <w:gridCol w:w="379"/>
        <w:gridCol w:w="379"/>
        <w:gridCol w:w="379"/>
        <w:gridCol w:w="379"/>
        <w:gridCol w:w="543"/>
        <w:gridCol w:w="379"/>
        <w:gridCol w:w="543"/>
        <w:gridCol w:w="379"/>
        <w:gridCol w:w="379"/>
        <w:gridCol w:w="379"/>
      </w:tblGrid>
      <w:tr w:rsidR="00D60489" w:rsidRPr="00D60489" w:rsidTr="00D60489">
        <w:trPr>
          <w:trHeight w:val="504"/>
        </w:trPr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功能分类科目编码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</w:tr>
      <w:tr w:rsidR="00D60489" w:rsidRPr="00D60489" w:rsidTr="00D60489">
        <w:trPr>
          <w:trHeight w:val="31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60489" w:rsidRPr="00D60489" w:rsidTr="00D60489">
        <w:trPr>
          <w:trHeight w:val="31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60489" w:rsidRPr="00D60489" w:rsidTr="00D60489">
        <w:trPr>
          <w:trHeight w:val="37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D60489" w:rsidRPr="00D60489" w:rsidTr="00D60489">
        <w:trPr>
          <w:trHeight w:val="37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89" w:rsidRPr="00D60489" w:rsidRDefault="00D60489" w:rsidP="00D6048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04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301A7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1283"/>
        <w:gridCol w:w="923"/>
        <w:gridCol w:w="933"/>
        <w:gridCol w:w="933"/>
        <w:gridCol w:w="933"/>
        <w:gridCol w:w="1116"/>
      </w:tblGrid>
      <w:tr w:rsidR="003A21EB" w:rsidRPr="003A21EB" w:rsidTr="003A21EB">
        <w:trPr>
          <w:trHeight w:val="360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16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</w:tr>
      <w:tr w:rsidR="003A21EB" w:rsidRPr="003A21EB" w:rsidTr="003A21EB">
        <w:trPr>
          <w:trHeight w:val="360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21EB" w:rsidRPr="003A21EB" w:rsidTr="003A21EB">
        <w:trPr>
          <w:trHeight w:val="360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21EB" w:rsidRPr="003A21EB" w:rsidTr="003A21EB">
        <w:trPr>
          <w:trHeight w:val="360"/>
        </w:trPr>
        <w:tc>
          <w:tcPr>
            <w:tcW w:w="1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3A21EB" w:rsidRPr="003A21EB" w:rsidTr="003A21EB">
        <w:trPr>
          <w:trHeight w:val="36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Pr="003A21EB" w:rsidRDefault="002C098C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3A21EB">
        <w:rPr>
          <w:rFonts w:ascii="仿宋_GB2312" w:eastAsia="仿宋_GB2312" w:hAnsi="宋体" w:hint="eastAsia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 w:rsidR="003A21EB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01A77" w:rsidRDefault="00301A77" w:rsidP="003A21E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 w:rsidR="003A21EB" w:rsidRPr="003A21EB" w:rsidTr="003A21EB">
        <w:trPr>
          <w:trHeight w:val="4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A21EB" w:rsidRPr="003A21EB" w:rsidTr="003A21EB">
        <w:trPr>
          <w:trHeight w:val="375"/>
        </w:trPr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3A21EB" w:rsidRPr="003A21EB" w:rsidTr="003A21EB">
        <w:trPr>
          <w:trHeight w:val="312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21EB" w:rsidRPr="003A21EB" w:rsidTr="003A21EB">
        <w:trPr>
          <w:trHeight w:val="312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A21EB" w:rsidRPr="003A21EB" w:rsidTr="003A21EB">
        <w:trPr>
          <w:trHeight w:val="3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※※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3A21EB" w:rsidRPr="003A21EB" w:rsidTr="003A21EB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B" w:rsidRPr="003A21EB" w:rsidRDefault="003A21EB" w:rsidP="003A21E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1E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C098C" w:rsidRPr="002C098C" w:rsidRDefault="00E8070E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3A21EB">
        <w:rPr>
          <w:rFonts w:ascii="仿宋_GB2312" w:eastAsia="仿宋_GB2312" w:hAnsi="宋体" w:hint="eastAsia"/>
          <w:kern w:val="0"/>
          <w:sz w:val="32"/>
          <w:szCs w:val="32"/>
        </w:rPr>
        <w:t>无</w:t>
      </w:r>
      <w:r w:rsidR="002C098C">
        <w:rPr>
          <w:rFonts w:ascii="仿宋_GB2312" w:eastAsia="仿宋_GB2312" w:hAnsi="宋体" w:hint="eastAsia"/>
          <w:kern w:val="0"/>
          <w:sz w:val="32"/>
          <w:szCs w:val="32"/>
        </w:rPr>
        <w:t>政府性基金，本表为空表</w:t>
      </w:r>
      <w:r w:rsidR="003A21EB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2C098C" w:rsidRDefault="002C098C" w:rsidP="0059735A">
      <w:pPr>
        <w:widowControl/>
        <w:adjustRightInd w:val="0"/>
        <w:snapToGrid w:val="0"/>
        <w:spacing w:line="60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 xml:space="preserve">第三部分  </w:t>
      </w:r>
      <w:r w:rsidR="00B367FC" w:rsidRPr="002427FF">
        <w:rPr>
          <w:rFonts w:ascii="黑体" w:eastAsia="黑体" w:hAnsi="黑体" w:hint="eastAsia"/>
          <w:b/>
          <w:kern w:val="0"/>
          <w:sz w:val="32"/>
          <w:szCs w:val="32"/>
        </w:rPr>
        <w:t>2019</w:t>
      </w: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年部门预算情况说明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一、关于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2C098C" w:rsidRPr="002427FF">
        <w:rPr>
          <w:rFonts w:ascii="黑体" w:eastAsia="黑体" w:hAnsi="黑体" w:hint="eastAsia"/>
          <w:kern w:val="0"/>
          <w:sz w:val="32"/>
          <w:szCs w:val="32"/>
        </w:rPr>
        <w:t>2019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年收支预算情况的总体说明</w:t>
      </w:r>
    </w:p>
    <w:p w:rsidR="002C098C" w:rsidRPr="00CB67B7" w:rsidRDefault="002C098C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所有收入和支出均纳入部门预算管理。收支总预算</w:t>
      </w:r>
      <w:r w:rsidR="00F469BC" w:rsidRPr="00F469BC">
        <w:rPr>
          <w:rFonts w:ascii="仿宋_GB2312" w:eastAsia="仿宋_GB2312" w:hAnsi="宋体"/>
          <w:kern w:val="0"/>
          <w:sz w:val="32"/>
          <w:szCs w:val="32"/>
        </w:rPr>
        <w:t>349.73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1F1D6C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C098C" w:rsidRPr="00CB67B7" w:rsidRDefault="002C098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 w:rsidR="001F1D6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二、关于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收入预算情况说明</w:t>
      </w:r>
    </w:p>
    <w:p w:rsidR="001F1D6C" w:rsidRPr="00CB67B7" w:rsidRDefault="00E8070E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 w:rsidR="00B52B22" w:rsidRPr="00B52B22">
        <w:rPr>
          <w:rFonts w:ascii="仿宋_GB2312" w:eastAsia="仿宋_GB2312" w:hAnsi="宋体"/>
          <w:kern w:val="0"/>
          <w:sz w:val="32"/>
          <w:szCs w:val="32"/>
        </w:rPr>
        <w:t>349.73</w:t>
      </w:r>
      <w:r w:rsidR="001F1D6C"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F1D6C" w:rsidRPr="002427FF" w:rsidRDefault="001F1D6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B52B22" w:rsidRPr="00B52B22">
        <w:rPr>
          <w:rFonts w:ascii="仿宋_GB2312" w:eastAsia="仿宋_GB2312" w:hAnsi="宋体"/>
          <w:kern w:val="0"/>
          <w:sz w:val="32"/>
          <w:szCs w:val="32"/>
        </w:rPr>
        <w:t>349.73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</w:t>
      </w:r>
      <w:r w:rsidR="00820B7E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2D1E18" w:rsidRPr="002D1E18">
        <w:rPr>
          <w:rFonts w:ascii="仿宋_GB2312" w:eastAsia="仿宋_GB2312" w:hAnsi="宋体" w:cs="宋体"/>
          <w:kern w:val="0"/>
          <w:sz w:val="32"/>
          <w:szCs w:val="32"/>
        </w:rPr>
        <w:t>64.43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2018年国地税征管改革，原自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治区地方税务局与原</w:t>
      </w:r>
      <w:r w:rsidR="00B5558B">
        <w:rPr>
          <w:rFonts w:ascii="仿宋_GB2312" w:eastAsia="仿宋_GB2312" w:hAnsi="宋体" w:hint="eastAsia"/>
          <w:kern w:val="0"/>
          <w:sz w:val="32"/>
          <w:szCs w:val="32"/>
        </w:rPr>
        <w:t>自治区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国税局合并为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，经费保障体制随之发生变化，自治区财政保障范围为按照国家政策执行属地标准的工资项目，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及其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涉及的养老保险缴费、医疗保险缴费、住房公积金等单位按照规定缴存部分；按照国家政策执行地方标准的丧葬费、遗属补助等。</w:t>
      </w:r>
    </w:p>
    <w:p w:rsidR="001F1D6C" w:rsidRPr="002427FF" w:rsidRDefault="001F1D6C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政府性基金预算未安排。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三、关于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1F1D6C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支出预算情况说明</w:t>
      </w:r>
    </w:p>
    <w:p w:rsidR="001F1D6C" w:rsidRDefault="00E8070E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国家税务总局铁门关税务局</w:t>
      </w:r>
      <w:r w:rsidR="001F1D6C">
        <w:rPr>
          <w:rFonts w:ascii="仿宋_GB2312" w:eastAsia="仿宋_GB2312" w:hAnsi="宋体" w:hint="eastAsia"/>
          <w:kern w:val="0"/>
          <w:sz w:val="32"/>
          <w:szCs w:val="32"/>
        </w:rPr>
        <w:t>2019年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</w:t>
      </w:r>
      <w:r w:rsidR="003A2E46" w:rsidRPr="003A2E46">
        <w:rPr>
          <w:rFonts w:ascii="仿宋_GB2312" w:eastAsia="仿宋_GB2312" w:hAnsi="宋体"/>
          <w:kern w:val="0"/>
          <w:sz w:val="32"/>
          <w:szCs w:val="32"/>
        </w:rPr>
        <w:t>349.73</w:t>
      </w:r>
      <w:r w:rsidR="001F1D6C">
        <w:rPr>
          <w:rFonts w:ascii="仿宋_GB2312" w:eastAsia="仿宋_GB2312" w:hAnsi="宋体" w:hint="eastAsia"/>
          <w:kern w:val="0"/>
          <w:sz w:val="32"/>
          <w:szCs w:val="32"/>
        </w:rPr>
        <w:t>万</w:t>
      </w:r>
      <w:r w:rsidR="001F1D6C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1F1D6C" w:rsidRPr="00CB67B7" w:rsidRDefault="001F1D6C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276542" w:rsidRPr="00276542">
        <w:rPr>
          <w:rFonts w:ascii="仿宋_GB2312" w:eastAsia="仿宋_GB2312" w:hAnsi="宋体" w:cs="宋体"/>
          <w:kern w:val="0"/>
          <w:sz w:val="32"/>
          <w:szCs w:val="32"/>
        </w:rPr>
        <w:t>349.73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5D0557" w:rsidRPr="005D0557">
        <w:rPr>
          <w:rFonts w:ascii="仿宋_GB2312" w:eastAsia="仿宋_GB2312" w:hAnsi="宋体" w:cs="宋体"/>
          <w:kern w:val="0"/>
          <w:sz w:val="32"/>
          <w:szCs w:val="32"/>
        </w:rPr>
        <w:t>133.66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8D110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原因是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合并后人员增加</w:t>
      </w:r>
      <w:r w:rsidR="00D96E0C">
        <w:rPr>
          <w:rFonts w:ascii="仿宋_GB2312" w:eastAsia="仿宋_GB2312" w:hAnsi="宋体" w:cs="宋体" w:hint="eastAsia"/>
          <w:kern w:val="0"/>
          <w:sz w:val="32"/>
          <w:szCs w:val="32"/>
        </w:rPr>
        <w:t>38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人，其中在职增加</w:t>
      </w:r>
      <w:r w:rsidR="00D96E0C">
        <w:rPr>
          <w:rFonts w:ascii="仿宋_GB2312" w:eastAsia="仿宋_GB2312" w:hAnsi="宋体" w:cs="宋体" w:hint="eastAsia"/>
          <w:kern w:val="0"/>
          <w:sz w:val="32"/>
          <w:szCs w:val="32"/>
        </w:rPr>
        <w:t>35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人，离退休增加</w:t>
      </w:r>
      <w:r w:rsidR="00D96E0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8D110D" w:rsidRPr="00EA128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。项目支出</w:t>
      </w:r>
      <w:r w:rsidR="008D110D"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bCs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四、关于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bCs/>
          <w:kern w:val="0"/>
          <w:sz w:val="32"/>
          <w:szCs w:val="32"/>
        </w:rPr>
        <w:t>财政拨款收支预算情况的总体说明</w:t>
      </w:r>
    </w:p>
    <w:p w:rsidR="00B367FC" w:rsidRPr="0027338D" w:rsidRDefault="008D110D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019年财政拨款收支总预算</w:t>
      </w:r>
      <w:r w:rsidR="00675799" w:rsidRPr="00675799">
        <w:rPr>
          <w:rFonts w:ascii="仿宋_GB2312" w:eastAsia="仿宋_GB2312" w:hAnsi="宋体"/>
          <w:kern w:val="0"/>
          <w:sz w:val="32"/>
          <w:szCs w:val="32"/>
        </w:rPr>
        <w:t>349.73</w:t>
      </w: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万元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，其中2010701行政运行</w:t>
      </w:r>
      <w:r w:rsidR="00305366" w:rsidRPr="00305366">
        <w:rPr>
          <w:rFonts w:ascii="仿宋_GB2312" w:eastAsia="仿宋_GB2312" w:hAnsi="宋体"/>
          <w:kern w:val="0"/>
          <w:sz w:val="32"/>
          <w:szCs w:val="32"/>
        </w:rPr>
        <w:t>311.35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万元，</w:t>
      </w:r>
      <w:r w:rsidR="00305366" w:rsidRPr="0027338D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2080504未归口管理的行政单位离退休</w:t>
      </w:r>
      <w:r w:rsidR="00305366" w:rsidRPr="00305366">
        <w:rPr>
          <w:rFonts w:ascii="仿宋_GB2312" w:eastAsia="仿宋_GB2312" w:hAnsi="宋体"/>
          <w:kern w:val="0"/>
          <w:sz w:val="32"/>
          <w:szCs w:val="32"/>
        </w:rPr>
        <w:t>4.04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万元，2080505机关事业单位基本养老保险缴费支出</w:t>
      </w:r>
      <w:r w:rsidR="00305366" w:rsidRPr="00305366">
        <w:rPr>
          <w:rFonts w:ascii="仿宋_GB2312" w:eastAsia="仿宋_GB2312" w:hAnsi="宋体"/>
          <w:kern w:val="0"/>
          <w:sz w:val="32"/>
          <w:szCs w:val="32"/>
        </w:rPr>
        <w:t>34.34</w:t>
      </w:r>
      <w:r w:rsidR="00B367FC" w:rsidRPr="0027338D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7338D">
        <w:rPr>
          <w:rFonts w:ascii="仿宋_GB2312" w:eastAsia="仿宋_GB2312" w:hAnsi="宋体" w:hint="eastAsia"/>
          <w:kern w:val="0"/>
          <w:sz w:val="32"/>
          <w:szCs w:val="32"/>
        </w:rPr>
        <w:t>收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入全部为一般公共预算拨款，无政府性基金预算拨款。</w:t>
      </w:r>
    </w:p>
    <w:p w:rsidR="00B367FC" w:rsidRPr="002427FF" w:rsidRDefault="008D110D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支出预算包括：一般公共服务支出</w:t>
      </w:r>
      <w:r w:rsidR="008D639E" w:rsidRPr="008D639E">
        <w:rPr>
          <w:rFonts w:ascii="仿宋_GB2312" w:eastAsia="仿宋_GB2312" w:hAnsi="宋体"/>
          <w:kern w:val="0"/>
          <w:sz w:val="32"/>
          <w:szCs w:val="32"/>
        </w:rPr>
        <w:t>349.73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其中2010701行政运行</w:t>
      </w:r>
      <w:r w:rsidR="008D639E" w:rsidRPr="008D639E">
        <w:rPr>
          <w:rFonts w:ascii="仿宋_GB2312" w:eastAsia="仿宋_GB2312" w:hAnsi="宋体"/>
          <w:kern w:val="0"/>
          <w:sz w:val="32"/>
          <w:szCs w:val="32"/>
        </w:rPr>
        <w:t>311.35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万元，社会保障与就业支出</w:t>
      </w:r>
      <w:r w:rsidR="008D639E" w:rsidRPr="008D639E">
        <w:rPr>
          <w:rFonts w:ascii="仿宋_GB2312" w:eastAsia="仿宋_GB2312" w:hAnsi="宋体"/>
          <w:kern w:val="0"/>
          <w:sz w:val="32"/>
          <w:szCs w:val="32"/>
        </w:rPr>
        <w:t>38.38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万元，其中2080504未归口管理的行政单位离退休</w:t>
      </w:r>
      <w:r w:rsidR="008D639E">
        <w:rPr>
          <w:rFonts w:ascii="仿宋_GB2312" w:eastAsia="仿宋_GB2312" w:hAnsi="宋体" w:hint="eastAsia"/>
          <w:kern w:val="0"/>
          <w:sz w:val="32"/>
          <w:szCs w:val="32"/>
        </w:rPr>
        <w:t>4.04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万元，2080505机关事业单位基本养老保险缴费支出</w:t>
      </w:r>
      <w:r w:rsidR="00FF4A00" w:rsidRPr="00FF4A00">
        <w:rPr>
          <w:rFonts w:ascii="仿宋_GB2312" w:eastAsia="仿宋_GB2312" w:hAnsi="宋体"/>
          <w:kern w:val="0"/>
          <w:sz w:val="32"/>
          <w:szCs w:val="32"/>
        </w:rPr>
        <w:t>34.34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:rsidR="008D110D" w:rsidRPr="002427FF" w:rsidRDefault="008D110D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主要用于</w:t>
      </w:r>
      <w:r w:rsidR="001C790D" w:rsidRPr="002427FF">
        <w:rPr>
          <w:rFonts w:ascii="仿宋_GB2312" w:eastAsia="仿宋_GB2312" w:hAnsi="宋体" w:hint="eastAsia"/>
          <w:kern w:val="0"/>
          <w:sz w:val="32"/>
          <w:szCs w:val="32"/>
        </w:rPr>
        <w:t>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lastRenderedPageBreak/>
        <w:t>五、关于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8D110D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一般公共预算当年拨款情况说明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B367FC" w:rsidRPr="002427FF" w:rsidRDefault="00E8070E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B367FC"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="00B367FC"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一般公共预算拨款基本支出</w:t>
      </w:r>
      <w:r w:rsidR="001E7F34" w:rsidRPr="001E7F34">
        <w:rPr>
          <w:rFonts w:ascii="仿宋_GB2312" w:eastAsia="仿宋_GB2312" w:hAnsi="宋体"/>
          <w:kern w:val="0"/>
          <w:sz w:val="32"/>
          <w:szCs w:val="32"/>
        </w:rPr>
        <w:t>349.73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万元，比上年执行数增加</w:t>
      </w:r>
      <w:r w:rsidR="007D15A3">
        <w:rPr>
          <w:rFonts w:ascii="仿宋_GB2312" w:eastAsia="仿宋_GB2312" w:hAnsi="宋体" w:hint="eastAsia"/>
          <w:kern w:val="0"/>
          <w:sz w:val="32"/>
          <w:szCs w:val="32"/>
        </w:rPr>
        <w:t>64.43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万元，增长</w:t>
      </w:r>
      <w:r w:rsidR="007D15A3">
        <w:rPr>
          <w:rFonts w:ascii="仿宋_GB2312" w:eastAsia="仿宋_GB2312" w:hAnsi="宋体" w:hint="eastAsia"/>
          <w:kern w:val="0"/>
          <w:sz w:val="32"/>
          <w:szCs w:val="32"/>
        </w:rPr>
        <w:t>22.58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%。主要原因一是国地税征管体制改革，经费保障模式改变；二是合并后人员增加</w:t>
      </w:r>
      <w:r w:rsidR="00A27507">
        <w:rPr>
          <w:rFonts w:ascii="仿宋_GB2312" w:eastAsia="仿宋_GB2312" w:hAnsi="宋体" w:hint="eastAsia"/>
          <w:kern w:val="0"/>
          <w:sz w:val="32"/>
          <w:szCs w:val="32"/>
        </w:rPr>
        <w:t>38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人，其中在职增加</w:t>
      </w:r>
      <w:r w:rsidR="00A27507">
        <w:rPr>
          <w:rFonts w:ascii="仿宋_GB2312" w:eastAsia="仿宋_GB2312" w:hAnsi="宋体" w:hint="eastAsia"/>
          <w:kern w:val="0"/>
          <w:sz w:val="32"/>
          <w:szCs w:val="32"/>
        </w:rPr>
        <w:t>35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>人，离退休增加</w:t>
      </w:r>
      <w:r w:rsidR="00A27507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B367FC" w:rsidRPr="002427FF">
        <w:rPr>
          <w:rFonts w:ascii="仿宋_GB2312" w:eastAsia="仿宋_GB2312" w:hAnsi="宋体" w:hint="eastAsia"/>
          <w:kern w:val="0"/>
          <w:sz w:val="32"/>
          <w:szCs w:val="32"/>
        </w:rPr>
        <w:t xml:space="preserve">人。  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B367FC" w:rsidRPr="002427FF" w:rsidRDefault="00B367FC" w:rsidP="0059735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1.一般公共服务（类）</w:t>
      </w:r>
      <w:r w:rsidR="00C574F6" w:rsidRPr="00C574F6">
        <w:rPr>
          <w:rFonts w:ascii="仿宋_GB2312" w:eastAsia="仿宋_GB2312" w:hAnsi="宋体"/>
          <w:kern w:val="0"/>
          <w:sz w:val="32"/>
          <w:szCs w:val="32"/>
        </w:rPr>
        <w:t>311.35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万元，占</w:t>
      </w:r>
      <w:r w:rsidR="00C574F6">
        <w:rPr>
          <w:rFonts w:ascii="仿宋_GB2312" w:eastAsia="仿宋_GB2312" w:hAnsi="宋体" w:hint="eastAsia"/>
          <w:kern w:val="0"/>
          <w:sz w:val="32"/>
          <w:szCs w:val="32"/>
        </w:rPr>
        <w:t>89.03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%。其中2010701行政运行</w:t>
      </w:r>
      <w:r w:rsidR="00A91AE2" w:rsidRPr="00A91AE2">
        <w:rPr>
          <w:rFonts w:ascii="仿宋_GB2312" w:eastAsia="仿宋_GB2312" w:hAnsi="宋体"/>
          <w:kern w:val="0"/>
          <w:sz w:val="32"/>
          <w:szCs w:val="32"/>
        </w:rPr>
        <w:t>311.35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:rsidR="00B367FC" w:rsidRPr="002427FF" w:rsidRDefault="00B367FC" w:rsidP="002427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2. 社会保障与就业支出</w:t>
      </w:r>
      <w:r w:rsidR="00200FA7" w:rsidRPr="00200FA7">
        <w:rPr>
          <w:rFonts w:ascii="仿宋_GB2312" w:eastAsia="仿宋_GB2312" w:hAnsi="宋体"/>
          <w:kern w:val="0"/>
          <w:sz w:val="32"/>
          <w:szCs w:val="32"/>
        </w:rPr>
        <w:t>38.38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万元，占</w:t>
      </w:r>
      <w:r w:rsidR="00200FA7">
        <w:rPr>
          <w:rFonts w:ascii="仿宋_GB2312" w:eastAsia="仿宋_GB2312" w:hAnsi="宋体" w:hint="eastAsia"/>
          <w:kern w:val="0"/>
          <w:sz w:val="32"/>
          <w:szCs w:val="32"/>
        </w:rPr>
        <w:t>10.97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％。其中2080504未归口管理的行政单位离退休</w:t>
      </w:r>
      <w:r w:rsidR="00006C82" w:rsidRPr="00006C82">
        <w:rPr>
          <w:rFonts w:ascii="仿宋_GB2312" w:eastAsia="仿宋_GB2312" w:hAnsi="宋体"/>
          <w:kern w:val="0"/>
          <w:sz w:val="32"/>
          <w:szCs w:val="32"/>
        </w:rPr>
        <w:t>4.04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万元，2080505机关事业单位基本养老保险缴费支出</w:t>
      </w:r>
      <w:r w:rsidR="00006C82" w:rsidRPr="00006C82">
        <w:rPr>
          <w:rFonts w:ascii="仿宋_GB2312" w:eastAsia="仿宋_GB2312" w:hAnsi="宋体"/>
          <w:kern w:val="0"/>
          <w:sz w:val="32"/>
          <w:szCs w:val="32"/>
        </w:rPr>
        <w:t>34.34</w:t>
      </w:r>
      <w:r w:rsidRPr="002427FF">
        <w:rPr>
          <w:rFonts w:ascii="仿宋_GB2312" w:eastAsia="仿宋_GB2312" w:hAnsi="宋体" w:hint="eastAsia"/>
          <w:kern w:val="0"/>
          <w:sz w:val="32"/>
          <w:szCs w:val="32"/>
        </w:rPr>
        <w:t>万元</w:t>
      </w:r>
      <w:r w:rsidR="002427FF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B367FC" w:rsidRPr="00CB67B7" w:rsidRDefault="00B367FC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D175B3" w:rsidRDefault="00B367FC" w:rsidP="00F32864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 w:rsidR="00F32864" w:rsidRPr="00F32864">
        <w:rPr>
          <w:rFonts w:ascii="仿宋_GB2312" w:eastAsia="仿宋_GB2312" w:hAnsi="宋体" w:cs="宋体" w:hint="eastAsia"/>
          <w:kern w:val="0"/>
          <w:sz w:val="32"/>
          <w:szCs w:val="32"/>
        </w:rPr>
        <w:t>税收事务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="00F32864" w:rsidRPr="00F32864">
        <w:rPr>
          <w:rFonts w:ascii="仿宋" w:eastAsia="仿宋" w:hAnsi="仿宋" w:hint="eastAsia"/>
          <w:sz w:val="32"/>
          <w:szCs w:val="32"/>
        </w:rPr>
        <w:t>行政运行</w:t>
      </w:r>
      <w:r w:rsidR="00F32864">
        <w:rPr>
          <w:rFonts w:ascii="仿宋" w:eastAsia="仿宋" w:hAnsi="仿宋" w:hint="eastAsia"/>
          <w:sz w:val="32"/>
          <w:szCs w:val="32"/>
        </w:rPr>
        <w:t>01</w:t>
      </w:r>
      <w:r w:rsidR="00D175B3">
        <w:rPr>
          <w:rFonts w:ascii="仿宋" w:eastAsia="仿宋" w:hAnsi="仿宋" w:hint="eastAsia"/>
          <w:sz w:val="32"/>
          <w:szCs w:val="32"/>
        </w:rPr>
        <w:t>（项）：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9C08B5" w:rsidRPr="009C08B5">
        <w:rPr>
          <w:rFonts w:ascii="仿宋" w:eastAsia="仿宋" w:hAnsi="仿宋"/>
          <w:sz w:val="32"/>
          <w:szCs w:val="32"/>
        </w:rPr>
        <w:t>311.35</w:t>
      </w:r>
      <w:r w:rsidR="00D175B3"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</w:t>
      </w:r>
      <w:r w:rsidR="006411DA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6411DA" w:rsidRPr="006411DA">
        <w:rPr>
          <w:rFonts w:ascii="仿宋_GB2312" w:eastAsia="仿宋_GB2312" w:hAnsi="宋体" w:cs="宋体"/>
          <w:kern w:val="0"/>
          <w:sz w:val="32"/>
          <w:szCs w:val="32"/>
        </w:rPr>
        <w:t>98.61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降低</w:t>
      </w:r>
      <w:r w:rsidR="006411DA">
        <w:rPr>
          <w:rFonts w:ascii="仿宋_GB2312" w:eastAsia="仿宋_GB2312" w:hAnsi="宋体" w:cs="宋体" w:hint="eastAsia"/>
          <w:kern w:val="0"/>
          <w:sz w:val="32"/>
          <w:szCs w:val="32"/>
        </w:rPr>
        <w:t>31.67</w:t>
      </w:r>
      <w:r w:rsidR="00D175B3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D175B3">
        <w:rPr>
          <w:rFonts w:ascii="仿宋_GB2312" w:eastAsia="仿宋_GB2312" w:hAnsi="宋体" w:cs="宋体" w:hint="eastAsia"/>
          <w:kern w:val="0"/>
          <w:sz w:val="32"/>
          <w:szCs w:val="32"/>
        </w:rPr>
        <w:t>。主要原因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一是经费保障范围变化；二是机构改革后，人员发生变化，较2018年</w:t>
      </w:r>
      <w:r w:rsidR="000C5025" w:rsidRPr="002427FF">
        <w:rPr>
          <w:rFonts w:ascii="仿宋_GB2312" w:eastAsia="仿宋_GB2312" w:hAnsi="宋体" w:hint="eastAsia"/>
          <w:kern w:val="0"/>
          <w:sz w:val="32"/>
          <w:szCs w:val="32"/>
        </w:rPr>
        <w:t>增加</w:t>
      </w:r>
      <w:r w:rsidR="000C5025">
        <w:rPr>
          <w:rFonts w:ascii="仿宋_GB2312" w:eastAsia="仿宋_GB2312" w:hAnsi="宋体" w:hint="eastAsia"/>
          <w:kern w:val="0"/>
          <w:sz w:val="32"/>
          <w:szCs w:val="32"/>
        </w:rPr>
        <w:t>38</w:t>
      </w:r>
      <w:r w:rsidR="000C5025" w:rsidRPr="002427FF">
        <w:rPr>
          <w:rFonts w:ascii="仿宋_GB2312" w:eastAsia="仿宋_GB2312" w:hAnsi="宋体" w:hint="eastAsia"/>
          <w:kern w:val="0"/>
          <w:sz w:val="32"/>
          <w:szCs w:val="32"/>
        </w:rPr>
        <w:t>人，其中在职增加</w:t>
      </w:r>
      <w:r w:rsidR="000C5025">
        <w:rPr>
          <w:rFonts w:ascii="仿宋_GB2312" w:eastAsia="仿宋_GB2312" w:hAnsi="宋体" w:hint="eastAsia"/>
          <w:kern w:val="0"/>
          <w:sz w:val="32"/>
          <w:szCs w:val="32"/>
        </w:rPr>
        <w:t>35</w:t>
      </w:r>
      <w:r w:rsidR="000C5025" w:rsidRPr="002427FF">
        <w:rPr>
          <w:rFonts w:ascii="仿宋_GB2312" w:eastAsia="仿宋_GB2312" w:hAnsi="宋体" w:hint="eastAsia"/>
          <w:kern w:val="0"/>
          <w:sz w:val="32"/>
          <w:szCs w:val="32"/>
        </w:rPr>
        <w:t>人，离退休增加</w:t>
      </w:r>
      <w:r w:rsidR="000C5025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0C5025" w:rsidRPr="002427FF">
        <w:rPr>
          <w:rFonts w:ascii="仿宋_GB2312" w:eastAsia="仿宋_GB2312" w:hAnsi="宋体" w:hint="eastAsia"/>
          <w:kern w:val="0"/>
          <w:sz w:val="32"/>
          <w:szCs w:val="32"/>
        </w:rPr>
        <w:t>人。</w:t>
      </w:r>
    </w:p>
    <w:p w:rsidR="007C12AD" w:rsidRPr="0027338D" w:rsidRDefault="00FE6F5B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7C12AD" w:rsidRPr="00D175B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FE6F5B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 w:rsidR="007C12AD" w:rsidRPr="00CB67B7"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 w:rsidRPr="00FE6F5B">
        <w:rPr>
          <w:rFonts w:ascii="仿宋_GB2312" w:eastAsia="仿宋_GB2312" w:hAnsi="宋体" w:cs="宋体" w:hint="eastAsia"/>
          <w:kern w:val="0"/>
          <w:sz w:val="32"/>
          <w:szCs w:val="32"/>
        </w:rPr>
        <w:t>行政事业单位离退休位离退休</w:t>
      </w:r>
      <w:r w:rsidR="007C12AD"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 w:rsidR="007C12AD"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Pr="00FE6F5B">
        <w:rPr>
          <w:rFonts w:ascii="仿宋_GB2312" w:eastAsia="仿宋_GB2312" w:hAnsi="宋体" w:cs="宋体" w:hint="eastAsia"/>
          <w:kern w:val="0"/>
          <w:sz w:val="32"/>
          <w:szCs w:val="32"/>
        </w:rPr>
        <w:t>未归口管理的行政单位离退休</w:t>
      </w:r>
      <w:r w:rsidR="007C12AD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04（项）：2019年预算数为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4.04</w:t>
      </w:r>
      <w:r w:rsidR="007C12AD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4.04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主要原因是退休人数较合并前增加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9A4351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9A4351" w:rsidRDefault="009A4351" w:rsidP="0059735A">
      <w:pPr>
        <w:adjustRightInd w:val="0"/>
        <w:snapToGrid w:val="0"/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9A435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E63CC8" w:rsidRPr="00E63CC8"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 w:rsidR="00E63CC8" w:rsidRPr="00E63CC8">
        <w:rPr>
          <w:rFonts w:ascii="仿宋_GB2312" w:eastAsia="仿宋_GB2312" w:hAnsi="宋体" w:cs="宋体" w:hint="eastAsia"/>
          <w:kern w:val="0"/>
          <w:sz w:val="32"/>
          <w:szCs w:val="32"/>
        </w:rPr>
        <w:t>行政事业单位离退休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 w:rsidR="00E63CC8" w:rsidRPr="00E63CC8"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05（项）：2019年预算数为</w:t>
      </w:r>
      <w:r w:rsidR="00980E8B" w:rsidRPr="00980E8B">
        <w:rPr>
          <w:rFonts w:ascii="仿宋_GB2312" w:eastAsia="仿宋_GB2312" w:hAnsi="宋体" w:cs="宋体"/>
          <w:kern w:val="0"/>
          <w:sz w:val="32"/>
          <w:szCs w:val="32"/>
        </w:rPr>
        <w:t>34.34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</w:t>
      </w:r>
      <w:r w:rsidR="00980E8B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980E8B" w:rsidRPr="00980E8B">
        <w:rPr>
          <w:rFonts w:ascii="仿宋_GB2312" w:eastAsia="仿宋_GB2312" w:hAnsi="宋体" w:cs="宋体"/>
          <w:kern w:val="0"/>
          <w:sz w:val="32"/>
          <w:szCs w:val="32"/>
        </w:rPr>
        <w:t>8.94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980E8B">
        <w:rPr>
          <w:rFonts w:ascii="仿宋_GB2312" w:eastAsia="仿宋_GB2312" w:hAnsi="宋体" w:cs="宋体" w:hint="eastAsia"/>
          <w:kern w:val="0"/>
          <w:sz w:val="32"/>
          <w:szCs w:val="32"/>
        </w:rPr>
        <w:t>增加26.03</w:t>
      </w:r>
      <w:r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％。主要原因是</w:t>
      </w:r>
      <w:r w:rsidR="00EA1288" w:rsidRPr="0027338D">
        <w:rPr>
          <w:rFonts w:ascii="仿宋_GB2312" w:eastAsia="仿宋_GB2312" w:hAnsi="宋体" w:cs="宋体" w:hint="eastAsia"/>
          <w:kern w:val="0"/>
          <w:sz w:val="32"/>
          <w:szCs w:val="32"/>
        </w:rPr>
        <w:t>自治区财政经费保障范围变化。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六、关于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一般公共预算基本支出情况说明</w:t>
      </w:r>
    </w:p>
    <w:p w:rsidR="00EA1288" w:rsidRPr="00CB67B7" w:rsidRDefault="00E8070E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EA1288"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="00EA1288"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EA1288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一般公共预算基本支出</w:t>
      </w:r>
      <w:r w:rsidR="00C16680" w:rsidRPr="00C16680">
        <w:rPr>
          <w:rFonts w:ascii="仿宋_GB2312" w:eastAsia="仿宋_GB2312" w:hAnsi="宋体" w:cs="宋体"/>
          <w:kern w:val="0"/>
          <w:sz w:val="32"/>
          <w:szCs w:val="32"/>
        </w:rPr>
        <w:t>34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4.93</w:t>
      </w:r>
      <w:r w:rsidR="00EA1288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 其中：</w:t>
      </w:r>
    </w:p>
    <w:p w:rsidR="00EA1288" w:rsidRPr="00CB67B7" w:rsidRDefault="00EA1288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C16680" w:rsidRPr="00C16680">
        <w:rPr>
          <w:rFonts w:ascii="仿宋_GB2312" w:eastAsia="仿宋_GB2312" w:hAnsi="宋体" w:cs="宋体"/>
          <w:kern w:val="0"/>
          <w:sz w:val="32"/>
          <w:szCs w:val="32"/>
        </w:rPr>
        <w:t>34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4.93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规范性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 w:rsidR="00EA1288" w:rsidRPr="00CB67B7" w:rsidRDefault="00EA1288" w:rsidP="0059735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4.80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是职工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取暖</w:t>
      </w:r>
      <w:r w:rsidR="008E0D54">
        <w:rPr>
          <w:rFonts w:ascii="仿宋_GB2312" w:eastAsia="仿宋_GB2312" w:hAnsi="宋体" w:cs="宋体" w:hint="eastAsia"/>
          <w:kern w:val="0"/>
          <w:sz w:val="32"/>
          <w:szCs w:val="32"/>
        </w:rPr>
        <w:t>补助</w:t>
      </w:r>
      <w:r w:rsidR="0027338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七、关于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项目支出情况说明</w:t>
      </w:r>
    </w:p>
    <w:p w:rsidR="008E0D54" w:rsidRPr="008E0D54" w:rsidRDefault="00E8070E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8E0D54"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="008E0D54"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8E0D54">
        <w:rPr>
          <w:rFonts w:ascii="仿宋_GB2312" w:eastAsia="仿宋_GB2312" w:hAnsi="宋体" w:hint="eastAsia"/>
          <w:kern w:val="0"/>
          <w:sz w:val="32"/>
          <w:szCs w:val="32"/>
        </w:rPr>
        <w:t>未安排项目支出，项目支出情况表为空表。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八、关于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一般公共预算“三公”经费预算情况说明</w:t>
      </w:r>
    </w:p>
    <w:p w:rsidR="008E0D54" w:rsidRPr="00CB67B7" w:rsidRDefault="00E8070E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8E0D54"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="008E0D54"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8E0D54">
        <w:rPr>
          <w:rFonts w:ascii="仿宋_GB2312" w:eastAsia="仿宋_GB2312" w:hAnsi="宋体" w:hint="eastAsia"/>
          <w:kern w:val="0"/>
          <w:sz w:val="32"/>
          <w:szCs w:val="32"/>
        </w:rPr>
        <w:t>未安排“三公”经费预算，</w:t>
      </w:r>
      <w:r w:rsidR="008E0D54" w:rsidRPr="00CB67B7">
        <w:rPr>
          <w:rFonts w:ascii="仿宋_GB2312" w:eastAsia="仿宋_GB2312" w:hAnsi="宋体" w:hint="eastAsia"/>
          <w:kern w:val="0"/>
          <w:sz w:val="32"/>
          <w:szCs w:val="32"/>
        </w:rPr>
        <w:t>一般公共预算“三公”经费</w:t>
      </w:r>
      <w:r w:rsidR="008E0D54">
        <w:rPr>
          <w:rFonts w:ascii="仿宋_GB2312" w:eastAsia="仿宋_GB2312" w:hAnsi="宋体" w:hint="eastAsia"/>
          <w:kern w:val="0"/>
          <w:sz w:val="32"/>
          <w:szCs w:val="32"/>
        </w:rPr>
        <w:t>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lastRenderedPageBreak/>
        <w:t>九、关于</w:t>
      </w:r>
      <w:r w:rsidR="00E8070E">
        <w:rPr>
          <w:rFonts w:ascii="黑体" w:eastAsia="黑体" w:hAnsi="黑体" w:hint="eastAsia"/>
          <w:kern w:val="0"/>
          <w:sz w:val="32"/>
          <w:szCs w:val="32"/>
        </w:rPr>
        <w:t>国家税务总局铁门关税务局</w:t>
      </w:r>
      <w:r w:rsidR="00EA1288" w:rsidRPr="002427FF">
        <w:rPr>
          <w:rFonts w:ascii="黑体" w:eastAsia="黑体" w:hAnsi="黑体" w:hint="eastAsia"/>
          <w:kern w:val="0"/>
          <w:sz w:val="32"/>
          <w:szCs w:val="32"/>
        </w:rPr>
        <w:t>2019年</w:t>
      </w:r>
      <w:r w:rsidRPr="002427FF">
        <w:rPr>
          <w:rFonts w:ascii="黑体" w:eastAsia="黑体" w:hAnsi="黑体" w:hint="eastAsia"/>
          <w:kern w:val="0"/>
          <w:sz w:val="32"/>
          <w:szCs w:val="32"/>
        </w:rPr>
        <w:t>政府性基金预算拨款情况说明</w:t>
      </w:r>
    </w:p>
    <w:p w:rsidR="008E0D54" w:rsidRPr="00CB67B7" w:rsidRDefault="00E8070E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="008E0D54" w:rsidRPr="002C098C"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 w:rsidR="008E0D54" w:rsidRPr="00CB67B7"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8E0D54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没有使用政府性基金预算拨款安排的支出，政府性基金预算支出情况表为空表。</w:t>
      </w:r>
    </w:p>
    <w:p w:rsidR="00301A77" w:rsidRPr="002427FF" w:rsidRDefault="00301A77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黑体"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kern w:val="0"/>
          <w:sz w:val="32"/>
          <w:szCs w:val="32"/>
        </w:rPr>
        <w:t>十、其他重要事项的情况说明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650B4" w:rsidRPr="00C650B4" w:rsidRDefault="00C650B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C650B4">
        <w:rPr>
          <w:rFonts w:ascii="仿宋_GB2312" w:eastAsia="仿宋_GB2312" w:hAnsi="宋体" w:hint="eastAsia"/>
          <w:kern w:val="0"/>
          <w:sz w:val="32"/>
          <w:szCs w:val="32"/>
        </w:rPr>
        <w:t>2019年，未安排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C650B4">
        <w:rPr>
          <w:rFonts w:ascii="仿宋_GB2312" w:eastAsia="仿宋_GB2312" w:hAnsi="宋体" w:hint="eastAsia"/>
          <w:kern w:val="0"/>
          <w:sz w:val="32"/>
          <w:szCs w:val="32"/>
        </w:rPr>
        <w:t>机关运行经费财政拨款预算。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650B4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650B4">
        <w:rPr>
          <w:rFonts w:ascii="仿宋_GB2312" w:eastAsia="仿宋_GB2312" w:hAnsi="宋体" w:hint="eastAsia"/>
          <w:kern w:val="0"/>
          <w:sz w:val="32"/>
          <w:szCs w:val="32"/>
        </w:rPr>
        <w:t>2019年，未安排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政府采购预算。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27338D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E14062"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650B4" w:rsidRPr="00CB67B7" w:rsidRDefault="00E14062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</w:t>
      </w:r>
      <w:bookmarkStart w:id="0" w:name="_GoBack"/>
      <w:bookmarkEnd w:id="0"/>
      <w:r w:rsidR="00C650B4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单位价值50万元以上大型设备，单位价值100万元以上大型设备</w:t>
      </w:r>
      <w:r w:rsidR="00894CFA"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 w:rsidR="00C650B4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50万元以上大型设备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单位价值100万元以上大型设备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经费。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650B4" w:rsidRPr="00CB67B7" w:rsidRDefault="00C650B4" w:rsidP="0059735A">
      <w:pPr>
        <w:widowControl/>
        <w:adjustRightInd w:val="0"/>
        <w:snapToGrid w:val="0"/>
        <w:spacing w:line="60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</w:t>
      </w:r>
      <w:r w:rsidR="00E8070E">
        <w:rPr>
          <w:rFonts w:ascii="仿宋_GB2312" w:eastAsia="仿宋_GB2312" w:hAnsi="宋体" w:hint="eastAsia"/>
          <w:kern w:val="0"/>
          <w:sz w:val="32"/>
          <w:szCs w:val="32"/>
        </w:rPr>
        <w:t>国家税务总局铁门关税务局</w:t>
      </w:r>
      <w:r>
        <w:rPr>
          <w:rFonts w:ascii="仿宋_GB2312" w:eastAsia="仿宋_GB2312" w:hAnsi="宋体" w:hint="eastAsia"/>
          <w:kern w:val="0"/>
          <w:sz w:val="32"/>
          <w:szCs w:val="32"/>
        </w:rPr>
        <w:t>项目支出预算。</w:t>
      </w:r>
    </w:p>
    <w:p w:rsidR="002427FF" w:rsidRDefault="002427FF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</w:p>
    <w:p w:rsidR="00301A77" w:rsidRPr="002427FF" w:rsidRDefault="00301A77" w:rsidP="002427FF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eastAsia="黑体" w:hAnsi="黑体"/>
          <w:b/>
          <w:kern w:val="0"/>
          <w:sz w:val="32"/>
          <w:szCs w:val="32"/>
        </w:rPr>
      </w:pPr>
      <w:r w:rsidRPr="002427FF">
        <w:rPr>
          <w:rFonts w:ascii="黑体" w:eastAsia="黑体" w:hAnsi="黑体" w:hint="eastAsia"/>
          <w:b/>
          <w:kern w:val="0"/>
          <w:sz w:val="32"/>
          <w:szCs w:val="32"/>
        </w:rPr>
        <w:t>第四部分  名词解释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指由一般公共预算安排的财政拨款数。</w:t>
      </w:r>
    </w:p>
    <w:p w:rsidR="00C650B4" w:rsidRPr="00CB67B7" w:rsidRDefault="00C650B4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="00753E51">
        <w:rPr>
          <w:rFonts w:ascii="仿宋_GB2312" w:eastAsia="仿宋_GB2312" w:hint="eastAsia"/>
          <w:sz w:val="32"/>
          <w:szCs w:val="32"/>
        </w:rPr>
        <w:t>指</w:t>
      </w:r>
      <w:r w:rsidRPr="00CB67B7">
        <w:rPr>
          <w:rFonts w:ascii="仿宋_GB2312" w:eastAsia="仿宋_GB2312" w:hint="eastAsia"/>
          <w:sz w:val="32"/>
          <w:szCs w:val="32"/>
        </w:rPr>
        <w:t>公共财政拨款资金。</w:t>
      </w:r>
    </w:p>
    <w:p w:rsidR="00C650B4" w:rsidRDefault="00753E51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650B4" w:rsidRPr="00305D05">
        <w:rPr>
          <w:rFonts w:ascii="黑体" w:eastAsia="黑体" w:hAnsi="黑体" w:hint="eastAsia"/>
          <w:sz w:val="32"/>
          <w:szCs w:val="32"/>
        </w:rPr>
        <w:t>、基本支出：</w:t>
      </w:r>
      <w:r w:rsidR="00C650B4"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2427FF" w:rsidRDefault="002427FF" w:rsidP="0059735A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:rsidR="002427FF" w:rsidRDefault="002427FF" w:rsidP="002427FF">
      <w:pPr>
        <w:adjustRightInd w:val="0"/>
        <w:snapToGrid w:val="0"/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国家税务总局新疆维吾尔自治区</w:t>
      </w:r>
    </w:p>
    <w:p w:rsidR="002427FF" w:rsidRPr="00CB67B7" w:rsidRDefault="002427FF" w:rsidP="002427FF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2019年1月24日</w:t>
      </w:r>
    </w:p>
    <w:sectPr w:rsidR="002427FF" w:rsidRPr="00CB67B7" w:rsidSect="00F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98" w:rsidRDefault="00282798" w:rsidP="008C3038">
      <w:r>
        <w:separator/>
      </w:r>
    </w:p>
  </w:endnote>
  <w:endnote w:type="continuationSeparator" w:id="0">
    <w:p w:rsidR="00282798" w:rsidRDefault="00282798" w:rsidP="008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98" w:rsidRDefault="00282798" w:rsidP="008C3038">
      <w:r>
        <w:separator/>
      </w:r>
    </w:p>
  </w:footnote>
  <w:footnote w:type="continuationSeparator" w:id="0">
    <w:p w:rsidR="00282798" w:rsidRDefault="00282798" w:rsidP="008C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77"/>
    <w:rsid w:val="00006C82"/>
    <w:rsid w:val="000901AD"/>
    <w:rsid w:val="000C2407"/>
    <w:rsid w:val="000C5025"/>
    <w:rsid w:val="001306F7"/>
    <w:rsid w:val="00160545"/>
    <w:rsid w:val="001919BC"/>
    <w:rsid w:val="001C790D"/>
    <w:rsid w:val="001E3EFA"/>
    <w:rsid w:val="001E7F34"/>
    <w:rsid w:val="001F1D6C"/>
    <w:rsid w:val="00200FA7"/>
    <w:rsid w:val="00202563"/>
    <w:rsid w:val="002427FF"/>
    <w:rsid w:val="00271B97"/>
    <w:rsid w:val="0027338D"/>
    <w:rsid w:val="00276542"/>
    <w:rsid w:val="00282798"/>
    <w:rsid w:val="00285827"/>
    <w:rsid w:val="002B1F91"/>
    <w:rsid w:val="002C098C"/>
    <w:rsid w:val="002D1E18"/>
    <w:rsid w:val="002F2DA8"/>
    <w:rsid w:val="002F504F"/>
    <w:rsid w:val="00301A77"/>
    <w:rsid w:val="00305366"/>
    <w:rsid w:val="00316EEA"/>
    <w:rsid w:val="00365A69"/>
    <w:rsid w:val="003A21EB"/>
    <w:rsid w:val="003A2E46"/>
    <w:rsid w:val="003A41F5"/>
    <w:rsid w:val="00420B4B"/>
    <w:rsid w:val="004A62A8"/>
    <w:rsid w:val="0051626B"/>
    <w:rsid w:val="00524A1D"/>
    <w:rsid w:val="00547640"/>
    <w:rsid w:val="0059735A"/>
    <w:rsid w:val="005B1030"/>
    <w:rsid w:val="005D0557"/>
    <w:rsid w:val="00616F40"/>
    <w:rsid w:val="006411DA"/>
    <w:rsid w:val="00675799"/>
    <w:rsid w:val="00753E51"/>
    <w:rsid w:val="007B5D83"/>
    <w:rsid w:val="007C12AD"/>
    <w:rsid w:val="007D15A3"/>
    <w:rsid w:val="007F0E08"/>
    <w:rsid w:val="007F30E5"/>
    <w:rsid w:val="00812537"/>
    <w:rsid w:val="00816386"/>
    <w:rsid w:val="00820B7E"/>
    <w:rsid w:val="00870819"/>
    <w:rsid w:val="008907BC"/>
    <w:rsid w:val="00894CFA"/>
    <w:rsid w:val="008B2FA1"/>
    <w:rsid w:val="008C3038"/>
    <w:rsid w:val="008D110D"/>
    <w:rsid w:val="008D639E"/>
    <w:rsid w:val="008E0D54"/>
    <w:rsid w:val="00971F01"/>
    <w:rsid w:val="00980E8B"/>
    <w:rsid w:val="009A4351"/>
    <w:rsid w:val="009C08B5"/>
    <w:rsid w:val="009E050D"/>
    <w:rsid w:val="00A01061"/>
    <w:rsid w:val="00A170F4"/>
    <w:rsid w:val="00A27507"/>
    <w:rsid w:val="00A91AE2"/>
    <w:rsid w:val="00B367FC"/>
    <w:rsid w:val="00B52B22"/>
    <w:rsid w:val="00B5558B"/>
    <w:rsid w:val="00B565C7"/>
    <w:rsid w:val="00B94486"/>
    <w:rsid w:val="00BE7C40"/>
    <w:rsid w:val="00C16680"/>
    <w:rsid w:val="00C574F6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D60489"/>
    <w:rsid w:val="00D96E0C"/>
    <w:rsid w:val="00E03CB3"/>
    <w:rsid w:val="00E066A9"/>
    <w:rsid w:val="00E14062"/>
    <w:rsid w:val="00E22877"/>
    <w:rsid w:val="00E56029"/>
    <w:rsid w:val="00E63208"/>
    <w:rsid w:val="00E63CC8"/>
    <w:rsid w:val="00E8070E"/>
    <w:rsid w:val="00EA1288"/>
    <w:rsid w:val="00F02945"/>
    <w:rsid w:val="00F30C43"/>
    <w:rsid w:val="00F32864"/>
    <w:rsid w:val="00F469BC"/>
    <w:rsid w:val="00F7774A"/>
    <w:rsid w:val="00FC3AE6"/>
    <w:rsid w:val="00FE045D"/>
    <w:rsid w:val="00FE6F5B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1A7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1A7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301A77"/>
  </w:style>
  <w:style w:type="paragraph" w:customStyle="1" w:styleId="f1">
    <w:name w:val="f1"/>
    <w:basedOn w:val="a"/>
    <w:rsid w:val="00301A77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301A77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301A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30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01A7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301A77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301A77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301A77"/>
  </w:style>
  <w:style w:type="paragraph" w:styleId="a7">
    <w:name w:val="List Paragraph"/>
    <w:basedOn w:val="a"/>
    <w:uiPriority w:val="34"/>
    <w:qFormat/>
    <w:rsid w:val="00301A7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301A77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301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301A77"/>
  </w:style>
  <w:style w:type="character" w:styleId="a9">
    <w:name w:val="Strong"/>
    <w:qFormat/>
    <w:rsid w:val="00301A77"/>
    <w:rPr>
      <w:rFonts w:cs="Times New Roman"/>
      <w:b/>
      <w:bCs/>
    </w:rPr>
  </w:style>
  <w:style w:type="table" w:styleId="aa">
    <w:name w:val="Table Grid"/>
    <w:basedOn w:val="a1"/>
    <w:uiPriority w:val="59"/>
    <w:rsid w:val="00301A7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301A77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301A77"/>
    <w:rPr>
      <w:rFonts w:ascii="Calibri" w:hAnsi="Calibri" w:cs="黑体"/>
      <w:sz w:val="24"/>
    </w:rPr>
  </w:style>
  <w:style w:type="paragraph" w:customStyle="1" w:styleId="Default">
    <w:name w:val="Default"/>
    <w:rsid w:val="00FC3AE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7C4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E7C40"/>
    <w:rPr>
      <w:color w:val="800080"/>
      <w:u w:val="single"/>
    </w:rPr>
  </w:style>
  <w:style w:type="paragraph" w:customStyle="1" w:styleId="font0">
    <w:name w:val="font0"/>
    <w:basedOn w:val="a"/>
    <w:rsid w:val="00BE7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BE7C40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BE7C4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BE7C4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BE7C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BE7C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BE7C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70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D6B9-DC3E-4578-A1E4-473F6697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18</Pages>
  <Words>1299</Words>
  <Characters>7409</Characters>
  <Application>Microsoft Office Word</Application>
  <DocSecurity>0</DocSecurity>
  <Lines>61</Lines>
  <Paragraphs>17</Paragraphs>
  <ScaleCrop>false</ScaleCrop>
  <Company>微软中国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唐琛</dc:creator>
  <cp:lastModifiedBy>张宇龙</cp:lastModifiedBy>
  <cp:revision>73</cp:revision>
  <cp:lastPrinted>2019-01-28T08:19:00Z</cp:lastPrinted>
  <dcterms:created xsi:type="dcterms:W3CDTF">2019-01-23T11:52:00Z</dcterms:created>
  <dcterms:modified xsi:type="dcterms:W3CDTF">2019-02-01T08:14:00Z</dcterms:modified>
</cp:coreProperties>
</file>