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bidi="ar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国家税务总局吐鲁番市税务局稽查局202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批稽查对象随机抽查事项清单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 </w:t>
      </w:r>
    </w:p>
    <w:tbl>
      <w:tblPr>
        <w:tblStyle w:val="3"/>
        <w:tblW w:w="0" w:type="auto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3158"/>
        <w:gridCol w:w="535"/>
        <w:gridCol w:w="2715"/>
        <w:gridCol w:w="3969"/>
        <w:gridCol w:w="1617"/>
        <w:gridCol w:w="56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lang w:bidi="ar"/>
              </w:rPr>
              <w:t>公示事项</w:t>
            </w:r>
          </w:p>
        </w:tc>
        <w:tc>
          <w:tcPr>
            <w:tcW w:w="1199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lang w:bidi="ar"/>
              </w:rPr>
              <w:t>公示内容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0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随机抽查项目</w:t>
            </w:r>
          </w:p>
        </w:tc>
        <w:tc>
          <w:tcPr>
            <w:tcW w:w="119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税务稽查随机抽查（20</w:t>
            </w: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年第二批稽查对象随机抽查）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0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随机抽查依据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《中华人民共和国税收征收管理法》第五十四条、第五十七条、第五十八条</w:t>
            </w:r>
          </w:p>
        </w:tc>
        <w:tc>
          <w:tcPr>
            <w:tcW w:w="3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《国务院办公厅关于推广随机抽查规范事中事后监管的通知》（国办发〔2015〕58号）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_GB2312" w:eastAsia="仿宋_GB2312" w:cs="仿宋_GB2312"/>
                <w:snapToGrid w:val="0"/>
                <w:kern w:val="0"/>
                <w:sz w:val="24"/>
                <w:lang w:bidi="ar"/>
              </w:rPr>
              <w:t>根据新疆</w:t>
            </w:r>
            <w:r>
              <w:rPr>
                <w:rFonts w:hint="eastAsia" w:ascii="仿宋_GB2312" w:eastAsia="仿宋_GB2312" w:cs="仿宋_GB2312"/>
                <w:snapToGrid w:val="0"/>
                <w:kern w:val="0"/>
                <w:sz w:val="24"/>
                <w:lang w:val="en-US" w:eastAsia="zh-CN" w:bidi="ar"/>
              </w:rPr>
              <w:t>维吾尔</w:t>
            </w:r>
            <w:r>
              <w:rPr>
                <w:rFonts w:hint="eastAsia" w:ascii="仿宋_GB2312" w:eastAsia="仿宋_GB2312" w:cs="仿宋_GB2312"/>
                <w:snapToGrid w:val="0"/>
                <w:kern w:val="0"/>
                <w:sz w:val="24"/>
                <w:lang w:bidi="ar"/>
              </w:rPr>
              <w:t>自治区人民政府《关于印发推广随机抽查规范事中事后监管的通知》（新政办发〔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2016</w:t>
            </w:r>
            <w:r>
              <w:rPr>
                <w:rFonts w:hint="eastAsia" w:ascii="仿宋_GB2312" w:eastAsia="仿宋_GB2312" w:cs="仿宋_GB2312"/>
                <w:snapToGrid w:val="0"/>
                <w:kern w:val="0"/>
                <w:sz w:val="24"/>
                <w:lang w:bidi="ar"/>
              </w:rPr>
              <w:t>〕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17</w:t>
            </w:r>
            <w:r>
              <w:rPr>
                <w:rFonts w:hint="eastAsia" w:ascii="仿宋_GB2312" w:eastAsia="仿宋_GB2312" w:cs="仿宋_GB2312"/>
                <w:snapToGrid w:val="0"/>
                <w:kern w:val="0"/>
                <w:sz w:val="24"/>
                <w:lang w:bidi="ar"/>
              </w:rPr>
              <w:t>号文）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10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随机抽查主体</w:t>
            </w:r>
          </w:p>
        </w:tc>
        <w:tc>
          <w:tcPr>
            <w:tcW w:w="119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_GB2312" w:eastAsia="仿宋_GB2312" w:cs="仿宋_GB2312"/>
                <w:snapToGrid w:val="0"/>
                <w:kern w:val="0"/>
                <w:sz w:val="24"/>
                <w:lang w:bidi="ar"/>
              </w:rPr>
              <w:t>国家税务总局吐鲁番市税务局稽查局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eastAsia="仿宋_GB2312" w:cs="仿宋_GB2312"/>
                <w:snapToGrid w:val="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0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随机抽查方式</w:t>
            </w:r>
          </w:p>
        </w:tc>
        <w:tc>
          <w:tcPr>
            <w:tcW w:w="119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00" w:lineRule="atLeast"/>
              <w:ind w:firstLine="480"/>
              <w:jc w:val="left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采取定向抽取方式，从“税务稽查双随机工作平台—随机抽查对象名录库”中，随机抽取抽查对象。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00" w:lineRule="atLeast"/>
              <w:ind w:firstLine="480"/>
              <w:jc w:val="left"/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随机抽查对象</w:t>
            </w:r>
          </w:p>
        </w:tc>
        <w:tc>
          <w:tcPr>
            <w:tcW w:w="119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00" w:lineRule="atLeast"/>
              <w:ind w:firstLine="480"/>
              <w:jc w:val="left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纳税人、扣缴义务人和其他涉税当事人履行纳税义务、扣缴税款义务情况及其他税法遵从情况。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00" w:lineRule="atLeast"/>
              <w:ind w:firstLine="480"/>
              <w:jc w:val="left"/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0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随机抽查内容</w:t>
            </w:r>
          </w:p>
        </w:tc>
        <w:tc>
          <w:tcPr>
            <w:tcW w:w="119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00" w:lineRule="atLeast"/>
              <w:ind w:firstLine="545"/>
              <w:jc w:val="left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是否有不缴或者少缴税款行为，是否有不缴或者少缴已扣、已收税款行为，是否有逃避追缴欠税行为，是否有违规取得国家出口退税款、骗取国家出口退税款行为，是否有应扣未扣、应收而不收税款行为，是否有虚开发票行为，是否有其他不遵从税法行为。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00" w:lineRule="atLeast"/>
              <w:ind w:firstLine="545"/>
              <w:jc w:val="left"/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0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检查所属期间</w:t>
            </w:r>
          </w:p>
        </w:tc>
        <w:tc>
          <w:tcPr>
            <w:tcW w:w="119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20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"/>
              </w:rPr>
              <w:t>20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年1月1日-20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"/>
              </w:rPr>
              <w:t>22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年12月31日（如检查发现此期间以外明显的税收违法嫌疑或线索不受此限）。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4" w:hRule="atLeast"/>
          <w:jc w:val="center"/>
        </w:trPr>
        <w:tc>
          <w:tcPr>
            <w:tcW w:w="10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检</w:t>
            </w:r>
          </w:p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查</w:t>
            </w:r>
          </w:p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手</w:t>
            </w:r>
          </w:p>
          <w:p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段</w:t>
            </w:r>
          </w:p>
        </w:tc>
        <w:tc>
          <w:tcPr>
            <w:tcW w:w="119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545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检查纳税人的账簿、记账凭证、报表和有关资料，检查扣缴义务人代扣代缴、代收代缴税款账簿、记账凭证和有关资料。</w:t>
            </w:r>
          </w:p>
          <w:p>
            <w:pPr>
              <w:widowControl/>
              <w:ind w:firstLine="54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到纳税人的生产、经营场所和货物存放地检查纳税人应纳税的商品、货物或者其他财产，检查扣缴义务人与代扣代缴、代收代缴税款有关的经营情况。</w:t>
            </w:r>
          </w:p>
          <w:p>
            <w:pPr>
              <w:widowControl/>
              <w:ind w:firstLine="54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责成纳税人、扣缴义务人提供与纳税或者代扣代缴、代收代缴税款有关的文件、证明材料和有关资料。</w:t>
            </w:r>
          </w:p>
          <w:p>
            <w:pPr>
              <w:widowControl/>
              <w:ind w:firstLine="54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询问纳税人、扣缴义务人与纳税或者代扣代缴、代收代缴税款有关的问题和情况。</w:t>
            </w:r>
          </w:p>
          <w:p>
            <w:pPr>
              <w:widowControl/>
              <w:ind w:firstLine="54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到车站、码头、机场、邮政企业及其分支机构检查纳税人托运、邮寄应纳税商品、货物或者其他财产的有关单据、凭证和有关资料。</w:t>
            </w:r>
          </w:p>
          <w:p>
            <w:pPr>
              <w:widowControl/>
              <w:ind w:firstLine="54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经县以上税务局(分局)局长批准，凭全国统一格式的检查存款账户许可证明，查询从事生产、经营的纳税人、扣缴义务人在银行或者其他金融机构的存款账户。税务机关在调查税收违法案件时，经设区的市、自治州以上税务局(分局)局长批准，可以查询案件涉嫌人员的储蓄存款。税务机关查询所获得的资料，不得用于税收以外的用途。</w:t>
            </w:r>
          </w:p>
          <w:p>
            <w:pPr>
              <w:widowControl/>
              <w:ind w:firstLine="54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税务机关依法进行税务检查时，有权向有关单位和个人调查纳税人、扣缴义务人和其他当事人与纳税或者代扣代缴、代收代缴税款有关的情况，有关单位和个人有义务向税务机关如实提供有关资料及证明材料。</w:t>
            </w:r>
          </w:p>
          <w:p>
            <w:pPr>
              <w:widowControl/>
              <w:ind w:firstLine="545"/>
              <w:jc w:val="left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税务机关调查税务违法案件时，对与案件有关的情况和资料，可以记录、录音、录像、照相和复制。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ind w:firstLine="545"/>
              <w:jc w:val="left"/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1052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instrText xml:space="preserve"> HYPERLINK "http://tycx.xjsw.tax.cn/javascript:opendrillurl("/sword?tid=cx902initView&amp;tj=DJXH:10116521010000007597,NSRSBH:91650402MA778BAJ97,NSRSBH_1:91650402MA778BAJ97&amp;DJXH=10116521010000007597&amp;NSRSBH=91650402MA778BAJ97&amp;NSRSBH_1=91650402MA778BAJ97&amp;ztj=[{name:YXBZ,type:string,tjzmerge:undefined,value:'Y'},{name:ZGSWJ_DM,type:string,tjzmerge:0,value:'16521000000'},{name:ZGSWSKFJ_DM,type:string,tjzmerge:0,value:'16521000000'},{name:NSRMC,type:string,tjzmerge:undefined,value:'国益'}]")" </w:instrText>
            </w: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eastAsia="宋体" w:cs="Times New Roman"/>
                <w:color w:val="000000"/>
                <w:sz w:val="22"/>
                <w:szCs w:val="22"/>
              </w:rPr>
              <w:t>91650402MA778BAJ97</w:t>
            </w: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fldChar w:fldCharType="end"/>
            </w:r>
          </w:p>
        </w:tc>
        <w:tc>
          <w:tcPr>
            <w:tcW w:w="83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t>吐鲁番国益建设投资有限公司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1052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instrText xml:space="preserve"> HYPERLINK "http://tycx.xjsw.tax.cn/javascript:opendrillurl("/sword?tid=cx902initView&amp;tj=DJXH:10216521900000019660,NSRSBH:91650402MA78UN353L,NSRSBH_1:91650402MA78UN353L&amp;DJXH=10216521900000019660&amp;NSRSBH=91650402MA78UN353L&amp;NSRSBH_1=91650402MA78UN353L&amp;ztj=[{name:YXBZ,type:string,tjzmerge:undefined,value:'Y'},{name:ZGSWJ_DM,type:string,tjzmerge:0,value:'16521000000'},{name:ZGSWSKFJ_DM,type:string,tjzmerge:0,value:'16521000000'},{name:NSRMC,type:string,tjzmerge:undefined,value:'立宇'}]")" </w:instrText>
            </w: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eastAsia="宋体" w:cs="Times New Roman"/>
                <w:color w:val="000000"/>
                <w:sz w:val="22"/>
                <w:szCs w:val="22"/>
              </w:rPr>
              <w:t>91650402MA78UN353L</w:t>
            </w: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fldChar w:fldCharType="end"/>
            </w:r>
          </w:p>
        </w:tc>
        <w:tc>
          <w:tcPr>
            <w:tcW w:w="83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t>吐鲁番市立宇房地产开发有限公司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1052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9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instrText xml:space="preserve"> HYPERLINK "http://tycx.xjsw.tax.cn/javascript:opendrillurl("/sword?tid=cx902initView&amp;tj=DJXH:10216521000000937380,NSRSBH:9165040257624151X1,NSRSBH_1:65210157624151X&amp;DJXH=10216521000000937380&amp;NSRSBH=9165040257624151X1&amp;NSRSBH_1=65210157624151X&amp;ztj=[{name:YXBZ,type:string,tjzmerge:undefined,value:'Y'},{name:ZGSWJ_DM,type:string,tjzmerge:0,value:'16521000000'},{name:ZGSWSKFJ_DM,type:string,tjzmerge:0,value:'16521000000'},{name:NSRMC,type:string,tjzmerge:undefined,value:'吉星达'}]")" </w:instrText>
            </w: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eastAsia="宋体" w:cs="Times New Roman"/>
                <w:color w:val="000000"/>
                <w:sz w:val="22"/>
                <w:szCs w:val="22"/>
              </w:rPr>
              <w:t>91650402</w:t>
            </w:r>
            <w:bookmarkStart w:id="0" w:name="_GoBack"/>
            <w:bookmarkEnd w:id="0"/>
            <w:r>
              <w:rPr>
                <w:rFonts w:hint="eastAsia" w:eastAsia="宋体" w:cs="Times New Roman"/>
                <w:color w:val="000000"/>
                <w:sz w:val="22"/>
                <w:szCs w:val="22"/>
              </w:rPr>
              <w:t>57624151X1</w:t>
            </w: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fldChar w:fldCharType="end"/>
            </w:r>
          </w:p>
        </w:tc>
        <w:tc>
          <w:tcPr>
            <w:tcW w:w="830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t>新疆吉星达房地产开发有限责任公司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1052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instrText xml:space="preserve"> HYPERLINK "http://tycx.xjsw.tax.cn/javascript:opendrillurl("/sword?tid=cx902initView&amp;tj=DJXH:10116521000024755901,NSRSBH:916504005688578673,NSRSBH_1:652101568857867&amp;DJXH=10116521000024755901&amp;NSRSBH=916504005688578673&amp;NSRSBH_1=652101568857867&amp;ztj=[{name:YXBZ,type:string,tjzmerge:undefined,value:'Y'},{name:ZGSWJ_DM,type:string,tjzmerge:0,value:'16521000000'},{name:ZGSWSKFJ_DM,type:string,tjzmerge:0,value:'16521000000'},{name:NSRMC,type:string,tjzmerge:undefined,value:'艾合买提燃料'}]")" </w:instrText>
            </w: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t>916504005688578673</w:t>
            </w: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fldChar w:fldCharType="end"/>
            </w:r>
          </w:p>
        </w:tc>
        <w:tc>
          <w:tcPr>
            <w:tcW w:w="8301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t>吐鲁番艾合买提燃料有限公司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1052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t xml:space="preserve">91650402MA7MF08P7M </w:t>
            </w:r>
          </w:p>
        </w:tc>
        <w:tc>
          <w:tcPr>
            <w:tcW w:w="83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t xml:space="preserve">吐鲁番市腾鑫加油站 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1052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t xml:space="preserve">91650402MA78K6803A </w:t>
            </w:r>
          </w:p>
        </w:tc>
        <w:tc>
          <w:tcPr>
            <w:tcW w:w="8301" w:type="dxa"/>
            <w:gridSpan w:val="3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t xml:space="preserve">吐鲁番市创诚美环保科技有限责任公司 </w:t>
            </w:r>
          </w:p>
        </w:tc>
        <w:tc>
          <w:tcPr>
            <w:tcW w:w="568" w:type="dxa"/>
            <w:tcBorders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1052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t xml:space="preserve">91650402MA78TW0Q51 </w:t>
            </w:r>
          </w:p>
        </w:tc>
        <w:tc>
          <w:tcPr>
            <w:tcW w:w="8301" w:type="dxa"/>
            <w:gridSpan w:val="3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t xml:space="preserve">吐鲁番市天行伟健旅游开发有限公司 </w:t>
            </w:r>
          </w:p>
        </w:tc>
        <w:tc>
          <w:tcPr>
            <w:tcW w:w="568" w:type="dxa"/>
            <w:tcBorders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1052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t xml:space="preserve">916504227668355540 </w:t>
            </w:r>
          </w:p>
        </w:tc>
        <w:tc>
          <w:tcPr>
            <w:tcW w:w="8301" w:type="dxa"/>
            <w:gridSpan w:val="3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t xml:space="preserve">新疆新隆源工贸有限公司 </w:t>
            </w:r>
          </w:p>
        </w:tc>
        <w:tc>
          <w:tcPr>
            <w:tcW w:w="568" w:type="dxa"/>
            <w:tcBorders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1052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instrText xml:space="preserve"> HYPERLINK "http://tycx.xjsw.tax.cn/javascript:opendrillurl("/sword?tid=cx902initView&amp;tj=DJXH:10116521000025764558,NSRSBH:916504006978260711,NSRSBH_1:652122697826071&amp;DJXH=10116521000025764558&amp;NSRSBH=916504006978260711&amp;NSRSBH_1=652122697826071&amp;ztj=[{name:YXBZ,type:string,tjzmerge:undefined,value:'Y'},{name:ZGSWJ_DM,type:string,tjzmerge:0,value:'16521000000'},{name:ZGSWSKFJ_DM,type:string,tjzmerge:0,value:'16521000000'},{name:NSRMC,type:string,tjzmerge:undefined,value:'泰金矿业'}]")" </w:instrText>
            </w: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t>916504006978260711</w:t>
            </w: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fldChar w:fldCharType="end"/>
            </w:r>
          </w:p>
        </w:tc>
        <w:tc>
          <w:tcPr>
            <w:tcW w:w="8301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t>鄯善县泰金矿业投资有限公司</w:t>
            </w:r>
          </w:p>
        </w:tc>
        <w:tc>
          <w:tcPr>
            <w:tcW w:w="568" w:type="dxa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eastAsia="宋体" w:cs="Times New Roman"/>
                <w:color w:val="000000"/>
                <w:sz w:val="22"/>
                <w:szCs w:val="22"/>
              </w:rPr>
            </w:pPr>
          </w:p>
        </w:tc>
      </w:tr>
    </w:tbl>
    <w:tbl>
      <w:tblPr>
        <w:tblStyle w:val="3"/>
        <w:tblpPr w:leftFromText="180" w:rightFromText="180" w:vertAnchor="text" w:horzAnchor="page" w:tblpX="2720" w:tblpY="190"/>
        <w:tblOverlap w:val="never"/>
        <w:tblW w:w="66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7"/>
        <w:gridCol w:w="33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7" w:type="dxa"/>
            <w:shd w:val="clear" w:color="auto" w:fill="auto"/>
            <w:vAlign w:val="center"/>
          </w:tcPr>
          <w:p>
            <w:pP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>
            <w:pP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7" w:type="dxa"/>
            <w:shd w:val="clear" w:color="auto" w:fill="auto"/>
            <w:vAlign w:val="center"/>
          </w:tcPr>
          <w:p>
            <w:pP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>
            <w:pP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</w:tr>
    </w:tbl>
    <w:p/>
    <w:p/>
    <w:sectPr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D2E70"/>
    <w:rsid w:val="06B7576D"/>
    <w:rsid w:val="0D973408"/>
    <w:rsid w:val="232C08AB"/>
    <w:rsid w:val="2A0853EE"/>
    <w:rsid w:val="365D5505"/>
    <w:rsid w:val="5F5B59F2"/>
    <w:rsid w:val="6BE27724"/>
    <w:rsid w:val="6D2D2E70"/>
    <w:rsid w:val="6F8020A9"/>
    <w:rsid w:val="701D3689"/>
    <w:rsid w:val="7174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u w:val="single"/>
    </w:rPr>
  </w:style>
  <w:style w:type="character" w:styleId="11">
    <w:name w:val="HTML Code"/>
    <w:basedOn w:val="4"/>
    <w:qFormat/>
    <w:uiPriority w:val="0"/>
    <w:rPr>
      <w:rFonts w:ascii="Courier New" w:hAnsi="Courier New"/>
      <w:sz w:val="18"/>
      <w:szCs w:val="18"/>
      <w:shd w:val="clear" w:fill="CBDBEF"/>
    </w:rPr>
  </w:style>
  <w:style w:type="character" w:styleId="12">
    <w:name w:val="HTML Ci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2023-03-06T02:18:00Z</dcterms:created>
  <dc:creator>崔芸芸</dc:creator>
  <cp:lastModifiedBy>sxm</cp:lastModifiedBy>
  <cp:lastPrinted>2023-05-08T08:52:00Z</cp:lastPrinted>
  <dcterms:modified xsi:type="dcterms:W3CDTF">2023-05-16T03:49:36Z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