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2017年度原吐鲁番市地税系统部门决算</w:t>
      </w: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spacing w:line="580" w:lineRule="exact"/>
        <w:ind w:firstLine="640" w:firstLineChars="200"/>
        <w:rPr>
          <w:rFonts w:ascii="仿宋_GB2312" w:hAnsi="宋体" w:eastAsia="仿宋_GB2312"/>
          <w:sz w:val="32"/>
          <w:szCs w:val="32"/>
        </w:rPr>
      </w:pPr>
    </w:p>
    <w:p>
      <w:pPr>
        <w:spacing w:line="580" w:lineRule="exact"/>
        <w:jc w:val="center"/>
        <w:rPr>
          <w:rFonts w:ascii="华文中宋" w:hAnsi="华文中宋" w:eastAsia="华文中宋"/>
          <w:b/>
          <w:kern w:val="0"/>
          <w:sz w:val="32"/>
          <w:szCs w:val="32"/>
        </w:rPr>
      </w:pPr>
      <w:r>
        <w:rPr>
          <w:rFonts w:hint="eastAsia" w:ascii="华文中宋" w:hAnsi="华文中宋" w:eastAsia="华文中宋"/>
          <w:b/>
          <w:kern w:val="0"/>
          <w:sz w:val="32"/>
          <w:szCs w:val="32"/>
        </w:rPr>
        <w:t>目  录</w:t>
      </w:r>
    </w:p>
    <w:p>
      <w:pPr>
        <w:spacing w:line="580" w:lineRule="exact"/>
        <w:ind w:firstLine="640" w:firstLineChars="200"/>
        <w:rPr>
          <w:rFonts w:ascii="仿宋_GB2312" w:hAnsi="宋体" w:eastAsia="仿宋_GB2312"/>
          <w:b/>
          <w:kern w:val="0"/>
          <w:sz w:val="32"/>
          <w:szCs w:val="32"/>
        </w:rPr>
      </w:pP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部门决算报表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二、部门收支总体情况（11张）：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三、财政拨款收支情况（9张）：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四、单位资产负责情况（1张）：《资产负债简表》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五、部门决算附表（5张）：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六、填报说明附表（2张）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《2017年度一般公共预算“三公”经费支出情况表》</w:t>
      </w:r>
    </w:p>
    <w:p>
      <w:pPr>
        <w:spacing w:line="520" w:lineRule="exact"/>
        <w:jc w:val="center"/>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第一部分 部门单位概况</w:t>
      </w:r>
    </w:p>
    <w:p>
      <w:pPr>
        <w:numPr>
          <w:ilvl w:val="0"/>
          <w:numId w:val="1"/>
        </w:num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主要职能、机构设置及人员情况</w:t>
      </w:r>
    </w:p>
    <w:p>
      <w:pPr>
        <w:ind w:firstLine="640" w:firstLineChars="200"/>
        <w:rPr>
          <w:rFonts w:ascii="仿宋_GB2312" w:hAnsi="仿宋" w:eastAsia="仿宋_GB2312" w:cs="仿宋_GB2312"/>
          <w:sz w:val="32"/>
          <w:szCs w:val="32"/>
        </w:rPr>
      </w:pPr>
      <w:r>
        <w:rPr>
          <w:rFonts w:hint="eastAsia" w:ascii="仿宋_GB2312" w:hAnsi="宋体" w:eastAsia="仿宋_GB2312"/>
          <w:kern w:val="0"/>
          <w:sz w:val="32"/>
          <w:szCs w:val="32"/>
        </w:rPr>
        <w:t>主要职能：</w:t>
      </w:r>
      <w:r>
        <w:rPr>
          <w:rFonts w:hint="eastAsia" w:ascii="仿宋_GB2312" w:hAnsi="仿宋" w:eastAsia="仿宋_GB2312" w:cs="仿宋_GB2312"/>
          <w:sz w:val="32"/>
          <w:szCs w:val="32"/>
        </w:rPr>
        <w:t>原吐鲁番市地方税务局为原新疆自治区地方</w:t>
      </w:r>
      <w:r>
        <w:rPr>
          <w:rFonts w:hint="eastAsia" w:ascii="仿宋_GB2312" w:hAnsi="宋体" w:eastAsia="仿宋_GB2312"/>
          <w:kern w:val="0"/>
          <w:sz w:val="32"/>
          <w:szCs w:val="32"/>
        </w:rPr>
        <w:t>税务局的直属机构，负责本市地方税收管理工作，领导所属高昌区地税局、鄯善县地税局、托克逊县地税局工作。领导所属县（市）地方税务部门</w:t>
      </w:r>
      <w:r>
        <w:rPr>
          <w:rFonts w:hint="eastAsia" w:ascii="仿宋_GB2312" w:hAnsi="仿宋" w:eastAsia="仿宋_GB2312" w:cs="仿宋_GB2312"/>
          <w:sz w:val="32"/>
          <w:szCs w:val="32"/>
        </w:rPr>
        <w:t>工作，承担原新疆维吾尔自治区地方税务局、吐鲁番市党委和吐鲁番市人民政府交办的其他工作。主要职责是贯彻执行国家和自治区制定的税收法律法规、规章及规范性文件，并结合本市实际，研究制定具体的实施办法；负责组织有地方税务部门征收管理的各种税收；监督检查本市地方税收政策的执行情况及征管工作；按照地方税收管理权限，办理有关减免税事宜；负责地方税收的稽查工作；负责偷税、欠税和抗税案件的查处工作；管理地方税收的计划、统计和会计工作；负责地方税务部门的思想政治工作、精神文明建设和基层建设；负责干部的教育培训工作；负责地方税务部门纪检、监察工作；负责地方税务部门的信息化建设和管理工作；负责分析税收信息，掌握税收动态，组织税法宣传工作；承担自治区地方税务局和吐鲁番市行政公署交办的其他工作。</w:t>
      </w:r>
    </w:p>
    <w:p>
      <w:pPr>
        <w:ind w:firstLine="768" w:firstLineChars="240"/>
        <w:rPr>
          <w:rFonts w:ascii="仿宋_GB2312" w:eastAsia="仿宋_GB2312"/>
          <w:color w:val="000000"/>
          <w:sz w:val="32"/>
          <w:szCs w:val="32"/>
        </w:rPr>
      </w:pPr>
      <w:r>
        <w:rPr>
          <w:rFonts w:hint="eastAsia" w:ascii="仿宋_GB2312" w:hAnsi="宋体" w:eastAsia="仿宋_GB2312"/>
          <w:kern w:val="0"/>
          <w:sz w:val="32"/>
          <w:szCs w:val="32"/>
        </w:rPr>
        <w:t>机构设置及人员情况</w:t>
      </w:r>
      <w:r>
        <w:rPr>
          <w:rFonts w:hint="eastAsia" w:ascii="仿宋_GB2312" w:hAnsi="仿宋" w:eastAsia="仿宋_GB2312" w:cs="仿宋_GB2312"/>
          <w:sz w:val="32"/>
          <w:szCs w:val="32"/>
        </w:rPr>
        <w:t>：原吐鲁番市地方税务局</w:t>
      </w:r>
      <w:r>
        <w:rPr>
          <w:rFonts w:hint="eastAsia" w:ascii="仿宋_GB2312" w:eastAsia="仿宋_GB2312"/>
          <w:color w:val="000000"/>
          <w:sz w:val="32"/>
          <w:szCs w:val="32"/>
        </w:rPr>
        <w:t>为自治区二级预算单位，机构设置为2级，即地（州、市）地税局、县（市、区）地税局。所属三级预算单位4个</w:t>
      </w:r>
      <w:r>
        <w:rPr>
          <w:rFonts w:hint="eastAsia" w:ascii="仿宋_GB2312" w:eastAsia="仿宋_GB2312"/>
          <w:color w:val="000000"/>
          <w:sz w:val="32"/>
          <w:szCs w:val="32"/>
          <w:lang w:eastAsia="zh-CN"/>
        </w:rPr>
        <w:t>，比上年减少</w:t>
      </w:r>
      <w:r>
        <w:rPr>
          <w:rFonts w:hint="eastAsia" w:ascii="仿宋_GB2312" w:eastAsia="仿宋_GB2312"/>
          <w:color w:val="000000"/>
          <w:sz w:val="32"/>
          <w:szCs w:val="32"/>
          <w:lang w:val="en-US" w:eastAsia="zh-CN"/>
        </w:rPr>
        <w:t>1个三级</w:t>
      </w:r>
      <w:r>
        <w:rPr>
          <w:rFonts w:hint="eastAsia" w:ascii="仿宋_GB2312" w:eastAsia="仿宋_GB2312"/>
          <w:color w:val="000000"/>
          <w:sz w:val="32"/>
          <w:szCs w:val="32"/>
        </w:rPr>
        <w:t>预算单位</w:t>
      </w:r>
      <w:r>
        <w:rPr>
          <w:rFonts w:hint="eastAsia" w:ascii="仿宋_GB2312" w:eastAsia="仿宋_GB2312"/>
          <w:color w:val="000000"/>
          <w:sz w:val="32"/>
          <w:szCs w:val="32"/>
          <w:lang w:eastAsia="zh-CN"/>
        </w:rPr>
        <w:t>为吐哈油田地方税务局</w:t>
      </w:r>
      <w:r>
        <w:rPr>
          <w:rFonts w:hint="eastAsia" w:ascii="仿宋_GB2312" w:eastAsia="仿宋_GB2312"/>
          <w:color w:val="000000"/>
          <w:sz w:val="32"/>
          <w:szCs w:val="32"/>
        </w:rPr>
        <w:t>。</w:t>
      </w:r>
    </w:p>
    <w:p>
      <w:pPr>
        <w:ind w:firstLine="768" w:firstLineChars="240"/>
        <w:rPr>
          <w:rFonts w:ascii="仿宋_GB2312" w:hAnsi="仿宋" w:eastAsia="仿宋_GB2312" w:cs="仿宋_GB2312"/>
          <w:sz w:val="32"/>
          <w:szCs w:val="32"/>
        </w:rPr>
      </w:pPr>
      <w:r>
        <w:rPr>
          <w:rFonts w:hint="eastAsia" w:ascii="仿宋_GB2312" w:hAnsi="仿宋" w:eastAsia="仿宋_GB2312" w:cs="仿宋_GB2312"/>
          <w:sz w:val="32"/>
          <w:szCs w:val="32"/>
        </w:rPr>
        <w:t>2017年全系统核定编制人数268名，其中：行政编制260名，事业编制8名。同比减少12名编制数，为吐哈石油局编制数。</w:t>
      </w:r>
    </w:p>
    <w:p>
      <w:pPr>
        <w:ind w:firstLine="576" w:firstLineChars="180"/>
        <w:rPr>
          <w:rFonts w:ascii="仿宋_GB2312" w:hAnsi="仿宋" w:eastAsia="仿宋_GB2312" w:cs="仿宋_GB2312"/>
          <w:sz w:val="32"/>
          <w:szCs w:val="32"/>
        </w:rPr>
      </w:pPr>
      <w:r>
        <w:rPr>
          <w:rFonts w:hint="eastAsia" w:ascii="仿宋_GB2312" w:hAnsi="仿宋" w:eastAsia="仿宋_GB2312" w:cs="仿宋_GB2312"/>
          <w:sz w:val="32"/>
          <w:szCs w:val="32"/>
        </w:rPr>
        <w:t>2017年全系统期末在职人数241人(已剔除吐哈局12人)，在职人员比上年末净减9人，退休人数65人，比上年末增加16人。</w:t>
      </w:r>
    </w:p>
    <w:p>
      <w:pPr>
        <w:numPr>
          <w:ilvl w:val="0"/>
          <w:numId w:val="1"/>
        </w:num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部门决算单位构成</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原吐鲁番市地方税务系统部门决算包括：吐鲁番市地方税务局部门本级决算、所属单位决算等。</w:t>
      </w:r>
    </w:p>
    <w:p>
      <w:pPr>
        <w:spacing w:line="500" w:lineRule="exact"/>
        <w:ind w:firstLine="640" w:firstLineChars="200"/>
        <w:rPr>
          <w:rFonts w:ascii="仿宋_GB2312" w:eastAsia="仿宋_GB2312"/>
          <w:spacing w:val="-6"/>
          <w:sz w:val="32"/>
          <w:szCs w:val="32"/>
        </w:rPr>
      </w:pPr>
      <w:r>
        <w:rPr>
          <w:rFonts w:hint="eastAsia" w:ascii="仿宋_GB2312" w:hAnsi="仿宋" w:eastAsia="仿宋_GB2312" w:cs="仿宋_GB2312"/>
          <w:sz w:val="32"/>
          <w:szCs w:val="32"/>
        </w:rPr>
        <w:t>纳入原吐鲁番市地方税务系统2017年部门决算编制范围</w:t>
      </w:r>
      <w:r>
        <w:rPr>
          <w:rFonts w:hint="eastAsia" w:ascii="仿宋_GB2312" w:eastAsia="仿宋_GB2312"/>
          <w:spacing w:val="-6"/>
          <w:sz w:val="32"/>
          <w:szCs w:val="32"/>
        </w:rPr>
        <w:t>的单位名单见下表：</w:t>
      </w:r>
    </w:p>
    <w:p>
      <w:pPr>
        <w:spacing w:line="500" w:lineRule="exact"/>
        <w:ind w:firstLine="616" w:firstLineChars="200"/>
        <w:rPr>
          <w:rFonts w:ascii="仿宋_GB2312" w:eastAsia="仿宋_GB2312"/>
          <w:spacing w:val="-6"/>
          <w:sz w:val="32"/>
          <w:szCs w:val="32"/>
        </w:rPr>
      </w:pPr>
    </w:p>
    <w:tbl>
      <w:tblPr>
        <w:tblStyle w:val="5"/>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8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44"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序号</w:t>
            </w:r>
          </w:p>
        </w:tc>
        <w:tc>
          <w:tcPr>
            <w:tcW w:w="5085" w:type="dxa"/>
            <w:vAlign w:val="center"/>
          </w:tcPr>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单位名称</w:t>
            </w:r>
          </w:p>
        </w:tc>
        <w:tc>
          <w:tcPr>
            <w:tcW w:w="1590"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44"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1</w:t>
            </w:r>
          </w:p>
        </w:tc>
        <w:tc>
          <w:tcPr>
            <w:tcW w:w="5085" w:type="dxa"/>
            <w:vAlign w:val="center"/>
          </w:tcPr>
          <w:p>
            <w:pPr>
              <w:spacing w:line="500" w:lineRule="exact"/>
              <w:ind w:firstLine="640" w:firstLineChars="200"/>
              <w:jc w:val="left"/>
              <w:rPr>
                <w:rFonts w:ascii="仿宋_GB2312" w:eastAsia="仿宋_GB2312"/>
                <w:sz w:val="32"/>
                <w:szCs w:val="32"/>
              </w:rPr>
            </w:pPr>
            <w:r>
              <w:rPr>
                <w:rFonts w:hint="eastAsia" w:ascii="仿宋_GB2312" w:hAnsi="仿宋" w:eastAsia="仿宋_GB2312" w:cs="仿宋_GB2312"/>
                <w:sz w:val="32"/>
                <w:szCs w:val="32"/>
              </w:rPr>
              <w:t>原吐鲁番市地方税务局</w:t>
            </w:r>
            <w:r>
              <w:rPr>
                <w:rFonts w:hint="eastAsia" w:ascii="仿宋_GB2312" w:eastAsia="仿宋_GB2312"/>
                <w:sz w:val="32"/>
                <w:szCs w:val="32"/>
              </w:rPr>
              <w:t>本级</w:t>
            </w:r>
          </w:p>
        </w:tc>
        <w:tc>
          <w:tcPr>
            <w:tcW w:w="1590"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44"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2</w:t>
            </w:r>
          </w:p>
        </w:tc>
        <w:tc>
          <w:tcPr>
            <w:tcW w:w="5085" w:type="dxa"/>
            <w:vAlign w:val="center"/>
          </w:tcPr>
          <w:p>
            <w:pPr>
              <w:spacing w:line="500" w:lineRule="exact"/>
              <w:ind w:firstLine="640" w:firstLineChars="200"/>
              <w:jc w:val="left"/>
              <w:rPr>
                <w:rFonts w:ascii="仿宋_GB2312" w:eastAsia="仿宋_GB2312"/>
                <w:sz w:val="32"/>
                <w:szCs w:val="32"/>
              </w:rPr>
            </w:pPr>
            <w:r>
              <w:rPr>
                <w:rFonts w:hint="eastAsia" w:ascii="仿宋_GB2312" w:hAnsi="仿宋" w:eastAsia="仿宋_GB2312" w:cs="仿宋_GB2312"/>
                <w:sz w:val="32"/>
                <w:szCs w:val="32"/>
              </w:rPr>
              <w:t>原吐鲁番市高昌区地方税务局</w:t>
            </w:r>
          </w:p>
        </w:tc>
        <w:tc>
          <w:tcPr>
            <w:tcW w:w="1590"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44"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3</w:t>
            </w:r>
          </w:p>
        </w:tc>
        <w:tc>
          <w:tcPr>
            <w:tcW w:w="5085" w:type="dxa"/>
            <w:vAlign w:val="center"/>
          </w:tcPr>
          <w:p>
            <w:pPr>
              <w:spacing w:line="500" w:lineRule="exact"/>
              <w:ind w:firstLine="640" w:firstLineChars="200"/>
              <w:jc w:val="left"/>
              <w:rPr>
                <w:rFonts w:ascii="仿宋_GB2312" w:eastAsia="仿宋_GB2312"/>
                <w:sz w:val="32"/>
                <w:szCs w:val="32"/>
              </w:rPr>
            </w:pPr>
            <w:r>
              <w:rPr>
                <w:rFonts w:hint="eastAsia" w:ascii="仿宋_GB2312" w:hAnsi="仿宋" w:eastAsia="仿宋_GB2312" w:cs="仿宋_GB2312"/>
                <w:sz w:val="32"/>
                <w:szCs w:val="32"/>
              </w:rPr>
              <w:t>原吐鲁番市鄯善县地方税务局</w:t>
            </w:r>
          </w:p>
        </w:tc>
        <w:tc>
          <w:tcPr>
            <w:tcW w:w="1590"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44"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4</w:t>
            </w:r>
          </w:p>
        </w:tc>
        <w:tc>
          <w:tcPr>
            <w:tcW w:w="5085" w:type="dxa"/>
            <w:vAlign w:val="center"/>
          </w:tcPr>
          <w:p>
            <w:pPr>
              <w:spacing w:line="500" w:lineRule="exact"/>
              <w:ind w:firstLine="640" w:firstLineChars="200"/>
              <w:jc w:val="left"/>
              <w:rPr>
                <w:rFonts w:ascii="仿宋_GB2312" w:eastAsia="仿宋_GB2312"/>
                <w:sz w:val="32"/>
                <w:szCs w:val="32"/>
              </w:rPr>
            </w:pPr>
            <w:r>
              <w:rPr>
                <w:rFonts w:hint="eastAsia" w:ascii="仿宋_GB2312" w:hAnsi="仿宋" w:eastAsia="仿宋_GB2312" w:cs="仿宋_GB2312"/>
                <w:sz w:val="32"/>
                <w:szCs w:val="32"/>
              </w:rPr>
              <w:t>原吐鲁番市托克逊县地方税务局</w:t>
            </w:r>
          </w:p>
        </w:tc>
        <w:tc>
          <w:tcPr>
            <w:tcW w:w="1590" w:type="dxa"/>
            <w:vAlign w:val="center"/>
          </w:tcPr>
          <w:p>
            <w:pPr>
              <w:spacing w:line="500" w:lineRule="exact"/>
              <w:ind w:firstLine="640" w:firstLineChars="200"/>
              <w:rPr>
                <w:rFonts w:ascii="仿宋_GB2312" w:eastAsia="仿宋_GB2312"/>
                <w:sz w:val="32"/>
                <w:szCs w:val="32"/>
              </w:rPr>
            </w:pPr>
          </w:p>
        </w:tc>
      </w:tr>
    </w:tbl>
    <w:p>
      <w:pPr>
        <w:spacing w:line="500" w:lineRule="exact"/>
        <w:jc w:val="center"/>
        <w:outlineLvl w:val="0"/>
        <w:rPr>
          <w:rFonts w:ascii="黑体" w:hAnsi="黑体" w:eastAsia="黑体"/>
          <w:sz w:val="32"/>
          <w:szCs w:val="32"/>
        </w:rPr>
      </w:pPr>
      <w:r>
        <w:rPr>
          <w:rFonts w:hint="eastAsia" w:ascii="黑体" w:hAnsi="黑体" w:eastAsia="黑体"/>
          <w:sz w:val="32"/>
          <w:szCs w:val="32"/>
        </w:rPr>
        <w:t>第二部分 部门决算情况说明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2017年度系统收入总计6468.76万元,与上年相比，减少98.86万元，降低1.51%</w:t>
      </w:r>
      <w:r>
        <w:rPr>
          <w:rFonts w:hint="eastAsia" w:ascii="仿宋_GB2312" w:eastAsia="仿宋_GB2312"/>
          <w:sz w:val="32"/>
          <w:szCs w:val="32"/>
          <w:lang w:eastAsia="zh-CN"/>
        </w:rPr>
        <w:t>；</w:t>
      </w:r>
      <w:r>
        <w:rPr>
          <w:rFonts w:hint="eastAsia" w:ascii="仿宋_GB2312" w:eastAsia="仿宋_GB2312"/>
          <w:sz w:val="32"/>
          <w:szCs w:val="32"/>
        </w:rPr>
        <w:t>支出6025.99万元,与上年相比，减少196.14万元，降低3.15%</w:t>
      </w:r>
      <w:r>
        <w:rPr>
          <w:rFonts w:hint="eastAsia" w:ascii="仿宋_GB2312" w:eastAsia="仿宋_GB2312"/>
          <w:sz w:val="32"/>
          <w:szCs w:val="32"/>
          <w:lang w:eastAsia="zh-CN"/>
        </w:rPr>
        <w:t>；</w:t>
      </w:r>
      <w:r>
        <w:rPr>
          <w:rFonts w:hint="eastAsia" w:ascii="仿宋_GB2312" w:eastAsia="仿宋_GB2312"/>
          <w:sz w:val="32"/>
          <w:szCs w:val="32"/>
        </w:rPr>
        <w:t>结余442.78万元，与上年相比，增加97.28万元，增长28.16%。</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增减变化主要原因是：收入减少原因主要是</w:t>
      </w:r>
      <w:r>
        <w:rPr>
          <w:rFonts w:hint="eastAsia" w:ascii="仿宋_GB2312" w:hAnsi="宋体" w:eastAsia="仿宋_GB2312" w:cs="仿宋_GB2312"/>
          <w:color w:val="000000"/>
          <w:sz w:val="32"/>
          <w:szCs w:val="32"/>
          <w:lang w:val="zh-CN"/>
        </w:rPr>
        <w:t>本年财政拨款收入下降，主要受代征手续费、机关事业单位基本养老保险缴费支出、退休费等预算下降影响；</w:t>
      </w:r>
      <w:r>
        <w:rPr>
          <w:rFonts w:hint="eastAsia" w:ascii="仿宋_GB2312" w:eastAsia="仿宋_GB2312"/>
          <w:sz w:val="32"/>
          <w:szCs w:val="32"/>
        </w:rPr>
        <w:t>支出减少原因主要是受在职人员减少，压缩开支等措施，</w:t>
      </w:r>
      <w:r>
        <w:rPr>
          <w:rFonts w:hint="eastAsia" w:ascii="仿宋_GB2312" w:hAnsi="宋体" w:eastAsia="仿宋_GB2312" w:cs="仿宋_GB2312"/>
          <w:color w:val="000000"/>
          <w:sz w:val="32"/>
          <w:szCs w:val="32"/>
          <w:lang w:val="zh-CN"/>
        </w:rPr>
        <w:t>本年支出相应下降</w:t>
      </w:r>
      <w:r>
        <w:rPr>
          <w:rFonts w:hint="eastAsia" w:ascii="仿宋_GB2312" w:eastAsia="仿宋_GB2312"/>
          <w:sz w:val="32"/>
          <w:szCs w:val="32"/>
        </w:rPr>
        <w:t>；</w:t>
      </w:r>
      <w:r>
        <w:rPr>
          <w:rFonts w:hint="eastAsia" w:ascii="仿宋_GB2312" w:hAnsi="仿宋" w:eastAsia="仿宋_GB2312" w:cs="仿宋_GB2312"/>
          <w:sz w:val="32"/>
          <w:szCs w:val="32"/>
          <w:lang w:val="zh-CN"/>
        </w:rPr>
        <w:t>年末结转资金形成的</w:t>
      </w:r>
      <w:r>
        <w:rPr>
          <w:rFonts w:hint="eastAsia" w:ascii="仿宋_GB2312" w:hAnsi="宋体" w:eastAsia="仿宋_GB2312" w:cs="仿宋_GB2312"/>
          <w:color w:val="000000"/>
          <w:sz w:val="32"/>
          <w:szCs w:val="32"/>
          <w:lang w:val="zh-CN"/>
        </w:rPr>
        <w:t>主要原因：一是按规定留存的质量保证金；二是地方政府补助资金以及地税部门代征非税收入取得的手续费到账时间较晚，形成结转资金。</w:t>
      </w:r>
    </w:p>
    <w:p>
      <w:pPr>
        <w:autoSpaceDE w:val="0"/>
        <w:autoSpaceDN w:val="0"/>
        <w:adjustRightInd w:val="0"/>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2017年本年收入年初预算为5155.5万元，本年决算数6123.27万元，预决算差异数为</w:t>
      </w:r>
      <w:r>
        <w:rPr>
          <w:rFonts w:hint="eastAsia" w:ascii="仿宋_GB2312" w:hAnsi="仿宋" w:eastAsia="仿宋_GB2312" w:cs="仿宋_GB2312"/>
          <w:sz w:val="32"/>
          <w:szCs w:val="32"/>
          <w:lang w:val="en-US" w:eastAsia="zh-CN"/>
        </w:rPr>
        <w:t>967.77</w:t>
      </w:r>
      <w:r>
        <w:rPr>
          <w:rFonts w:hint="eastAsia" w:ascii="仿宋_GB2312" w:hAnsi="仿宋" w:eastAsia="仿宋_GB2312" w:cs="仿宋_GB2312"/>
          <w:sz w:val="32"/>
          <w:szCs w:val="32"/>
          <w:lang w:val="zh-CN"/>
        </w:rPr>
        <w:t>万元。主要原因：一是自治区财政追加和拨付资金</w:t>
      </w:r>
      <w:r>
        <w:rPr>
          <w:rFonts w:hint="eastAsia" w:ascii="仿宋_GB2312" w:hAnsi="仿宋" w:eastAsia="仿宋_GB2312" w:cs="仿宋_GB2312"/>
          <w:sz w:val="32"/>
          <w:szCs w:val="32"/>
          <w:lang w:val="en-US" w:eastAsia="zh-CN"/>
        </w:rPr>
        <w:t>596.89</w:t>
      </w:r>
      <w:r>
        <w:rPr>
          <w:rFonts w:hint="eastAsia" w:ascii="仿宋_GB2312" w:hAnsi="仿宋" w:eastAsia="仿宋_GB2312" w:cs="仿宋_GB2312"/>
          <w:sz w:val="32"/>
          <w:szCs w:val="32"/>
          <w:lang w:val="zh-CN"/>
        </w:rPr>
        <w:t>万元，包括：追加招录公务员人员经费、退休“中人”职业年金缴费、丧葬费、抚恤金，拨付三代税款手续费</w:t>
      </w:r>
      <w:r>
        <w:rPr>
          <w:rFonts w:hint="eastAsia" w:ascii="仿宋_GB2312" w:hAnsi="仿宋" w:eastAsia="仿宋_GB2312" w:cs="仿宋_GB2312"/>
          <w:sz w:val="32"/>
          <w:szCs w:val="32"/>
          <w:lang w:val="zh-CN" w:eastAsia="zh-CN"/>
        </w:rPr>
        <w:t>等</w:t>
      </w:r>
      <w:r>
        <w:rPr>
          <w:rFonts w:hint="eastAsia" w:ascii="仿宋_GB2312" w:hAnsi="仿宋" w:eastAsia="仿宋_GB2312" w:cs="仿宋_GB2312"/>
          <w:sz w:val="32"/>
          <w:szCs w:val="32"/>
          <w:lang w:val="zh-CN"/>
        </w:rPr>
        <w:t>；二是主要来源于各级政府对地税部门经费不足的补助收入和代征工会经费取得的手续费收入，此项收入比预算增加</w:t>
      </w:r>
      <w:r>
        <w:rPr>
          <w:rFonts w:hint="eastAsia" w:ascii="仿宋_GB2312" w:hAnsi="仿宋" w:eastAsia="仿宋_GB2312" w:cs="仿宋_GB2312"/>
          <w:sz w:val="32"/>
          <w:szCs w:val="32"/>
          <w:lang w:val="en-US" w:eastAsia="zh-CN"/>
        </w:rPr>
        <w:t>370.88</w:t>
      </w:r>
      <w:r>
        <w:rPr>
          <w:rFonts w:hint="eastAsia" w:ascii="仿宋_GB2312" w:hAnsi="仿宋" w:eastAsia="仿宋_GB2312" w:cs="仿宋_GB2312"/>
          <w:sz w:val="32"/>
          <w:szCs w:val="32"/>
          <w:lang w:val="zh-CN" w:eastAsia="zh-CN"/>
        </w:rPr>
        <w:t>万</w:t>
      </w:r>
      <w:r>
        <w:rPr>
          <w:rFonts w:hint="eastAsia" w:ascii="仿宋_GB2312" w:hAnsi="仿宋" w:eastAsia="仿宋_GB2312" w:cs="仿宋_GB2312"/>
          <w:sz w:val="32"/>
          <w:szCs w:val="32"/>
          <w:lang w:val="zh-CN"/>
        </w:rPr>
        <w:t>元。</w:t>
      </w:r>
    </w:p>
    <w:p>
      <w:pPr>
        <w:autoSpaceDE w:val="0"/>
        <w:autoSpaceDN w:val="0"/>
        <w:adjustRightInd w:val="0"/>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其他有关说明内容</w:t>
      </w:r>
      <w:r>
        <w:rPr>
          <w:rFonts w:hint="eastAsia" w:ascii="仿宋_GB2312" w:hAnsi="仿宋" w:eastAsia="仿宋_GB2312" w:cs="仿宋_GB2312"/>
          <w:sz w:val="32"/>
          <w:szCs w:val="32"/>
          <w:lang w:val="en-GB"/>
        </w:rPr>
        <w:t>：无。</w:t>
      </w:r>
    </w:p>
    <w:p>
      <w:pPr>
        <w:autoSpaceDE w:val="0"/>
        <w:autoSpaceDN w:val="0"/>
        <w:adjustRightInd w:val="0"/>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（二）部门收入总体情况说明</w:t>
      </w:r>
    </w:p>
    <w:p>
      <w:pPr>
        <w:autoSpaceDE w:val="0"/>
        <w:autoSpaceDN w:val="0"/>
        <w:adjustRightInd w:val="0"/>
        <w:ind w:firstLine="640" w:firstLineChars="200"/>
        <w:rPr>
          <w:rFonts w:ascii="仿宋_GB2312" w:hAnsi="宋体" w:eastAsia="仿宋_GB2312" w:cs="仿宋_GB2312"/>
          <w:color w:val="000000"/>
          <w:sz w:val="32"/>
          <w:szCs w:val="32"/>
          <w:lang w:val="zh-CN"/>
        </w:rPr>
      </w:pPr>
      <w:r>
        <w:rPr>
          <w:rFonts w:hint="eastAsia" w:ascii="仿宋_GB2312" w:eastAsia="仿宋_GB2312"/>
          <w:sz w:val="32"/>
          <w:szCs w:val="32"/>
        </w:rPr>
        <w:t>本年收入合计</w:t>
      </w:r>
      <w:r>
        <w:rPr>
          <w:rFonts w:hint="eastAsia" w:ascii="仿宋_GB2312" w:hAnsi="宋体" w:eastAsia="仿宋_GB2312" w:cs="仿宋_GB2312"/>
          <w:color w:val="000000"/>
          <w:sz w:val="32"/>
          <w:szCs w:val="32"/>
          <w:lang w:val="zh-CN"/>
        </w:rPr>
        <w:t>6,123.27</w:t>
      </w:r>
      <w:r>
        <w:rPr>
          <w:rFonts w:hint="eastAsia" w:ascii="仿宋_GB2312" w:eastAsia="仿宋_GB2312"/>
          <w:sz w:val="32"/>
          <w:szCs w:val="32"/>
        </w:rPr>
        <w:t>万元，其中：财政拨款收入5,342.39万元，占总收入的87.25%；其他收入780.88万元，占总收入的12.75%。</w:t>
      </w:r>
      <w:r>
        <w:rPr>
          <w:rFonts w:hint="eastAsia" w:ascii="仿宋_GB2312" w:hAnsi="宋体" w:eastAsia="仿宋_GB2312" w:cs="仿宋_GB2312"/>
          <w:color w:val="000000"/>
          <w:sz w:val="32"/>
          <w:szCs w:val="32"/>
          <w:lang w:val="zh-CN"/>
        </w:rPr>
        <w:t xml:space="preserve">收入具体情况如下： </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1.与上年相比增减变化的主要原因</w:t>
      </w:r>
    </w:p>
    <w:p>
      <w:pPr>
        <w:autoSpaceDE w:val="0"/>
        <w:autoSpaceDN w:val="0"/>
        <w:adjustRightInd w:val="0"/>
        <w:ind w:firstLine="640" w:firstLineChars="200"/>
        <w:rPr>
          <w:rFonts w:hint="eastAsia" w:ascii="仿宋_GB2312" w:eastAsia="仿宋_GB2312"/>
          <w:sz w:val="32"/>
          <w:szCs w:val="32"/>
        </w:rPr>
      </w:pPr>
      <w:r>
        <w:rPr>
          <w:rFonts w:hint="eastAsia" w:ascii="仿宋_GB2312" w:hAnsi="宋体" w:eastAsia="仿宋_GB2312" w:cs="仿宋_GB2312"/>
          <w:color w:val="000000"/>
          <w:sz w:val="32"/>
          <w:szCs w:val="32"/>
          <w:lang w:val="zh-CN"/>
        </w:rPr>
        <w:t>一是本年财政拨款收入5,342.39 万元，比2016年（剔除吐哈局402.73万元），减少 113.61万元，减幅 2.</w:t>
      </w:r>
      <w:r>
        <w:rPr>
          <w:rFonts w:hint="eastAsia" w:ascii="仿宋_GB2312" w:hAnsi="宋体" w:eastAsia="仿宋_GB2312" w:cs="仿宋_GB2312"/>
          <w:color w:val="000000"/>
          <w:sz w:val="32"/>
          <w:szCs w:val="32"/>
          <w:lang w:val="en-US" w:eastAsia="zh-CN"/>
        </w:rPr>
        <w:t>08</w:t>
      </w:r>
      <w:r>
        <w:rPr>
          <w:rFonts w:hint="eastAsia" w:ascii="仿宋_GB2312" w:hAnsi="宋体" w:eastAsia="仿宋_GB2312" w:cs="仿宋_GB2312"/>
          <w:color w:val="000000"/>
          <w:sz w:val="32"/>
          <w:szCs w:val="32"/>
          <w:lang w:val="zh-CN"/>
        </w:rPr>
        <w:t>%，主要受代征手续费、机关事业单位基本养老保险缴费支出、退休费等预算下降影响；二是本年其他收入780.88万元，比2016年（剔除吐哈局</w:t>
      </w:r>
      <w:r>
        <w:rPr>
          <w:rFonts w:hint="eastAsia" w:ascii="仿宋_GB2312" w:hAnsi="宋体" w:eastAsia="仿宋_GB2312" w:cs="仿宋_GB2312"/>
          <w:color w:val="000000"/>
          <w:sz w:val="32"/>
          <w:szCs w:val="32"/>
          <w:lang w:val="en-US" w:eastAsia="zh-CN"/>
        </w:rPr>
        <w:t>74.13</w:t>
      </w:r>
      <w:r>
        <w:rPr>
          <w:rFonts w:hint="eastAsia" w:ascii="仿宋_GB2312" w:hAnsi="宋体" w:eastAsia="仿宋_GB2312" w:cs="仿宋_GB2312"/>
          <w:color w:val="000000"/>
          <w:sz w:val="32"/>
          <w:szCs w:val="32"/>
          <w:lang w:val="zh-CN"/>
        </w:rPr>
        <w:t>万元），减少 213.32万元，下降 21.46%，</w:t>
      </w:r>
      <w:r>
        <w:rPr>
          <w:rFonts w:hint="eastAsia" w:ascii="仿宋_GB2312" w:eastAsia="仿宋_GB2312"/>
          <w:sz w:val="32"/>
          <w:szCs w:val="32"/>
        </w:rPr>
        <w:t>主要</w:t>
      </w:r>
      <w:r>
        <w:rPr>
          <w:rFonts w:hint="eastAsia" w:ascii="仿宋_GB2312" w:eastAsia="仿宋_GB2312"/>
          <w:sz w:val="32"/>
          <w:szCs w:val="32"/>
          <w:lang w:eastAsia="zh-CN"/>
        </w:rPr>
        <w:t>是</w:t>
      </w:r>
      <w:r>
        <w:rPr>
          <w:rFonts w:hint="eastAsia" w:ascii="仿宋_GB2312" w:eastAsia="仿宋_GB2312"/>
          <w:sz w:val="32"/>
          <w:szCs w:val="32"/>
        </w:rPr>
        <w:t>来源于各级政府对地税部门经费不足的补助收入和代征工会经费取得的手续费收入具有不确定性。</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2.与预算相比情况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财政拨款年初预算4,745.50万元，调整预算5,342.39万元，差异率1</w:t>
      </w:r>
      <w:r>
        <w:rPr>
          <w:rFonts w:hint="eastAsia" w:ascii="仿宋_GB2312" w:eastAsia="仿宋_GB2312"/>
          <w:sz w:val="32"/>
          <w:szCs w:val="32"/>
          <w:lang w:val="en-US" w:eastAsia="zh-CN"/>
        </w:rPr>
        <w:t>2.58</w:t>
      </w:r>
      <w:r>
        <w:rPr>
          <w:rFonts w:hint="eastAsia" w:ascii="仿宋_GB2312" w:eastAsia="仿宋_GB2312"/>
          <w:sz w:val="32"/>
          <w:szCs w:val="32"/>
        </w:rPr>
        <w:t>%，原因是预算年度内自治区财政追加招录公务员人员经费、选派南疆学前双语教育支教干部生活补助费、退休“中人”职业年金缴费、丧葬费、抚恤金、代扣代收代征税款手续费、中央对地方税务部门专项补助等</w:t>
      </w:r>
      <w:r>
        <w:rPr>
          <w:rFonts w:hint="eastAsia" w:ascii="仿宋_GB2312" w:eastAsia="仿宋_GB2312"/>
          <w:sz w:val="32"/>
          <w:szCs w:val="32"/>
          <w:lang w:val="en-US" w:eastAsia="zh-CN"/>
        </w:rPr>
        <w:t>596.89</w:t>
      </w:r>
      <w:r>
        <w:rPr>
          <w:rFonts w:hint="eastAsia" w:ascii="仿宋_GB2312" w:eastAsia="仿宋_GB2312"/>
          <w:sz w:val="32"/>
          <w:szCs w:val="32"/>
        </w:rPr>
        <w:t>万元。其他收入年初预算</w:t>
      </w:r>
      <w:r>
        <w:rPr>
          <w:rFonts w:hint="eastAsia" w:ascii="仿宋_GB2312" w:eastAsia="仿宋_GB2312"/>
          <w:sz w:val="32"/>
          <w:szCs w:val="32"/>
          <w:lang w:val="en-US" w:eastAsia="zh-CN"/>
        </w:rPr>
        <w:t>410</w:t>
      </w:r>
      <w:r>
        <w:rPr>
          <w:rFonts w:hint="eastAsia" w:ascii="仿宋_GB2312" w:eastAsia="仿宋_GB2312"/>
          <w:sz w:val="32"/>
          <w:szCs w:val="32"/>
        </w:rPr>
        <w:t>万元，调整预算780.88万元,增加额</w:t>
      </w:r>
      <w:r>
        <w:rPr>
          <w:rFonts w:hint="eastAsia" w:ascii="仿宋_GB2312" w:eastAsia="仿宋_GB2312"/>
          <w:sz w:val="32"/>
          <w:szCs w:val="32"/>
          <w:lang w:val="en-US" w:eastAsia="zh-CN"/>
        </w:rPr>
        <w:t>370.88</w:t>
      </w:r>
      <w:r>
        <w:rPr>
          <w:rFonts w:hint="eastAsia" w:ascii="仿宋_GB2312" w:eastAsia="仿宋_GB2312"/>
          <w:sz w:val="32"/>
          <w:szCs w:val="32"/>
        </w:rPr>
        <w:t>元，主要</w:t>
      </w:r>
      <w:r>
        <w:rPr>
          <w:rFonts w:hint="eastAsia" w:ascii="仿宋_GB2312" w:eastAsia="仿宋_GB2312"/>
          <w:sz w:val="32"/>
          <w:szCs w:val="32"/>
          <w:lang w:eastAsia="zh-CN"/>
        </w:rPr>
        <w:t>是</w:t>
      </w:r>
      <w:r>
        <w:rPr>
          <w:rFonts w:hint="eastAsia" w:ascii="仿宋_GB2312" w:eastAsia="仿宋_GB2312"/>
          <w:sz w:val="32"/>
          <w:szCs w:val="32"/>
        </w:rPr>
        <w:t>来源于各级政府对地税部门经费不足的补助收入和代征工会经费取得的手续费收入具有不确定性。</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autoSpaceDE w:val="0"/>
        <w:autoSpaceDN w:val="0"/>
        <w:adjustRightInd w:val="0"/>
        <w:ind w:firstLine="640" w:firstLineChars="200"/>
        <w:rPr>
          <w:rFonts w:hint="eastAsia" w:ascii="仿宋_GB2312" w:hAnsi="宋体" w:eastAsia="仿宋_GB2312" w:cs="仿宋_GB2312"/>
          <w:sz w:val="32"/>
          <w:szCs w:val="32"/>
          <w:lang w:val="zh-CN"/>
        </w:rPr>
      </w:pPr>
      <w:r>
        <w:rPr>
          <w:rFonts w:hint="eastAsia" w:ascii="仿宋_GB2312" w:eastAsia="仿宋_GB2312"/>
          <w:sz w:val="32"/>
          <w:szCs w:val="32"/>
        </w:rPr>
        <w:t>本年支出合计</w:t>
      </w:r>
      <w:r>
        <w:rPr>
          <w:rFonts w:hint="eastAsia" w:ascii="仿宋_GB2312" w:hAnsi="宋体" w:eastAsia="仿宋_GB2312" w:cs="仿宋_GB2312"/>
          <w:sz w:val="32"/>
          <w:szCs w:val="32"/>
          <w:lang w:val="zh-CN"/>
        </w:rPr>
        <w:t>6,025.99</w:t>
      </w:r>
      <w:r>
        <w:rPr>
          <w:rFonts w:hint="eastAsia" w:ascii="仿宋_GB2312" w:eastAsia="仿宋_GB2312"/>
          <w:sz w:val="32"/>
          <w:szCs w:val="32"/>
        </w:rPr>
        <w:t>万元，其中：基本支出4,129.50万元，占</w:t>
      </w:r>
      <w:r>
        <w:rPr>
          <w:rFonts w:hint="eastAsia" w:ascii="仿宋_GB2312" w:eastAsia="仿宋_GB2312"/>
          <w:sz w:val="32"/>
          <w:szCs w:val="32"/>
          <w:lang w:val="en-US" w:eastAsia="zh-CN"/>
        </w:rPr>
        <w:t>68.53</w:t>
      </w:r>
      <w:r>
        <w:rPr>
          <w:rFonts w:hint="eastAsia" w:ascii="仿宋_GB2312" w:eastAsia="仿宋_GB2312"/>
          <w:sz w:val="32"/>
          <w:szCs w:val="32"/>
        </w:rPr>
        <w:t>%；项目支出1,896.49万元，占</w:t>
      </w:r>
      <w:r>
        <w:rPr>
          <w:rFonts w:hint="eastAsia" w:ascii="仿宋_GB2312" w:eastAsia="仿宋_GB2312"/>
          <w:sz w:val="32"/>
          <w:szCs w:val="32"/>
          <w:lang w:val="en-US" w:eastAsia="zh-CN"/>
        </w:rPr>
        <w:t>31.47</w:t>
      </w:r>
      <w:r>
        <w:rPr>
          <w:rFonts w:hint="eastAsia"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1.与上年相比增减变化的主要原因</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基本支出4129.5</w:t>
      </w:r>
      <w:r>
        <w:rPr>
          <w:rFonts w:hint="eastAsia" w:ascii="仿宋_GB2312" w:eastAsia="仿宋_GB2312"/>
          <w:sz w:val="32"/>
          <w:szCs w:val="32"/>
          <w:lang w:eastAsia="zh-CN"/>
        </w:rPr>
        <w:t>万元，比上年降低</w:t>
      </w:r>
      <w:r>
        <w:rPr>
          <w:rFonts w:hint="eastAsia" w:ascii="仿宋_GB2312" w:eastAsia="仿宋_GB2312"/>
          <w:sz w:val="32"/>
          <w:szCs w:val="32"/>
          <w:lang w:val="en-US" w:eastAsia="zh-CN"/>
        </w:rPr>
        <w:t>0.58%，主要</w:t>
      </w:r>
      <w:r>
        <w:rPr>
          <w:rFonts w:hint="eastAsia" w:ascii="仿宋_GB2312" w:eastAsia="仿宋_GB2312"/>
          <w:sz w:val="32"/>
          <w:szCs w:val="32"/>
        </w:rPr>
        <w:t>是</w:t>
      </w:r>
      <w:r>
        <w:rPr>
          <w:rFonts w:hint="eastAsia" w:ascii="仿宋_GB2312" w:eastAsia="仿宋_GB2312"/>
          <w:sz w:val="32"/>
          <w:szCs w:val="32"/>
          <w:lang w:eastAsia="zh-CN"/>
        </w:rPr>
        <w:t>受在职人员减少影响；</w:t>
      </w:r>
      <w:r>
        <w:rPr>
          <w:rFonts w:hint="eastAsia" w:ascii="仿宋_GB2312" w:eastAsia="仿宋_GB2312"/>
          <w:sz w:val="32"/>
          <w:szCs w:val="32"/>
        </w:rPr>
        <w:t>项目支出1896.49</w:t>
      </w:r>
      <w:r>
        <w:rPr>
          <w:rFonts w:hint="eastAsia" w:ascii="仿宋_GB2312" w:eastAsia="仿宋_GB2312"/>
          <w:sz w:val="32"/>
          <w:szCs w:val="32"/>
          <w:lang w:eastAsia="zh-CN"/>
        </w:rPr>
        <w:t>万元，比上年降低</w:t>
      </w:r>
      <w:r>
        <w:rPr>
          <w:rFonts w:hint="eastAsia" w:ascii="仿宋_GB2312" w:eastAsia="仿宋_GB2312"/>
          <w:sz w:val="32"/>
          <w:szCs w:val="32"/>
          <w:lang w:val="en-US" w:eastAsia="zh-CN"/>
        </w:rPr>
        <w:t>8.32%，</w:t>
      </w:r>
      <w:r>
        <w:rPr>
          <w:rFonts w:hint="eastAsia" w:ascii="仿宋_GB2312" w:eastAsia="仿宋_GB2312"/>
          <w:sz w:val="32"/>
          <w:szCs w:val="32"/>
        </w:rPr>
        <w:t>是压缩基本建设规模。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.与预算相比情况</w:t>
      </w:r>
    </w:p>
    <w:p>
      <w:pPr>
        <w:adjustRightInd w:val="0"/>
        <w:snapToGrid w:val="0"/>
        <w:spacing w:line="580" w:lineRule="exact"/>
        <w:ind w:firstLine="640" w:firstLineChars="200"/>
        <w:rPr>
          <w:rFonts w:hint="eastAsia"/>
        </w:rPr>
      </w:pPr>
      <w:r>
        <w:rPr>
          <w:rFonts w:hint="eastAsia" w:ascii="仿宋_GB2312" w:eastAsia="仿宋_GB2312"/>
          <w:sz w:val="32"/>
          <w:szCs w:val="32"/>
        </w:rPr>
        <w:t>2017年年初支出预算5,155.50万元，调整预算6,025.99万元，差异率16.88%。主要原因一是预算年度内</w:t>
      </w:r>
      <w:r>
        <w:rPr>
          <w:rFonts w:hint="eastAsia" w:ascii="仿宋_GB2312" w:eastAsia="仿宋_GB2312"/>
          <w:sz w:val="32"/>
          <w:szCs w:val="32"/>
          <w:lang w:eastAsia="zh-CN"/>
        </w:rPr>
        <w:t>追</w:t>
      </w:r>
      <w:r>
        <w:rPr>
          <w:rFonts w:hint="eastAsia" w:ascii="仿宋_GB2312" w:eastAsia="仿宋_GB2312"/>
          <w:sz w:val="32"/>
          <w:szCs w:val="32"/>
        </w:rPr>
        <w:t>加了绩效奖励资金、退休“中人”职业年金、抚恤金等人员支出；</w:t>
      </w:r>
      <w:r>
        <w:rPr>
          <w:rFonts w:hint="eastAsia" w:ascii="仿宋_GB2312" w:eastAsia="仿宋_GB2312"/>
          <w:sz w:val="32"/>
          <w:szCs w:val="32"/>
          <w:lang w:eastAsia="zh-CN"/>
        </w:rPr>
        <w:t>追</w:t>
      </w:r>
      <w:r>
        <w:rPr>
          <w:rFonts w:hint="eastAsia" w:ascii="仿宋_GB2312" w:eastAsia="仿宋_GB2312"/>
          <w:sz w:val="32"/>
          <w:szCs w:val="32"/>
        </w:rPr>
        <w:t>加了“三代”税款手续费等支出；二是其他收入支出差异，主要代征工会经费手续费和各级政府的补助收入具有不确定性</w:t>
      </w:r>
      <w:r>
        <w:rPr>
          <w:rFonts w:hint="eastAsia"/>
        </w:rPr>
        <w:t>。</w:t>
      </w:r>
    </w:p>
    <w:p>
      <w:pPr>
        <w:adjustRightInd w:val="0"/>
        <w:snapToGrid w:val="0"/>
        <w:spacing w:line="580" w:lineRule="exact"/>
        <w:ind w:firstLine="640" w:firstLineChars="200"/>
        <w:rPr>
          <w:rFonts w:ascii="仿宋_GB2312" w:hAnsi="宋体" w:eastAsia="仿宋_GB2312" w:cs="仿宋_GB2312"/>
          <w:b/>
          <w:bCs/>
          <w:color w:val="000000"/>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2017年度财政拨款收入</w:t>
      </w:r>
      <w:r>
        <w:rPr>
          <w:rFonts w:hint="eastAsia" w:ascii="仿宋_GB2312" w:hAnsi="宋体" w:eastAsia="仿宋_GB2312" w:cs="仿宋_GB2312"/>
          <w:color w:val="000000"/>
          <w:sz w:val="32"/>
          <w:szCs w:val="32"/>
          <w:lang w:val="zh-CN"/>
        </w:rPr>
        <w:t>5,342.39</w:t>
      </w:r>
      <w:r>
        <w:rPr>
          <w:rFonts w:hint="eastAsia" w:ascii="仿宋_GB2312" w:eastAsia="仿宋_GB2312"/>
          <w:sz w:val="32"/>
          <w:szCs w:val="32"/>
        </w:rPr>
        <w:t>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113.61万元，</w:t>
      </w:r>
      <w:r>
        <w:rPr>
          <w:rFonts w:hint="eastAsia" w:ascii="仿宋_GB2312" w:hAnsi="宋体" w:eastAsia="仿宋_GB2312" w:cs="仿宋_GB2312"/>
          <w:color w:val="000000"/>
          <w:sz w:val="32"/>
          <w:szCs w:val="32"/>
          <w:lang w:val="zh-CN"/>
        </w:rPr>
        <w:t>降低</w:t>
      </w:r>
      <w:r>
        <w:rPr>
          <w:rFonts w:hint="eastAsia" w:ascii="仿宋_GB2312" w:hAnsi="宋体" w:eastAsia="仿宋_GB2312" w:cs="仿宋_GB2312"/>
          <w:color w:val="000000"/>
          <w:sz w:val="32"/>
          <w:szCs w:val="32"/>
          <w:lang w:val="en-US" w:eastAsia="zh-CN"/>
        </w:rPr>
        <w:t>2.08</w:t>
      </w:r>
      <w:r>
        <w:rPr>
          <w:rFonts w:hint="eastAsia" w:ascii="仿宋_GB2312" w:hAnsi="宋体" w:eastAsia="仿宋_GB2312" w:cs="仿宋_GB2312"/>
          <w:color w:val="000000"/>
          <w:sz w:val="32"/>
          <w:szCs w:val="32"/>
          <w:lang w:val="zh-CN"/>
        </w:rPr>
        <w:t>%</w:t>
      </w:r>
      <w:r>
        <w:rPr>
          <w:rFonts w:hint="eastAsia" w:ascii="仿宋_GB2312" w:eastAsia="仿宋_GB2312"/>
          <w:sz w:val="32"/>
          <w:szCs w:val="32"/>
        </w:rPr>
        <w:t>。增减变化的主要原因</w:t>
      </w:r>
      <w:r>
        <w:rPr>
          <w:rFonts w:hint="eastAsia" w:ascii="仿宋_GB2312" w:eastAsia="仿宋_GB2312"/>
          <w:sz w:val="32"/>
          <w:szCs w:val="32"/>
          <w:lang w:eastAsia="zh-CN"/>
        </w:rPr>
        <w:t>一</w:t>
      </w:r>
      <w:r>
        <w:rPr>
          <w:rFonts w:hint="eastAsia" w:ascii="仿宋_GB2312" w:eastAsia="仿宋_GB2312"/>
          <w:sz w:val="32"/>
          <w:szCs w:val="32"/>
        </w:rPr>
        <w:t>是</w:t>
      </w:r>
      <w:r>
        <w:rPr>
          <w:rFonts w:hint="eastAsia" w:ascii="仿宋_GB2312" w:eastAsia="仿宋_GB2312"/>
          <w:sz w:val="32"/>
          <w:szCs w:val="32"/>
          <w:lang w:eastAsia="zh-CN"/>
        </w:rPr>
        <w:t>在职人员减少，机关事业单位基本养老保险缴费支出预算等减少；二是</w:t>
      </w:r>
      <w:r>
        <w:rPr>
          <w:rFonts w:hint="eastAsia" w:ascii="仿宋_GB2312" w:hAnsi="宋体" w:eastAsia="仿宋_GB2312" w:cs="仿宋_GB2312"/>
          <w:sz w:val="32"/>
          <w:szCs w:val="32"/>
          <w:lang w:val="zh-CN"/>
        </w:rPr>
        <w:t>财政拨款项目资金同比减少</w:t>
      </w:r>
      <w:r>
        <w:rPr>
          <w:rFonts w:hint="eastAsia" w:ascii="仿宋_GB2312" w:eastAsia="仿宋_GB2312"/>
          <w:sz w:val="32"/>
          <w:szCs w:val="32"/>
        </w:rPr>
        <w:t>。</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财政拨款支出</w:t>
      </w:r>
      <w:r>
        <w:rPr>
          <w:rFonts w:hint="eastAsia" w:ascii="仿宋_GB2312" w:hAnsi="宋体" w:eastAsia="仿宋_GB2312" w:cs="仿宋_GB2312"/>
          <w:color w:val="000000"/>
          <w:sz w:val="32"/>
          <w:szCs w:val="32"/>
          <w:lang w:val="zh-CN"/>
        </w:rPr>
        <w:t>5,342.39</w:t>
      </w:r>
      <w:r>
        <w:rPr>
          <w:rFonts w:hint="eastAsia" w:ascii="仿宋_GB2312" w:eastAsia="仿宋_GB2312"/>
          <w:sz w:val="32"/>
          <w:szCs w:val="32"/>
        </w:rPr>
        <w:t>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115.61万元，</w:t>
      </w:r>
      <w:r>
        <w:rPr>
          <w:rFonts w:hint="eastAsia" w:ascii="仿宋_GB2312" w:hAnsi="宋体" w:eastAsia="仿宋_GB2312" w:cs="仿宋_GB2312"/>
          <w:color w:val="000000"/>
          <w:sz w:val="32"/>
          <w:szCs w:val="32"/>
          <w:lang w:val="zh-CN"/>
        </w:rPr>
        <w:t>降低</w:t>
      </w:r>
      <w:r>
        <w:rPr>
          <w:rFonts w:hint="eastAsia" w:ascii="仿宋_GB2312" w:hAnsi="宋体" w:eastAsia="仿宋_GB2312" w:cs="仿宋_GB2312"/>
          <w:color w:val="000000"/>
          <w:sz w:val="32"/>
          <w:szCs w:val="32"/>
          <w:lang w:val="en-US" w:eastAsia="zh-CN"/>
        </w:rPr>
        <w:t>2.12</w:t>
      </w:r>
      <w:r>
        <w:rPr>
          <w:rFonts w:hint="eastAsia" w:ascii="仿宋_GB2312" w:hAnsi="宋体" w:eastAsia="仿宋_GB2312" w:cs="仿宋_GB2312"/>
          <w:color w:val="000000"/>
          <w:sz w:val="32"/>
          <w:szCs w:val="32"/>
          <w:lang w:val="zh-CN"/>
        </w:rPr>
        <w:t>%</w:t>
      </w:r>
      <w:r>
        <w:rPr>
          <w:rFonts w:hint="eastAsia" w:ascii="仿宋_GB2312" w:eastAsia="仿宋_GB2312"/>
          <w:sz w:val="32"/>
          <w:szCs w:val="32"/>
        </w:rPr>
        <w:t>。其中：基本支出</w:t>
      </w:r>
      <w:r>
        <w:rPr>
          <w:rFonts w:hint="eastAsia" w:ascii="仿宋_GB2312" w:hAnsi="宋体" w:eastAsia="仿宋_GB2312" w:cs="仿宋_GB2312"/>
          <w:color w:val="000000"/>
          <w:sz w:val="32"/>
          <w:szCs w:val="32"/>
          <w:lang w:val="zh-CN"/>
        </w:rPr>
        <w:t>4,129.50</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24万元，</w:t>
      </w:r>
      <w:r>
        <w:rPr>
          <w:rFonts w:hint="eastAsia" w:ascii="仿宋_GB2312" w:hAnsi="宋体" w:eastAsia="仿宋_GB2312" w:cs="仿宋_GB2312"/>
          <w:color w:val="000000"/>
          <w:sz w:val="32"/>
          <w:szCs w:val="32"/>
          <w:lang w:val="zh-CN"/>
        </w:rPr>
        <w:t>降低</w:t>
      </w:r>
      <w:r>
        <w:rPr>
          <w:rFonts w:hint="eastAsia" w:ascii="仿宋_GB2312" w:hAnsi="宋体" w:eastAsia="仿宋_GB2312" w:cs="仿宋_GB2312"/>
          <w:color w:val="000000"/>
          <w:sz w:val="32"/>
          <w:szCs w:val="32"/>
          <w:lang w:val="en-US" w:eastAsia="zh-CN"/>
        </w:rPr>
        <w:t>0.58</w:t>
      </w:r>
      <w:r>
        <w:rPr>
          <w:rFonts w:hint="eastAsia" w:ascii="仿宋_GB2312" w:hAnsi="宋体" w:eastAsia="仿宋_GB2312" w:cs="仿宋_GB2312"/>
          <w:color w:val="000000"/>
          <w:sz w:val="32"/>
          <w:szCs w:val="32"/>
          <w:lang w:val="zh-CN"/>
        </w:rPr>
        <w:t>%</w:t>
      </w:r>
      <w:r>
        <w:rPr>
          <w:rFonts w:hint="eastAsia" w:ascii="仿宋_GB2312" w:eastAsia="仿宋_GB2312"/>
          <w:sz w:val="32"/>
          <w:szCs w:val="32"/>
        </w:rPr>
        <w:t>。；项目支出</w:t>
      </w:r>
      <w:r>
        <w:rPr>
          <w:rFonts w:hint="eastAsia" w:ascii="仿宋_GB2312" w:hAnsi="宋体" w:eastAsia="仿宋_GB2312" w:cs="仿宋_GB2312"/>
          <w:color w:val="000000"/>
          <w:sz w:val="32"/>
          <w:szCs w:val="32"/>
          <w:lang w:val="zh-CN"/>
        </w:rPr>
        <w:t>1,212.90</w:t>
      </w:r>
      <w:r>
        <w:rPr>
          <w:rFonts w:hint="eastAsia" w:ascii="仿宋_GB2312" w:eastAsia="仿宋_GB2312"/>
          <w:sz w:val="32"/>
          <w:szCs w:val="32"/>
        </w:rPr>
        <w:t>万元，减少</w:t>
      </w:r>
      <w:r>
        <w:rPr>
          <w:rFonts w:hint="eastAsia" w:ascii="仿宋_GB2312" w:eastAsia="仿宋_GB2312"/>
          <w:sz w:val="32"/>
          <w:szCs w:val="32"/>
          <w:lang w:val="en-US" w:eastAsia="zh-CN"/>
        </w:rPr>
        <w:t>91.61</w:t>
      </w:r>
      <w:r>
        <w:rPr>
          <w:rFonts w:hint="eastAsia" w:ascii="仿宋_GB2312" w:eastAsia="仿宋_GB2312"/>
          <w:sz w:val="32"/>
          <w:szCs w:val="32"/>
        </w:rPr>
        <w:t>万元。增减变化的主要原因是：基本支出是</w:t>
      </w:r>
      <w:r>
        <w:rPr>
          <w:rFonts w:hint="eastAsia" w:ascii="仿宋_GB2312" w:eastAsia="仿宋_GB2312"/>
          <w:sz w:val="32"/>
          <w:szCs w:val="32"/>
          <w:lang w:eastAsia="zh-CN"/>
        </w:rPr>
        <w:t>在职人员减少，机关事业单位基本养老保险缴费支出等减少；</w:t>
      </w:r>
      <w:r>
        <w:rPr>
          <w:rFonts w:hint="eastAsia" w:ascii="仿宋_GB2312" w:eastAsia="仿宋_GB2312"/>
          <w:sz w:val="32"/>
          <w:szCs w:val="32"/>
        </w:rPr>
        <w:t>项目支出是压缩基本建设规模。</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财政拨款</w:t>
      </w:r>
      <w:r>
        <w:rPr>
          <w:rFonts w:hint="eastAsia" w:ascii="仿宋_GB2312" w:eastAsia="仿宋_GB2312"/>
          <w:sz w:val="32"/>
          <w:szCs w:val="32"/>
          <w:lang w:eastAsia="zh-CN"/>
        </w:rPr>
        <w:t>年末无</w:t>
      </w:r>
      <w:r>
        <w:rPr>
          <w:rFonts w:hint="eastAsia" w:ascii="仿宋_GB2312" w:eastAsia="仿宋_GB2312"/>
          <w:sz w:val="32"/>
          <w:szCs w:val="32"/>
        </w:rPr>
        <w:t>结转结余，与上年</w:t>
      </w:r>
      <w:r>
        <w:rPr>
          <w:rFonts w:hint="eastAsia" w:ascii="仿宋_GB2312" w:eastAsia="仿宋_GB2312"/>
          <w:sz w:val="32"/>
          <w:szCs w:val="32"/>
          <w:lang w:eastAsia="zh-CN"/>
        </w:rPr>
        <w:t>相同</w:t>
      </w:r>
      <w:r>
        <w:rPr>
          <w:rFonts w:hint="eastAsia" w:ascii="仿宋_GB2312" w:eastAsia="仿宋_GB2312"/>
          <w:sz w:val="32"/>
          <w:szCs w:val="32"/>
        </w:rPr>
        <w:t>。</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与预算相比情况：财政拨款年初支出预算4,745.50万元，调整预算</w:t>
      </w:r>
      <w:r>
        <w:rPr>
          <w:rFonts w:hint="eastAsia" w:ascii="仿宋_GB2312" w:hAnsi="宋体" w:eastAsia="仿宋_GB2312" w:cs="仿宋_GB2312"/>
          <w:color w:val="000000"/>
          <w:sz w:val="32"/>
          <w:szCs w:val="32"/>
          <w:lang w:val="zh-CN"/>
        </w:rPr>
        <w:t>5,342.39</w:t>
      </w:r>
      <w:r>
        <w:rPr>
          <w:rFonts w:hint="eastAsia" w:ascii="仿宋_GB2312" w:eastAsia="仿宋_GB2312"/>
          <w:sz w:val="32"/>
          <w:szCs w:val="32"/>
        </w:rPr>
        <w:t>元，差异率</w:t>
      </w:r>
      <w:r>
        <w:rPr>
          <w:rFonts w:hint="eastAsia" w:ascii="仿宋_GB2312" w:eastAsia="仿宋_GB2312"/>
          <w:sz w:val="32"/>
          <w:szCs w:val="32"/>
          <w:lang w:val="en-US" w:eastAsia="zh-CN"/>
        </w:rPr>
        <w:t>12.58</w:t>
      </w:r>
      <w:r>
        <w:rPr>
          <w:rFonts w:hint="eastAsia" w:ascii="仿宋_GB2312" w:eastAsia="仿宋_GB2312"/>
          <w:sz w:val="32"/>
          <w:szCs w:val="32"/>
        </w:rPr>
        <w:t>%，差异额</w:t>
      </w:r>
      <w:r>
        <w:rPr>
          <w:rFonts w:hint="eastAsia" w:ascii="仿宋_GB2312" w:eastAsia="仿宋_GB2312"/>
          <w:sz w:val="32"/>
          <w:szCs w:val="32"/>
          <w:lang w:val="en-US" w:eastAsia="zh-CN"/>
        </w:rPr>
        <w:t>596.89</w:t>
      </w:r>
      <w:r>
        <w:rPr>
          <w:rFonts w:hint="eastAsia" w:ascii="仿宋_GB2312" w:eastAsia="仿宋_GB2312"/>
          <w:sz w:val="32"/>
          <w:szCs w:val="32"/>
        </w:rPr>
        <w:t>万元。原因是预算年度内</w:t>
      </w:r>
      <w:r>
        <w:rPr>
          <w:rFonts w:hint="eastAsia" w:ascii="仿宋_GB2312" w:eastAsia="仿宋_GB2312"/>
          <w:sz w:val="32"/>
          <w:szCs w:val="32"/>
          <w:lang w:eastAsia="zh-CN"/>
        </w:rPr>
        <w:t>追</w:t>
      </w:r>
      <w:r>
        <w:rPr>
          <w:rFonts w:hint="eastAsia" w:ascii="仿宋_GB2312" w:eastAsia="仿宋_GB2312"/>
          <w:sz w:val="32"/>
          <w:szCs w:val="32"/>
        </w:rPr>
        <w:t>加了绩效奖励资金、退休“中人”职业年金、抚恤金等人员支出；</w:t>
      </w:r>
      <w:r>
        <w:rPr>
          <w:rFonts w:hint="eastAsia" w:ascii="仿宋_GB2312" w:eastAsia="仿宋_GB2312"/>
          <w:sz w:val="32"/>
          <w:szCs w:val="32"/>
          <w:lang w:eastAsia="zh-CN"/>
        </w:rPr>
        <w:t>追</w:t>
      </w:r>
      <w:r>
        <w:rPr>
          <w:rFonts w:hint="eastAsia" w:ascii="仿宋_GB2312" w:eastAsia="仿宋_GB2312"/>
          <w:sz w:val="32"/>
          <w:szCs w:val="32"/>
        </w:rPr>
        <w:t>加了“三代”税款手续费等</w:t>
      </w:r>
      <w:r>
        <w:rPr>
          <w:rFonts w:hint="eastAsia" w:ascii="仿宋_GB2312" w:eastAsia="仿宋_GB2312"/>
          <w:sz w:val="32"/>
          <w:szCs w:val="32"/>
          <w:lang w:eastAsia="zh-CN"/>
        </w:rPr>
        <w:t>项目</w:t>
      </w:r>
      <w:r>
        <w:rPr>
          <w:rFonts w:hint="eastAsia" w:ascii="仿宋_GB2312" w:eastAsia="仿宋_GB2312"/>
          <w:sz w:val="32"/>
          <w:szCs w:val="32"/>
        </w:rPr>
        <w:t>支出。</w:t>
      </w:r>
    </w:p>
    <w:p>
      <w:pPr>
        <w:adjustRightInd w:val="0"/>
        <w:snapToGrid w:val="0"/>
        <w:spacing w:line="580" w:lineRule="exact"/>
        <w:ind w:firstLine="640" w:firstLineChars="200"/>
        <w:rPr>
          <w:lang w:val="zh-CN"/>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autoSpaceDE w:val="0"/>
        <w:autoSpaceDN w:val="0"/>
        <w:adjustRightInd w:val="0"/>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2017年全系统</w:t>
      </w:r>
      <w:r>
        <w:rPr>
          <w:rFonts w:hint="eastAsia" w:ascii="仿宋_GB2312" w:eastAsia="仿宋_GB2312"/>
          <w:sz w:val="32"/>
          <w:szCs w:val="32"/>
        </w:rPr>
        <w:t>一般公共预算支出</w:t>
      </w:r>
      <w:r>
        <w:rPr>
          <w:rFonts w:hint="eastAsia" w:ascii="仿宋_GB2312" w:hAnsi="仿宋" w:eastAsia="仿宋_GB2312" w:cs="仿宋_GB2312"/>
          <w:sz w:val="32"/>
          <w:szCs w:val="32"/>
        </w:rPr>
        <w:t>总额为</w:t>
      </w:r>
      <w:r>
        <w:rPr>
          <w:rFonts w:hint="eastAsia" w:ascii="仿宋_GB2312" w:hAnsi="宋体" w:eastAsia="仿宋_GB2312" w:cs="仿宋_GB2312"/>
          <w:color w:val="000000"/>
          <w:sz w:val="32"/>
          <w:szCs w:val="32"/>
          <w:lang w:val="zh-CN"/>
        </w:rPr>
        <w:t>5,342.39</w:t>
      </w:r>
      <w:r>
        <w:rPr>
          <w:rFonts w:hint="eastAsia" w:ascii="仿宋_GB2312" w:hAnsi="仿宋" w:eastAsia="仿宋_GB2312" w:cs="仿宋_GB2312"/>
          <w:sz w:val="32"/>
          <w:szCs w:val="32"/>
        </w:rPr>
        <w:t>万元，其中基本支出4,129.50万元，项目支出1,212.90万元。</w:t>
      </w:r>
      <w:r>
        <w:rPr>
          <w:rFonts w:hint="eastAsia" w:ascii="仿宋_GB2312" w:hAnsi="仿宋" w:eastAsia="仿宋_GB2312" w:cs="仿宋_GB2312"/>
          <w:sz w:val="32"/>
          <w:szCs w:val="32"/>
          <w:lang w:eastAsia="zh-CN"/>
        </w:rPr>
        <w:t>其中：</w:t>
      </w:r>
    </w:p>
    <w:p>
      <w:pPr>
        <w:autoSpaceDE w:val="0"/>
        <w:autoSpaceDN w:val="0"/>
        <w:adjustRightInd w:val="0"/>
        <w:ind w:firstLine="640" w:firstLineChars="200"/>
        <w:rPr>
          <w:rFonts w:hint="eastAsia" w:ascii="仿宋_GB2312" w:hAnsi="仿宋" w:eastAsia="仿宋_GB2312" w:cs="仿宋_GB2312"/>
          <w:sz w:val="32"/>
          <w:szCs w:val="32"/>
        </w:rPr>
      </w:pPr>
      <w:r>
        <w:rPr>
          <w:rFonts w:hint="eastAsia" w:ascii="仿宋_GB2312" w:eastAsia="仿宋_GB2312"/>
          <w:sz w:val="32"/>
          <w:szCs w:val="32"/>
        </w:rPr>
        <w:t>按功能分类科目，</w:t>
      </w:r>
      <w:r>
        <w:rPr>
          <w:rFonts w:hint="eastAsia" w:ascii="仿宋_GB2312" w:hAnsi="仿宋" w:eastAsia="仿宋_GB2312" w:cs="仿宋_GB2312"/>
          <w:sz w:val="32"/>
          <w:szCs w:val="32"/>
        </w:rPr>
        <w:t>基本支出4129.5万元，主要为行政运行</w:t>
      </w:r>
      <w:r>
        <w:rPr>
          <w:rFonts w:hint="eastAsia" w:ascii="仿宋_GB2312" w:hAnsi="仿宋" w:eastAsia="仿宋_GB2312" w:cs="仿宋_GB2312"/>
          <w:sz w:val="32"/>
          <w:szCs w:val="32"/>
          <w:lang w:val="en-US" w:eastAsia="zh-CN"/>
        </w:rPr>
        <w:t>3610.97万元</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社会保障和就业支出</w:t>
      </w:r>
      <w:r>
        <w:rPr>
          <w:rFonts w:hint="eastAsia" w:ascii="仿宋_GB2312" w:hAnsi="仿宋" w:eastAsia="仿宋_GB2312" w:cs="仿宋_GB2312"/>
          <w:sz w:val="32"/>
          <w:szCs w:val="32"/>
        </w:rPr>
        <w:t>518.5</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rPr>
        <w:t>1,212.90</w:t>
      </w:r>
      <w:r>
        <w:rPr>
          <w:rFonts w:hint="eastAsia" w:ascii="仿宋_GB2312" w:hAnsi="仿宋" w:eastAsia="仿宋_GB2312" w:cs="仿宋_GB2312"/>
          <w:sz w:val="32"/>
          <w:szCs w:val="32"/>
        </w:rPr>
        <w:t>万元，其中：一般行政管理事务支出</w:t>
      </w:r>
      <w:r>
        <w:rPr>
          <w:rFonts w:hint="eastAsia" w:ascii="仿宋_GB2312" w:hAnsi="仿宋" w:eastAsia="仿宋_GB2312" w:cs="仿宋_GB2312"/>
          <w:sz w:val="32"/>
          <w:szCs w:val="32"/>
          <w:lang w:val="en-US" w:eastAsia="zh-CN"/>
        </w:rPr>
        <w:t>15.18</w:t>
      </w:r>
      <w:r>
        <w:rPr>
          <w:rFonts w:hint="eastAsia" w:ascii="仿宋_GB2312" w:hAnsi="仿宋" w:eastAsia="仿宋_GB2312" w:cs="仿宋_GB2312"/>
          <w:sz w:val="32"/>
          <w:szCs w:val="32"/>
        </w:rPr>
        <w:t>万元，税务办案支出55万元，代扣代收代征税款手续费支出123.09万元，税务宣传40万元，信息化建设0万元，其他税收事务支出979.63万元。</w:t>
      </w:r>
      <w:r>
        <w:rPr>
          <w:rFonts w:hint="eastAsia" w:ascii="仿宋_GB2312" w:eastAsia="仿宋_GB2312"/>
          <w:sz w:val="32"/>
          <w:szCs w:val="32"/>
        </w:rPr>
        <w:t>按经济分类科目</w:t>
      </w:r>
      <w:r>
        <w:rPr>
          <w:rFonts w:hint="eastAsia" w:ascii="仿宋_GB2312" w:eastAsia="仿宋_GB2312"/>
          <w:sz w:val="32"/>
          <w:szCs w:val="32"/>
          <w:lang w:eastAsia="zh-CN"/>
        </w:rPr>
        <w:t>，</w:t>
      </w:r>
      <w:r>
        <w:rPr>
          <w:rFonts w:hint="eastAsia" w:ascii="仿宋_GB2312" w:hAnsi="仿宋" w:eastAsia="仿宋_GB2312" w:cs="仿宋_GB2312"/>
          <w:sz w:val="32"/>
          <w:szCs w:val="32"/>
        </w:rPr>
        <w:t>工资福利支出</w:t>
      </w:r>
      <w:r>
        <w:rPr>
          <w:rFonts w:hint="eastAsia" w:ascii="仿宋_GB2312" w:hAnsi="仿宋" w:eastAsia="仿宋_GB2312" w:cs="仿宋_GB2312"/>
          <w:sz w:val="32"/>
          <w:szCs w:val="32"/>
          <w:lang w:val="en-US" w:eastAsia="zh-CN"/>
        </w:rPr>
        <w:t>15.18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商品服务支出1,164.00 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其他资本性支出</w:t>
      </w:r>
      <w:r>
        <w:rPr>
          <w:rFonts w:hint="eastAsia" w:ascii="仿宋_GB2312" w:hAnsi="仿宋" w:eastAsia="仿宋_GB2312" w:cs="仿宋_GB2312"/>
          <w:sz w:val="32"/>
          <w:szCs w:val="32"/>
          <w:lang w:val="en-US" w:eastAsia="zh-CN"/>
        </w:rPr>
        <w:t>33.72</w:t>
      </w:r>
      <w:r>
        <w:rPr>
          <w:rFonts w:hint="eastAsia" w:ascii="仿宋_GB2312" w:hAnsi="仿宋" w:eastAsia="仿宋_GB2312" w:cs="仿宋_GB2312"/>
          <w:sz w:val="32"/>
          <w:szCs w:val="32"/>
        </w:rPr>
        <w:t>万元。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与预算相比情况：一般公共预算年初支出预算5,342.39万元，调整预算5,342.39万元，</w:t>
      </w:r>
      <w:r>
        <w:rPr>
          <w:rFonts w:hint="eastAsia" w:ascii="仿宋_GB2312" w:eastAsia="仿宋_GB2312"/>
          <w:sz w:val="32"/>
          <w:szCs w:val="32"/>
          <w:lang w:eastAsia="zh-CN"/>
        </w:rPr>
        <w:t>无差异</w:t>
      </w:r>
      <w:r>
        <w:rPr>
          <w:rFonts w:hint="eastAsia" w:ascii="仿宋_GB2312" w:eastAsia="仿宋_GB2312"/>
          <w:sz w:val="32"/>
          <w:szCs w:val="32"/>
        </w:rPr>
        <w:t>。</w:t>
      </w:r>
      <w:bookmarkStart w:id="0" w:name="_GoBack"/>
      <w:bookmarkEnd w:id="0"/>
    </w:p>
    <w:p>
      <w:pPr>
        <w:adjustRightInd w:val="0"/>
        <w:snapToGrid w:val="0"/>
        <w:spacing w:line="580" w:lineRule="exact"/>
        <w:ind w:firstLine="640" w:firstLineChars="200"/>
        <w:rPr>
          <w:lang w:val="zh-CN"/>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hAnsi="仿宋" w:eastAsia="仿宋_GB2312" w:cs="仿宋_GB2312"/>
          <w:sz w:val="32"/>
          <w:szCs w:val="32"/>
        </w:rPr>
      </w:pPr>
      <w:r>
        <w:rPr>
          <w:rFonts w:hint="eastAsia" w:ascii="仿宋_GB2312" w:eastAsia="仿宋_GB2312"/>
          <w:sz w:val="32"/>
          <w:szCs w:val="32"/>
        </w:rPr>
        <w:t>原吐鲁番市地税</w:t>
      </w:r>
      <w:r>
        <w:rPr>
          <w:rFonts w:hint="eastAsia" w:ascii="仿宋_GB2312" w:hAnsi="仿宋" w:eastAsia="仿宋_GB2312" w:cs="仿宋_GB2312"/>
          <w:sz w:val="32"/>
          <w:szCs w:val="32"/>
        </w:rPr>
        <w:t>系统无政府性基金预算收支业务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hAnsi="仿宋" w:eastAsia="仿宋_GB2312" w:cs="仿宋_GB2312"/>
          <w:sz w:val="32"/>
          <w:szCs w:val="32"/>
        </w:rPr>
      </w:pPr>
      <w:r>
        <w:rPr>
          <w:rFonts w:hint="eastAsia" w:ascii="仿宋_GB2312" w:eastAsia="仿宋_GB2312"/>
          <w:sz w:val="32"/>
          <w:szCs w:val="32"/>
        </w:rPr>
        <w:t>原吐鲁番市地税</w:t>
      </w:r>
      <w:r>
        <w:rPr>
          <w:rFonts w:hint="eastAsia" w:ascii="仿宋_GB2312" w:hAnsi="仿宋" w:eastAsia="仿宋_GB2312" w:cs="仿宋_GB2312"/>
          <w:sz w:val="32"/>
          <w:szCs w:val="32"/>
        </w:rPr>
        <w:t>系统无政府性基金预算收支业务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00" w:lineRule="exact"/>
        <w:ind w:firstLine="640" w:firstLineChars="200"/>
        <w:rPr>
          <w:rFonts w:ascii="仿宋_GB2312" w:eastAsia="仿宋_GB2312"/>
          <w:sz w:val="32"/>
          <w:szCs w:val="32"/>
        </w:rPr>
      </w:pPr>
      <w:r>
        <w:rPr>
          <w:rFonts w:hint="eastAsia" w:ascii="仿宋_GB2312" w:hAnsi="仿宋" w:eastAsia="仿宋_GB2312" w:cs="仿宋_GB2312"/>
          <w:sz w:val="32"/>
          <w:szCs w:val="32"/>
          <w:lang w:val="zh-CN"/>
        </w:rPr>
        <w:t>201</w:t>
      </w:r>
      <w:r>
        <w:rPr>
          <w:rFonts w:hint="eastAsia" w:ascii="仿宋_GB2312" w:hAnsi="仿宋" w:eastAsia="仿宋_GB2312" w:cs="仿宋_GB2312"/>
          <w:sz w:val="32"/>
          <w:szCs w:val="32"/>
        </w:rPr>
        <w:t>7</w:t>
      </w:r>
      <w:r>
        <w:rPr>
          <w:rFonts w:hint="eastAsia" w:ascii="仿宋_GB2312" w:hAnsi="仿宋" w:eastAsia="仿宋_GB2312" w:cs="仿宋_GB2312"/>
          <w:sz w:val="32"/>
          <w:szCs w:val="32"/>
          <w:lang w:val="zh-CN"/>
        </w:rPr>
        <w:t>年末结转和结余资金442.78万元，</w:t>
      </w:r>
      <w:r>
        <w:rPr>
          <w:rFonts w:hint="eastAsia" w:ascii="仿宋_GB2312" w:eastAsia="仿宋_GB2312"/>
          <w:sz w:val="32"/>
          <w:szCs w:val="32"/>
        </w:rPr>
        <w:t>与上年相比，增加34.96万元，增长8.57%，全部为其他资金结转结余。</w:t>
      </w:r>
    </w:p>
    <w:p>
      <w:pPr>
        <w:spacing w:line="500" w:lineRule="exact"/>
        <w:ind w:firstLine="640" w:firstLineChars="200"/>
        <w:rPr>
          <w:rFonts w:ascii="仿宋_GB2312" w:eastAsia="仿宋_GB2312"/>
          <w:sz w:val="32"/>
          <w:szCs w:val="32"/>
        </w:rPr>
      </w:pPr>
      <w:r>
        <w:rPr>
          <w:rFonts w:hint="eastAsia" w:ascii="仿宋_GB2312" w:hAnsi="仿宋" w:eastAsia="仿宋_GB2312" w:cs="仿宋_GB2312"/>
          <w:sz w:val="32"/>
          <w:szCs w:val="32"/>
          <w:lang w:val="zh-CN"/>
        </w:rPr>
        <w:t>形成结转资金的</w:t>
      </w:r>
      <w:r>
        <w:rPr>
          <w:rFonts w:hint="eastAsia" w:ascii="仿宋_GB2312" w:hAnsi="宋体" w:eastAsia="仿宋_GB2312" w:cs="仿宋_GB2312"/>
          <w:color w:val="000000"/>
          <w:sz w:val="32"/>
          <w:szCs w:val="32"/>
          <w:lang w:val="zh-CN"/>
        </w:rPr>
        <w:t>主要原因：一是按规定留存的质量保证金；二是地方政府补助资金以及地税部门代征非税收入取得的手续费到账时间较晚，形成结转资金。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年度一般公共预算“三公”经费支出决算65.84万元，比上年减少</w:t>
      </w:r>
      <w:r>
        <w:rPr>
          <w:rFonts w:hint="eastAsia" w:ascii="仿宋_GB2312" w:hAnsi="仿宋" w:eastAsia="仿宋_GB2312" w:cs="仿宋_GB2312"/>
          <w:sz w:val="32"/>
          <w:szCs w:val="32"/>
          <w:lang w:val="zh-CN"/>
        </w:rPr>
        <w:t>13.4</w:t>
      </w:r>
      <w:r>
        <w:rPr>
          <w:rFonts w:hint="eastAsia" w:ascii="仿宋_GB2312" w:eastAsia="仿宋_GB2312"/>
          <w:sz w:val="32"/>
          <w:szCs w:val="32"/>
        </w:rPr>
        <w:t>万元，降低</w:t>
      </w:r>
      <w:r>
        <w:rPr>
          <w:rFonts w:hint="eastAsia" w:ascii="仿宋_GB2312" w:eastAsia="仿宋_GB2312"/>
          <w:sz w:val="32"/>
          <w:szCs w:val="32"/>
          <w:lang w:val="en-US" w:eastAsia="zh-CN"/>
        </w:rPr>
        <w:t>19.13</w:t>
      </w:r>
      <w:r>
        <w:rPr>
          <w:rFonts w:hint="eastAsia" w:ascii="仿宋_GB2312" w:eastAsia="仿宋_GB2312"/>
          <w:sz w:val="32"/>
          <w:szCs w:val="32"/>
        </w:rPr>
        <w:t>%，减少原因一是</w:t>
      </w:r>
      <w:r>
        <w:rPr>
          <w:rFonts w:hint="eastAsia" w:ascii="仿宋_GB2312" w:hAnsi="宋体" w:eastAsia="仿宋_GB2312"/>
          <w:color w:val="000000"/>
          <w:sz w:val="32"/>
          <w:szCs w:val="32"/>
        </w:rPr>
        <w:t>继续狠抓公车使用管理，减少了公务用车运行及维护费的支出；二是在公务接待上禁止接待中的铺张浪费，严格控制公务接待费用支出，认真落实“八项规定”。</w:t>
      </w:r>
      <w:r>
        <w:rPr>
          <w:rFonts w:hint="eastAsia" w:ascii="仿宋_GB2312" w:eastAsia="仿宋_GB2312"/>
          <w:sz w:val="32"/>
          <w:szCs w:val="32"/>
        </w:rPr>
        <w:t>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与上年相同</w:t>
      </w:r>
      <w:r>
        <w:rPr>
          <w:rFonts w:hint="eastAsia" w:ascii="仿宋_GB2312" w:eastAsia="仿宋_GB2312"/>
          <w:sz w:val="32"/>
          <w:szCs w:val="32"/>
        </w:rPr>
        <w:t>；公务用车购置及运行维护费支出</w:t>
      </w:r>
      <w:r>
        <w:rPr>
          <w:rFonts w:hint="eastAsia" w:ascii="仿宋_GB2312" w:hAnsi="仿宋" w:eastAsia="仿宋_GB2312" w:cs="仿宋_GB2312"/>
          <w:sz w:val="32"/>
          <w:szCs w:val="32"/>
          <w:lang w:val="zh-CN"/>
        </w:rPr>
        <w:t>64.57</w:t>
      </w:r>
      <w:r>
        <w:rPr>
          <w:rFonts w:hint="eastAsia" w:ascii="仿宋_GB2312" w:eastAsia="仿宋_GB2312"/>
          <w:sz w:val="32"/>
          <w:szCs w:val="32"/>
        </w:rPr>
        <w:t>万元，占</w:t>
      </w:r>
      <w:r>
        <w:rPr>
          <w:rFonts w:hint="eastAsia" w:ascii="仿宋_GB2312" w:eastAsia="仿宋_GB2312"/>
          <w:sz w:val="32"/>
          <w:szCs w:val="32"/>
          <w:lang w:val="en-US" w:eastAsia="zh-CN"/>
        </w:rPr>
        <w:t>98.07</w:t>
      </w:r>
      <w:r>
        <w:rPr>
          <w:rFonts w:hint="eastAsia" w:ascii="仿宋_GB2312" w:eastAsia="仿宋_GB2312"/>
          <w:sz w:val="32"/>
          <w:szCs w:val="32"/>
        </w:rPr>
        <w:t>%，比上年减少</w:t>
      </w:r>
      <w:r>
        <w:rPr>
          <w:rFonts w:hint="eastAsia" w:ascii="仿宋_GB2312" w:hAnsi="仿宋" w:eastAsia="仿宋_GB2312" w:cs="仿宋_GB2312"/>
          <w:sz w:val="32"/>
          <w:szCs w:val="32"/>
          <w:lang w:val="zh-CN"/>
        </w:rPr>
        <w:t>3.37</w:t>
      </w:r>
      <w:r>
        <w:rPr>
          <w:rFonts w:hint="eastAsia" w:ascii="仿宋_GB2312" w:eastAsia="仿宋_GB2312"/>
          <w:sz w:val="32"/>
          <w:szCs w:val="32"/>
        </w:rPr>
        <w:t>万元，降低</w:t>
      </w:r>
      <w:r>
        <w:rPr>
          <w:rFonts w:hint="eastAsia" w:ascii="仿宋_GB2312" w:eastAsia="仿宋_GB2312"/>
          <w:sz w:val="32"/>
          <w:szCs w:val="32"/>
          <w:lang w:val="en-US" w:eastAsia="zh-CN"/>
        </w:rPr>
        <w:t>4.96</w:t>
      </w:r>
      <w:r>
        <w:rPr>
          <w:rFonts w:hint="eastAsia" w:ascii="仿宋_GB2312" w:eastAsia="仿宋_GB2312"/>
          <w:sz w:val="32"/>
          <w:szCs w:val="32"/>
        </w:rPr>
        <w:t>%，减少原因是</w:t>
      </w:r>
      <w:r>
        <w:rPr>
          <w:rFonts w:hint="eastAsia" w:ascii="仿宋_GB2312" w:hAnsi="宋体" w:eastAsia="仿宋_GB2312"/>
          <w:color w:val="000000"/>
          <w:sz w:val="32"/>
          <w:szCs w:val="32"/>
        </w:rPr>
        <w:t>严格实行派车制度，严格执行定点加油、维修和保险制度，推行车辆油耗单车定额核算、运行费用定期公示等制度，减少了公务用车运行及维护费的支出</w:t>
      </w:r>
      <w:r>
        <w:rPr>
          <w:rFonts w:hint="eastAsia" w:ascii="仿宋_GB2312" w:eastAsia="仿宋_GB2312"/>
          <w:sz w:val="32"/>
          <w:szCs w:val="32"/>
        </w:rPr>
        <w:t>；公务接待费支出</w:t>
      </w:r>
      <w:r>
        <w:rPr>
          <w:rFonts w:hint="eastAsia" w:ascii="仿宋_GB2312" w:hAnsi="仿宋" w:eastAsia="仿宋_GB2312" w:cs="仿宋_GB2312"/>
          <w:sz w:val="32"/>
          <w:szCs w:val="32"/>
          <w:lang w:val="zh-CN"/>
        </w:rPr>
        <w:t>1.27</w:t>
      </w:r>
      <w:r>
        <w:rPr>
          <w:rFonts w:hint="eastAsia" w:ascii="仿宋_GB2312" w:eastAsia="仿宋_GB2312"/>
          <w:sz w:val="32"/>
          <w:szCs w:val="32"/>
        </w:rPr>
        <w:t>万元，占</w:t>
      </w:r>
      <w:r>
        <w:rPr>
          <w:rFonts w:hint="eastAsia" w:ascii="仿宋_GB2312" w:eastAsia="仿宋_GB2312"/>
          <w:sz w:val="32"/>
          <w:szCs w:val="32"/>
          <w:lang w:val="en-US" w:eastAsia="zh-CN"/>
        </w:rPr>
        <w:t>1.93</w:t>
      </w:r>
      <w:r>
        <w:rPr>
          <w:rFonts w:hint="eastAsia" w:ascii="仿宋_GB2312" w:eastAsia="仿宋_GB2312"/>
          <w:sz w:val="32"/>
          <w:szCs w:val="32"/>
        </w:rPr>
        <w:t>%，比上年减少</w:t>
      </w:r>
      <w:r>
        <w:rPr>
          <w:rFonts w:hint="eastAsia" w:ascii="仿宋_GB2312" w:eastAsia="仿宋_GB2312"/>
          <w:sz w:val="32"/>
          <w:szCs w:val="32"/>
          <w:lang w:val="en-US" w:eastAsia="zh-CN"/>
        </w:rPr>
        <w:t>0.84</w:t>
      </w:r>
      <w:r>
        <w:rPr>
          <w:rFonts w:hint="eastAsia" w:ascii="仿宋_GB2312" w:eastAsia="仿宋_GB2312"/>
          <w:sz w:val="32"/>
          <w:szCs w:val="32"/>
        </w:rPr>
        <w:t>万元，降低</w:t>
      </w:r>
      <w:r>
        <w:rPr>
          <w:rFonts w:hint="eastAsia" w:ascii="仿宋_GB2312" w:eastAsia="仿宋_GB2312"/>
          <w:sz w:val="32"/>
          <w:szCs w:val="32"/>
          <w:lang w:val="en-US" w:eastAsia="zh-CN"/>
        </w:rPr>
        <w:t>39.81</w:t>
      </w:r>
      <w:r>
        <w:rPr>
          <w:rFonts w:hint="eastAsia" w:ascii="仿宋_GB2312" w:eastAsia="仿宋_GB2312"/>
          <w:sz w:val="32"/>
          <w:szCs w:val="32"/>
        </w:rPr>
        <w:t>%，减少原因是</w:t>
      </w:r>
      <w:r>
        <w:rPr>
          <w:rFonts w:hint="eastAsia" w:ascii="仿宋_GB2312" w:hAnsi="宋体" w:eastAsia="仿宋_GB2312"/>
          <w:color w:val="000000"/>
          <w:sz w:val="32"/>
          <w:szCs w:val="32"/>
        </w:rPr>
        <w:t>在公务接待上继续推行各项举措压缩支出，严格控制公务接待费用支出，各地认真落实“八项规定”，外省来疆交流、学习人员甚少，公务接待费支出相应减少。</w:t>
      </w:r>
      <w:r>
        <w:rPr>
          <w:rFonts w:hint="eastAsia" w:ascii="仿宋_GB2312" w:eastAsia="仿宋_GB2312"/>
          <w:sz w:val="32"/>
          <w:szCs w:val="32"/>
        </w:rPr>
        <w:t>具体情况如下：</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原吐鲁番市地方税务系统</w:t>
      </w:r>
      <w:r>
        <w:rPr>
          <w:rFonts w:hint="eastAsia" w:ascii="仿宋_GB2312" w:eastAsia="仿宋_GB2312"/>
          <w:sz w:val="32"/>
          <w:szCs w:val="32"/>
        </w:rPr>
        <w:t>全年使用一般公共预算财政拨款安排的出国（境）团组</w:t>
      </w:r>
      <w:r>
        <w:rPr>
          <w:rFonts w:hint="eastAsia" w:ascii="仿宋_GB2312" w:eastAsia="仿宋_GB2312"/>
          <w:sz w:val="32"/>
          <w:szCs w:val="32"/>
          <w:lang w:val="en-US" w:eastAsia="zh-CN"/>
        </w:rPr>
        <w:t>0</w:t>
      </w:r>
      <w:r>
        <w:rPr>
          <w:rFonts w:hint="eastAsia" w:ascii="仿宋_GB2312" w:eastAsia="仿宋_GB2312"/>
          <w:sz w:val="32"/>
          <w:szCs w:val="32"/>
        </w:rPr>
        <w:t>个，累计人次。</w:t>
      </w:r>
      <w:r>
        <w:rPr>
          <w:rFonts w:hint="eastAsia" w:ascii="仿宋_GB2312" w:eastAsia="仿宋_GB2312"/>
          <w:sz w:val="32"/>
          <w:szCs w:val="32"/>
          <w:lang w:val="en-US" w:eastAsia="zh-CN"/>
        </w:rPr>
        <w:t>2017年未安排</w:t>
      </w:r>
      <w:r>
        <w:rPr>
          <w:rFonts w:hint="eastAsia" w:ascii="仿宋_GB2312" w:eastAsia="仿宋_GB2312"/>
          <w:sz w:val="32"/>
          <w:szCs w:val="32"/>
        </w:rPr>
        <w:t>因公出国（境）费。</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公务用车购置及运行维护费</w:t>
      </w:r>
      <w:r>
        <w:rPr>
          <w:rFonts w:hint="eastAsia" w:ascii="仿宋_GB2312" w:hAnsi="仿宋" w:eastAsia="仿宋_GB2312" w:cs="仿宋_GB2312"/>
          <w:color w:val="auto"/>
          <w:sz w:val="32"/>
          <w:szCs w:val="32"/>
          <w:lang w:val="zh-CN"/>
        </w:rPr>
        <w:t>64.57</w:t>
      </w:r>
      <w:r>
        <w:rPr>
          <w:rFonts w:hint="eastAsia" w:ascii="仿宋_GB2312" w:eastAsia="仿宋_GB2312"/>
          <w:color w:val="auto"/>
          <w:sz w:val="32"/>
          <w:szCs w:val="32"/>
        </w:rPr>
        <w:t>万元,其中，公务用车购置</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万元，公务用车运行维护费</w:t>
      </w:r>
      <w:r>
        <w:rPr>
          <w:rFonts w:hint="eastAsia" w:ascii="仿宋_GB2312" w:hAnsi="仿宋" w:eastAsia="仿宋_GB2312" w:cs="仿宋_GB2312"/>
          <w:color w:val="auto"/>
          <w:sz w:val="32"/>
          <w:szCs w:val="32"/>
          <w:lang w:val="zh-CN"/>
        </w:rPr>
        <w:t>64.57</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车辆日常用油、维修</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年单位一般公共财政拨款安排的公务用车购置量</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辆，保有量为</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hAnsi="仿宋" w:eastAsia="仿宋_GB2312" w:cs="仿宋_GB2312"/>
          <w:color w:val="auto"/>
          <w:sz w:val="32"/>
          <w:szCs w:val="32"/>
          <w:lang w:val="zh-CN"/>
        </w:rPr>
        <w:t>其中一般公务用车3辆，执法执勤用车32辆</w:t>
      </w:r>
      <w:r>
        <w:rPr>
          <w:rFonts w:hint="eastAsia" w:ascii="仿宋_GB2312" w:eastAsia="仿宋_GB2312"/>
          <w:color w:val="auto"/>
          <w:sz w:val="32"/>
          <w:szCs w:val="32"/>
        </w:rPr>
        <w:t>。</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1.27</w:t>
      </w:r>
      <w:r>
        <w:rPr>
          <w:rFonts w:hint="eastAsia" w:ascii="仿宋_GB2312" w:eastAsia="仿宋_GB2312"/>
          <w:color w:val="auto"/>
          <w:sz w:val="32"/>
          <w:szCs w:val="32"/>
        </w:rPr>
        <w:t>万元。具体是：国内公务接待支出</w:t>
      </w:r>
      <w:r>
        <w:rPr>
          <w:rFonts w:hint="eastAsia" w:ascii="仿宋_GB2312" w:eastAsia="仿宋_GB2312"/>
          <w:color w:val="auto"/>
          <w:sz w:val="32"/>
          <w:szCs w:val="32"/>
          <w:lang w:val="en-US" w:eastAsia="zh-CN"/>
        </w:rPr>
        <w:t>1.27</w:t>
      </w:r>
      <w:r>
        <w:rPr>
          <w:rFonts w:hint="eastAsia" w:ascii="仿宋_GB2312" w:eastAsia="仿宋_GB2312"/>
          <w:color w:val="auto"/>
          <w:sz w:val="32"/>
          <w:szCs w:val="32"/>
        </w:rPr>
        <w:t>万元，主要是</w:t>
      </w:r>
      <w:r>
        <w:rPr>
          <w:rFonts w:hint="eastAsia" w:ascii="仿宋_GB2312" w:eastAsia="仿宋_GB2312"/>
          <w:color w:val="auto"/>
          <w:sz w:val="32"/>
          <w:szCs w:val="32"/>
          <w:lang w:eastAsia="zh-CN"/>
        </w:rPr>
        <w:t>公务接待发生的餐宿费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2017年</w:t>
      </w:r>
      <w:r>
        <w:rPr>
          <w:rFonts w:hint="eastAsia" w:ascii="仿宋_GB2312" w:eastAsia="仿宋_GB2312"/>
          <w:color w:val="auto"/>
          <w:sz w:val="32"/>
          <w:szCs w:val="32"/>
        </w:rPr>
        <w:t>国内公务接待</w:t>
      </w:r>
      <w:r>
        <w:rPr>
          <w:rFonts w:hint="eastAsia" w:ascii="仿宋_GB2312" w:eastAsia="仿宋_GB2312"/>
          <w:color w:val="auto"/>
          <w:sz w:val="32"/>
          <w:szCs w:val="32"/>
          <w:lang w:val="en-US" w:eastAsia="zh-CN"/>
        </w:rPr>
        <w:t>44</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273</w:t>
      </w:r>
      <w:r>
        <w:rPr>
          <w:rFonts w:hint="eastAsia" w:ascii="仿宋_GB2312" w:eastAsia="仿宋_GB2312"/>
          <w:color w:val="auto"/>
          <w:sz w:val="32"/>
          <w:szCs w:val="32"/>
        </w:rPr>
        <w:t>人次。</w:t>
      </w:r>
    </w:p>
    <w:p>
      <w:pPr>
        <w:adjustRightInd w:val="0"/>
        <w:snapToGrid w:val="0"/>
        <w:spacing w:line="580" w:lineRule="exact"/>
        <w:ind w:firstLine="640" w:firstLineChars="200"/>
        <w:rPr>
          <w:rFonts w:hint="eastAsia" w:ascii="仿宋_GB2312" w:hAnsi="宋体" w:eastAsia="仿宋_GB2312"/>
          <w:color w:val="auto"/>
          <w:sz w:val="32"/>
          <w:szCs w:val="32"/>
        </w:rPr>
      </w:pPr>
      <w:r>
        <w:rPr>
          <w:rFonts w:hint="eastAsia" w:ascii="仿宋_GB2312" w:hAnsi="宋体" w:eastAsia="仿宋_GB2312" w:cs="仿宋_GB2312"/>
          <w:color w:val="auto"/>
          <w:sz w:val="32"/>
          <w:szCs w:val="32"/>
          <w:lang w:val="zh-CN"/>
        </w:rPr>
        <w:t>2017年，一般公共预算拨款“三公”经费预算</w:t>
      </w:r>
      <w:r>
        <w:rPr>
          <w:rFonts w:hint="eastAsia" w:ascii="仿宋_GB2312" w:hAnsi="仿宋" w:eastAsia="仿宋_GB2312" w:cs="仿宋_GB2312"/>
          <w:color w:val="auto"/>
          <w:sz w:val="32"/>
          <w:szCs w:val="32"/>
          <w:lang w:val="zh-CN"/>
        </w:rPr>
        <w:t>83.45</w:t>
      </w:r>
      <w:r>
        <w:rPr>
          <w:rFonts w:hint="eastAsia" w:ascii="仿宋_GB2312" w:hAnsi="宋体" w:eastAsia="仿宋_GB2312" w:cs="仿宋_GB2312"/>
          <w:color w:val="auto"/>
          <w:sz w:val="32"/>
          <w:szCs w:val="32"/>
          <w:lang w:val="zh-CN"/>
        </w:rPr>
        <w:t>万元，实际支出</w:t>
      </w:r>
      <w:r>
        <w:rPr>
          <w:rFonts w:hint="eastAsia" w:ascii="仿宋_GB2312" w:hAnsi="仿宋" w:eastAsia="仿宋_GB2312" w:cs="仿宋_GB2312"/>
          <w:color w:val="auto"/>
          <w:sz w:val="32"/>
          <w:szCs w:val="32"/>
          <w:lang w:val="zh-CN"/>
        </w:rPr>
        <w:t>65.84</w:t>
      </w:r>
      <w:r>
        <w:rPr>
          <w:rFonts w:hint="eastAsia" w:ascii="仿宋_GB2312" w:hAnsi="宋体" w:eastAsia="仿宋_GB2312" w:cs="仿宋_GB2312"/>
          <w:color w:val="auto"/>
          <w:sz w:val="32"/>
          <w:szCs w:val="32"/>
          <w:lang w:val="zh-CN"/>
        </w:rPr>
        <w:t>元，较预算减少</w:t>
      </w:r>
      <w:r>
        <w:rPr>
          <w:rFonts w:hint="eastAsia" w:ascii="仿宋_GB2312" w:hAnsi="宋体" w:eastAsia="仿宋_GB2312" w:cs="仿宋_GB2312"/>
          <w:color w:val="auto"/>
          <w:sz w:val="32"/>
          <w:szCs w:val="32"/>
          <w:lang w:val="en-US" w:eastAsia="zh-CN"/>
        </w:rPr>
        <w:t>17.61</w:t>
      </w:r>
      <w:r>
        <w:rPr>
          <w:rFonts w:hint="eastAsia" w:ascii="仿宋_GB2312" w:hAnsi="宋体" w:eastAsia="仿宋_GB2312" w:cs="仿宋_GB2312"/>
          <w:color w:val="auto"/>
          <w:sz w:val="32"/>
          <w:szCs w:val="32"/>
          <w:lang w:val="zh-CN"/>
        </w:rPr>
        <w:t>万元，未超预算支出；</w:t>
      </w:r>
      <w:r>
        <w:rPr>
          <w:rFonts w:hint="eastAsia" w:ascii="仿宋_GB2312" w:hAnsi="宋体" w:eastAsia="仿宋_GB2312"/>
          <w:color w:val="auto"/>
          <w:sz w:val="32"/>
          <w:szCs w:val="32"/>
        </w:rPr>
        <w:t>公务用车购置及运行维护费预算</w:t>
      </w:r>
      <w:r>
        <w:rPr>
          <w:rFonts w:hint="eastAsia" w:ascii="仿宋_GB2312" w:hAnsi="仿宋" w:eastAsia="仿宋_GB2312" w:cs="仿宋_GB2312"/>
          <w:color w:val="auto"/>
          <w:sz w:val="32"/>
          <w:szCs w:val="32"/>
          <w:lang w:val="zh-CN"/>
        </w:rPr>
        <w:t>71.87</w:t>
      </w:r>
      <w:r>
        <w:rPr>
          <w:rFonts w:hint="eastAsia" w:ascii="仿宋_GB2312" w:hAnsi="宋体" w:eastAsia="仿宋_GB2312"/>
          <w:color w:val="auto"/>
          <w:sz w:val="32"/>
          <w:szCs w:val="32"/>
        </w:rPr>
        <w:t>万元，实际支出</w:t>
      </w:r>
      <w:r>
        <w:rPr>
          <w:rFonts w:hint="eastAsia" w:ascii="仿宋_GB2312" w:hAnsi="仿宋" w:eastAsia="仿宋_GB2312" w:cs="仿宋_GB2312"/>
          <w:color w:val="auto"/>
          <w:sz w:val="32"/>
          <w:szCs w:val="32"/>
          <w:lang w:val="zh-CN"/>
        </w:rPr>
        <w:t>64.57</w:t>
      </w:r>
      <w:r>
        <w:rPr>
          <w:rFonts w:hint="eastAsia" w:ascii="仿宋_GB2312" w:hAnsi="宋体" w:eastAsia="仿宋_GB2312"/>
          <w:color w:val="auto"/>
          <w:sz w:val="32"/>
          <w:szCs w:val="32"/>
        </w:rPr>
        <w:t>万元，较预算减少</w:t>
      </w:r>
      <w:r>
        <w:rPr>
          <w:rFonts w:hint="eastAsia" w:ascii="仿宋_GB2312" w:hAnsi="宋体" w:eastAsia="仿宋_GB2312"/>
          <w:color w:val="auto"/>
          <w:sz w:val="32"/>
          <w:szCs w:val="32"/>
          <w:lang w:val="en-US" w:eastAsia="zh-CN"/>
        </w:rPr>
        <w:t>7.3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全部为</w:t>
      </w:r>
      <w:r>
        <w:rPr>
          <w:rFonts w:hint="eastAsia" w:ascii="仿宋_GB2312" w:hAnsi="宋体" w:eastAsia="仿宋_GB2312"/>
          <w:color w:val="auto"/>
          <w:sz w:val="32"/>
          <w:szCs w:val="32"/>
        </w:rPr>
        <w:t>公务用车运行费</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减少；公务接待费预算</w:t>
      </w:r>
      <w:r>
        <w:rPr>
          <w:rFonts w:hint="eastAsia" w:ascii="仿宋_GB2312" w:hAnsi="宋体" w:eastAsia="仿宋_GB2312"/>
          <w:color w:val="auto"/>
          <w:sz w:val="32"/>
          <w:szCs w:val="32"/>
          <w:lang w:val="en-US" w:eastAsia="zh-CN"/>
        </w:rPr>
        <w:t>11.58</w:t>
      </w:r>
      <w:r>
        <w:rPr>
          <w:rFonts w:hint="eastAsia" w:ascii="仿宋_GB2312" w:hAnsi="宋体" w:eastAsia="仿宋_GB2312"/>
          <w:color w:val="auto"/>
          <w:sz w:val="32"/>
          <w:szCs w:val="32"/>
        </w:rPr>
        <w:t>万元，实际支出</w:t>
      </w:r>
      <w:r>
        <w:rPr>
          <w:rFonts w:hint="eastAsia" w:ascii="仿宋_GB2312" w:hAnsi="宋体" w:eastAsia="仿宋_GB2312"/>
          <w:color w:val="auto"/>
          <w:sz w:val="32"/>
          <w:szCs w:val="32"/>
          <w:lang w:val="en-US" w:eastAsia="zh-CN"/>
        </w:rPr>
        <w:t>1.27</w:t>
      </w:r>
      <w:r>
        <w:rPr>
          <w:rFonts w:hint="eastAsia" w:ascii="仿宋_GB2312" w:hAnsi="宋体" w:eastAsia="仿宋_GB2312"/>
          <w:color w:val="auto"/>
          <w:sz w:val="32"/>
          <w:szCs w:val="32"/>
        </w:rPr>
        <w:t>万元，较预算减少1</w:t>
      </w:r>
      <w:r>
        <w:rPr>
          <w:rFonts w:hint="eastAsia" w:ascii="仿宋_GB2312" w:hAnsi="宋体" w:eastAsia="仿宋_GB2312"/>
          <w:color w:val="auto"/>
          <w:sz w:val="32"/>
          <w:szCs w:val="32"/>
          <w:lang w:val="en-US" w:eastAsia="zh-CN"/>
        </w:rPr>
        <w:t>0.31</w:t>
      </w:r>
      <w:r>
        <w:rPr>
          <w:rFonts w:hint="eastAsia" w:ascii="仿宋_GB2312" w:hAnsi="宋体" w:eastAsia="仿宋_GB2312"/>
          <w:color w:val="auto"/>
          <w:sz w:val="32"/>
          <w:szCs w:val="32"/>
        </w:rPr>
        <w:t>万元。</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2017年度</w:t>
      </w:r>
      <w:r>
        <w:rPr>
          <w:rFonts w:hint="eastAsia" w:ascii="仿宋_GB2312" w:hAnsi="仿宋" w:eastAsia="仿宋_GB2312" w:cs="仿宋_GB2312"/>
          <w:sz w:val="32"/>
          <w:szCs w:val="32"/>
          <w:lang w:val="zh-CN"/>
        </w:rPr>
        <w:t>全系统</w:t>
      </w:r>
      <w:r>
        <w:rPr>
          <w:rFonts w:hint="eastAsia" w:ascii="仿宋_GB2312" w:eastAsia="仿宋_GB2312"/>
          <w:sz w:val="32"/>
          <w:szCs w:val="32"/>
        </w:rPr>
        <w:t>机关运行经费支出</w:t>
      </w:r>
      <w:r>
        <w:rPr>
          <w:rFonts w:ascii="仿宋_GB2312" w:eastAsia="仿宋_GB2312"/>
          <w:sz w:val="32"/>
          <w:szCs w:val="32"/>
        </w:rPr>
        <w:t>362.67</w:t>
      </w:r>
      <w:r>
        <w:rPr>
          <w:rFonts w:hint="eastAsia" w:ascii="仿宋_GB2312" w:eastAsia="仿宋_GB2312"/>
          <w:sz w:val="32"/>
          <w:szCs w:val="32"/>
        </w:rPr>
        <w:t>万元，比上年增加112.99万元，增长45.25%，主要原因是日常公用经费支出增加。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原吐鲁番市地方税务系统政府采购计划</w:t>
      </w:r>
      <w:r>
        <w:rPr>
          <w:rFonts w:ascii="仿宋_GB2312" w:eastAsia="仿宋_GB2312"/>
          <w:sz w:val="32"/>
          <w:szCs w:val="32"/>
        </w:rPr>
        <w:t>122.28</w:t>
      </w:r>
      <w:r>
        <w:rPr>
          <w:rFonts w:hint="eastAsia" w:ascii="仿宋_GB2312" w:eastAsia="仿宋_GB2312"/>
          <w:sz w:val="32"/>
          <w:szCs w:val="32"/>
        </w:rPr>
        <w:t>万元，其中：政府采购货物支出</w:t>
      </w:r>
      <w:r>
        <w:rPr>
          <w:rFonts w:ascii="仿宋_GB2312" w:eastAsia="仿宋_GB2312"/>
          <w:sz w:val="32"/>
          <w:szCs w:val="32"/>
        </w:rPr>
        <w:t>39.61</w:t>
      </w:r>
      <w:r>
        <w:rPr>
          <w:rFonts w:hint="eastAsia" w:ascii="仿宋_GB2312" w:eastAsia="仿宋_GB2312"/>
          <w:sz w:val="32"/>
          <w:szCs w:val="32"/>
        </w:rPr>
        <w:t>万元、政府采购工程支出</w:t>
      </w:r>
      <w:r>
        <w:rPr>
          <w:rFonts w:ascii="仿宋_GB2312" w:eastAsia="仿宋_GB2312"/>
          <w:sz w:val="32"/>
          <w:szCs w:val="32"/>
        </w:rPr>
        <w:t>82.67</w:t>
      </w:r>
      <w:r>
        <w:rPr>
          <w:rFonts w:hint="eastAsia" w:ascii="仿宋_GB2312" w:eastAsia="仿宋_GB2312"/>
          <w:sz w:val="32"/>
          <w:szCs w:val="32"/>
        </w:rPr>
        <w:t>万元、政府采购服务支出0万元；实际采购</w:t>
      </w:r>
      <w:r>
        <w:rPr>
          <w:rFonts w:ascii="仿宋_GB2312" w:eastAsia="仿宋_GB2312"/>
          <w:sz w:val="32"/>
          <w:szCs w:val="32"/>
        </w:rPr>
        <w:t>118.23</w:t>
      </w:r>
      <w:r>
        <w:rPr>
          <w:rFonts w:hint="eastAsia" w:ascii="仿宋_GB2312" w:eastAsia="仿宋_GB2312"/>
          <w:sz w:val="32"/>
          <w:szCs w:val="32"/>
        </w:rPr>
        <w:t>万元，其中：政府采购货物支出</w:t>
      </w:r>
      <w:r>
        <w:rPr>
          <w:rFonts w:ascii="仿宋_GB2312" w:eastAsia="仿宋_GB2312"/>
          <w:sz w:val="32"/>
          <w:szCs w:val="32"/>
        </w:rPr>
        <w:t>35.56</w:t>
      </w:r>
      <w:r>
        <w:rPr>
          <w:rFonts w:hint="eastAsia" w:ascii="仿宋_GB2312" w:eastAsia="仿宋_GB2312"/>
          <w:sz w:val="32"/>
          <w:szCs w:val="32"/>
        </w:rPr>
        <w:t>万元、政府采购工程支出</w:t>
      </w:r>
      <w:r>
        <w:rPr>
          <w:rFonts w:ascii="仿宋_GB2312" w:eastAsia="仿宋_GB2312"/>
          <w:sz w:val="32"/>
          <w:szCs w:val="32"/>
        </w:rPr>
        <w:t>82.67</w:t>
      </w:r>
      <w:r>
        <w:rPr>
          <w:rFonts w:hint="eastAsia" w:ascii="仿宋_GB2312" w:eastAsia="仿宋_GB2312"/>
          <w:sz w:val="32"/>
          <w:szCs w:val="32"/>
        </w:rPr>
        <w:t>万元、政府采购服务支出0万元。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截至2017年12月31日，资产总计</w:t>
      </w:r>
      <w:r>
        <w:rPr>
          <w:rFonts w:ascii="仿宋_GB2312" w:eastAsia="仿宋_GB2312"/>
          <w:sz w:val="32"/>
          <w:szCs w:val="32"/>
        </w:rPr>
        <w:t>10,454.32</w:t>
      </w:r>
      <w:r>
        <w:rPr>
          <w:rFonts w:hint="eastAsia" w:ascii="仿宋_GB2312" w:eastAsia="仿宋_GB2312"/>
          <w:sz w:val="32"/>
          <w:szCs w:val="32"/>
        </w:rPr>
        <w:t>万元，其中：流动资产</w:t>
      </w:r>
      <w:r>
        <w:rPr>
          <w:rFonts w:ascii="仿宋_GB2312" w:eastAsia="仿宋_GB2312"/>
          <w:sz w:val="32"/>
          <w:szCs w:val="32"/>
        </w:rPr>
        <w:t>497.02</w:t>
      </w:r>
      <w:r>
        <w:rPr>
          <w:rFonts w:hint="eastAsia" w:ascii="仿宋_GB2312" w:eastAsia="仿宋_GB2312"/>
          <w:sz w:val="32"/>
          <w:szCs w:val="32"/>
        </w:rPr>
        <w:t>万元，固定资产</w:t>
      </w:r>
      <w:r>
        <w:rPr>
          <w:rFonts w:ascii="仿宋_GB2312" w:eastAsia="仿宋_GB2312"/>
          <w:sz w:val="32"/>
          <w:szCs w:val="32"/>
        </w:rPr>
        <w:t>9,957.30</w:t>
      </w:r>
      <w:r>
        <w:rPr>
          <w:rFonts w:hint="eastAsia" w:ascii="仿宋_GB2312" w:eastAsia="仿宋_GB2312"/>
          <w:sz w:val="32"/>
          <w:szCs w:val="32"/>
        </w:rPr>
        <w:t>万元，其中：房屋</w:t>
      </w:r>
      <w:r>
        <w:rPr>
          <w:rFonts w:ascii="仿宋_GB2312" w:eastAsia="仿宋_GB2312"/>
          <w:sz w:val="32"/>
          <w:szCs w:val="32"/>
        </w:rPr>
        <w:t>40,528.77</w:t>
      </w:r>
      <w:r>
        <w:rPr>
          <w:rFonts w:hint="eastAsia" w:ascii="仿宋_GB2312" w:eastAsia="仿宋_GB2312"/>
          <w:sz w:val="32"/>
          <w:szCs w:val="32"/>
        </w:rPr>
        <w:t>（平方米），价值</w:t>
      </w:r>
      <w:r>
        <w:rPr>
          <w:rFonts w:ascii="仿宋_GB2312" w:eastAsia="仿宋_GB2312"/>
          <w:sz w:val="32"/>
          <w:szCs w:val="32"/>
        </w:rPr>
        <w:t>6,911.60</w:t>
      </w:r>
      <w:r>
        <w:rPr>
          <w:rFonts w:hint="eastAsia" w:ascii="仿宋_GB2312" w:eastAsia="仿宋_GB2312"/>
          <w:sz w:val="32"/>
          <w:szCs w:val="32"/>
        </w:rPr>
        <w:t>万元，共有车辆</w:t>
      </w:r>
      <w:r>
        <w:rPr>
          <w:rFonts w:ascii="仿宋_GB2312" w:eastAsia="仿宋_GB2312"/>
          <w:sz w:val="32"/>
          <w:szCs w:val="32"/>
        </w:rPr>
        <w:t>35</w:t>
      </w:r>
      <w:r>
        <w:rPr>
          <w:rFonts w:hint="eastAsia" w:ascii="仿宋_GB2312" w:eastAsia="仿宋_GB2312"/>
          <w:sz w:val="32"/>
          <w:szCs w:val="32"/>
        </w:rPr>
        <w:t>辆，价值</w:t>
      </w:r>
      <w:r>
        <w:rPr>
          <w:rFonts w:ascii="仿宋_GB2312" w:eastAsia="仿宋_GB2312"/>
          <w:sz w:val="32"/>
          <w:szCs w:val="32"/>
        </w:rPr>
        <w:t>687.99</w:t>
      </w:r>
      <w:r>
        <w:rPr>
          <w:rFonts w:hint="eastAsia" w:ascii="仿宋_GB2312" w:eastAsia="仿宋_GB2312"/>
          <w:sz w:val="32"/>
          <w:szCs w:val="32"/>
        </w:rPr>
        <w:t>万元，其中：一般公务用车3辆、一般执法执勤用车32辆；单位价值50万元以上通用设备6台（套）、单位价值100万元以上专用设备0台（套），其他固定资产价值</w:t>
      </w:r>
      <w:r>
        <w:rPr>
          <w:rFonts w:ascii="仿宋_GB2312" w:eastAsia="仿宋_GB2312"/>
          <w:sz w:val="32"/>
          <w:szCs w:val="32"/>
        </w:rPr>
        <w:t>1,557.88</w:t>
      </w:r>
      <w:r>
        <w:rPr>
          <w:rFonts w:hint="eastAsia" w:ascii="仿宋_GB2312" w:eastAsia="仿宋_GB2312"/>
          <w:sz w:val="32"/>
          <w:szCs w:val="32"/>
        </w:rPr>
        <w:t>万元。</w:t>
      </w:r>
    </w:p>
    <w:p>
      <w:pPr>
        <w:spacing w:line="50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eastAsia="仿宋_GB2312"/>
          <w:sz w:val="32"/>
          <w:szCs w:val="32"/>
          <w:lang w:eastAsia="zh-CN"/>
        </w:rPr>
        <w:t>：无</w:t>
      </w:r>
      <w:r>
        <w:rPr>
          <w:rFonts w:hint="eastAsia" w:ascii="仿宋_GB2312" w:hAnsi="Calibri" w:eastAsia="仿宋_GB2312"/>
          <w:sz w:val="32"/>
          <w:szCs w:val="32"/>
          <w:lang w:val="en-GB"/>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截至2017年12月31日，吐鲁番市地方税务系统资产有偿使用收入合计48.26万元，均为出租资产收入，已全部缴入国库。</w:t>
      </w:r>
    </w:p>
    <w:p>
      <w:pPr>
        <w:spacing w:line="50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eastAsia="仿宋_GB2312"/>
          <w:sz w:val="32"/>
          <w:szCs w:val="32"/>
          <w:lang w:eastAsia="zh-CN"/>
        </w:rPr>
        <w:t>：无</w:t>
      </w:r>
      <w:r>
        <w:rPr>
          <w:rFonts w:hint="eastAsia" w:ascii="仿宋_GB2312" w:hAnsi="Calibri" w:eastAsia="仿宋_GB2312"/>
          <w:sz w:val="32"/>
          <w:szCs w:val="32"/>
          <w:lang w:val="en-GB"/>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2017</w:t>
      </w:r>
      <w:r>
        <w:rPr>
          <w:rFonts w:hint="eastAsia" w:ascii="仿宋_GB2312" w:hAnsi="宋体" w:eastAsia="仿宋_GB2312" w:cs="宋体"/>
          <w:kern w:val="0"/>
          <w:sz w:val="32"/>
          <w:szCs w:val="32"/>
        </w:rPr>
        <w:t xml:space="preserve">年度，本部门单位实行绩效管理的项目 </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 个，涉及预算</w:t>
      </w:r>
      <w:r>
        <w:rPr>
          <w:rFonts w:ascii="仿宋_GB2312" w:eastAsia="仿宋_GB2312"/>
          <w:sz w:val="32"/>
          <w:szCs w:val="32"/>
        </w:rPr>
        <w:t>1,</w:t>
      </w:r>
      <w:r>
        <w:rPr>
          <w:rFonts w:hint="eastAsia" w:ascii="仿宋_GB2312" w:eastAsia="仿宋_GB2312"/>
          <w:sz w:val="32"/>
          <w:szCs w:val="32"/>
          <w:lang w:val="en-US" w:eastAsia="zh-CN"/>
        </w:rPr>
        <w:t>197.72</w:t>
      </w:r>
      <w:r>
        <w:rPr>
          <w:rFonts w:hint="eastAsia" w:ascii="仿宋_GB2312" w:eastAsia="仿宋_GB2312"/>
          <w:sz w:val="32"/>
          <w:szCs w:val="32"/>
        </w:rPr>
        <w:t>万元</w:t>
      </w:r>
      <w:r>
        <w:rPr>
          <w:rFonts w:hint="eastAsia" w:ascii="仿宋_GB2312" w:hAnsi="宋体" w:eastAsia="仿宋_GB2312" w:cs="宋体"/>
          <w:kern w:val="0"/>
          <w:sz w:val="32"/>
          <w:szCs w:val="32"/>
        </w:rPr>
        <w:t>，项目支出决算</w:t>
      </w:r>
      <w:r>
        <w:rPr>
          <w:rFonts w:ascii="仿宋_GB2312" w:eastAsia="仿宋_GB2312"/>
          <w:sz w:val="32"/>
          <w:szCs w:val="32"/>
        </w:rPr>
        <w:t>1,</w:t>
      </w:r>
      <w:r>
        <w:rPr>
          <w:rFonts w:hint="eastAsia" w:ascii="仿宋_GB2312" w:eastAsia="仿宋_GB2312"/>
          <w:sz w:val="32"/>
          <w:szCs w:val="32"/>
          <w:lang w:val="en-US" w:eastAsia="zh-CN"/>
        </w:rPr>
        <w:t>197.72</w:t>
      </w:r>
      <w:r>
        <w:rPr>
          <w:rFonts w:hint="eastAsia" w:ascii="仿宋_GB2312" w:eastAsia="仿宋_GB2312"/>
          <w:sz w:val="32"/>
          <w:szCs w:val="32"/>
        </w:rPr>
        <w:t>万元</w:t>
      </w:r>
      <w:r>
        <w:rPr>
          <w:rFonts w:hint="eastAsia" w:ascii="仿宋_GB2312" w:hAnsi="宋体" w:eastAsia="仿宋_GB2312" w:cs="宋体"/>
          <w:kern w:val="0"/>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年末</w:t>
      </w:r>
      <w:r>
        <w:rPr>
          <w:rFonts w:hint="eastAsia" w:ascii="仿宋_GB2312" w:eastAsia="仿宋_GB2312"/>
          <w:sz w:val="32"/>
          <w:szCs w:val="32"/>
        </w:rPr>
        <w:t>本系统重点支出项目的绩效评价开展情况及结果：</w:t>
      </w:r>
    </w:p>
    <w:p>
      <w:pPr>
        <w:numPr>
          <w:ilvl w:val="0"/>
          <w:numId w:val="2"/>
        </w:numPr>
        <w:snapToGrid w:val="0"/>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税务办案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default" w:ascii="仿宋_GB2312" w:hAnsi="仿宋_GB2312" w:eastAsia="仿宋_GB2312"/>
          <w:color w:val="auto"/>
          <w:sz w:val="32"/>
          <w:lang w:val="zh-CN"/>
        </w:rPr>
      </w:pPr>
      <w:r>
        <w:rPr>
          <w:rFonts w:hint="eastAsia" w:ascii="仿宋_GB2312" w:hAnsi="宋体" w:eastAsia="仿宋_GB2312"/>
          <w:color w:val="auto"/>
          <w:sz w:val="32"/>
        </w:rPr>
        <w:t>年初预算</w:t>
      </w:r>
      <w:r>
        <w:rPr>
          <w:rFonts w:hint="eastAsia" w:ascii="仿宋_GB2312" w:hAnsi="仿宋" w:eastAsia="仿宋_GB2312" w:cs="仿宋_GB2312"/>
          <w:sz w:val="32"/>
          <w:szCs w:val="32"/>
        </w:rPr>
        <w:t>55万元，</w:t>
      </w:r>
      <w:r>
        <w:rPr>
          <w:rFonts w:hint="eastAsia" w:ascii="仿宋_GB2312" w:hAnsi="宋体" w:eastAsia="仿宋_GB2312"/>
          <w:color w:val="auto"/>
          <w:sz w:val="32"/>
        </w:rPr>
        <w:t>决算支出</w:t>
      </w:r>
      <w:r>
        <w:rPr>
          <w:rFonts w:hint="eastAsia" w:ascii="仿宋_GB2312" w:hAnsi="仿宋" w:eastAsia="仿宋_GB2312" w:cs="仿宋_GB2312"/>
          <w:sz w:val="32"/>
          <w:szCs w:val="32"/>
        </w:rPr>
        <w:t>55万元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主要</w:t>
      </w:r>
      <w:r>
        <w:rPr>
          <w:rFonts w:hint="eastAsia" w:ascii="仿宋_GB2312" w:hAnsi="宋体" w:eastAsia="仿宋_GB2312" w:cs="仿宋_GB2312"/>
          <w:color w:val="000000"/>
          <w:sz w:val="32"/>
          <w:szCs w:val="32"/>
          <w:lang w:val="zh-CN"/>
        </w:rPr>
        <w:t>用于系统税务稽查办案和反避税办案的支出。</w:t>
      </w:r>
      <w:r>
        <w:rPr>
          <w:rFonts w:hint="eastAsia" w:ascii="仿宋_GB2312" w:hAnsi="宋体" w:eastAsia="仿宋_GB2312"/>
          <w:color w:val="auto"/>
          <w:sz w:val="32"/>
        </w:rPr>
        <w:t>2017年稽查部门认真贯彻各项工作部署，</w:t>
      </w:r>
      <w:r>
        <w:rPr>
          <w:rFonts w:hint="eastAsia" w:ascii="仿宋_GB2312" w:hAnsi="仿宋_GB2312" w:eastAsia="仿宋_GB2312"/>
          <w:color w:val="auto"/>
          <w:sz w:val="32"/>
          <w:lang w:val="zh-CN"/>
        </w:rPr>
        <w:t>坚持以稽查现代化建设为重点，实现金税三期稽查模块使用规范化，推动选案科学化，务求稽查工作实效。通过扎实开展税收专项检查，强化对重点税源企业的税收检查，积极开展打击发票违法犯罪专项行动，加大对违法案件的曝光力度，认真落实“黑名单”制度，规范了市场经济秩序，发挥了以查促管、以查促收作用。</w:t>
      </w:r>
    </w:p>
    <w:p>
      <w:pPr>
        <w:numPr>
          <w:ilvl w:val="0"/>
          <w:numId w:val="2"/>
        </w:numPr>
        <w:snapToGrid w:val="0"/>
        <w:spacing w:line="580" w:lineRule="exact"/>
        <w:ind w:firstLine="637"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税务宣传</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hAnsi="宋体" w:eastAsia="仿宋_GB2312"/>
          <w:color w:val="auto"/>
          <w:sz w:val="32"/>
        </w:rPr>
        <w:t>年初预算</w:t>
      </w:r>
      <w:r>
        <w:rPr>
          <w:rFonts w:hint="eastAsia" w:ascii="仿宋_GB2312" w:hAnsi="仿宋" w:eastAsia="仿宋_GB2312" w:cs="仿宋_GB2312"/>
          <w:sz w:val="32"/>
          <w:szCs w:val="32"/>
          <w:lang w:val="en-US" w:eastAsia="zh-CN"/>
        </w:rPr>
        <w:t>40</w:t>
      </w:r>
      <w:r>
        <w:rPr>
          <w:rFonts w:hint="eastAsia" w:ascii="仿宋_GB2312" w:hAnsi="仿宋" w:eastAsia="仿宋_GB2312" w:cs="仿宋_GB2312"/>
          <w:sz w:val="32"/>
          <w:szCs w:val="32"/>
        </w:rPr>
        <w:t>万元，</w:t>
      </w:r>
      <w:r>
        <w:rPr>
          <w:rFonts w:hint="eastAsia" w:ascii="仿宋_GB2312" w:hAnsi="宋体" w:eastAsia="仿宋_GB2312"/>
          <w:color w:val="auto"/>
          <w:sz w:val="32"/>
        </w:rPr>
        <w:t>决算支出</w:t>
      </w:r>
      <w:r>
        <w:rPr>
          <w:rFonts w:hint="eastAsia" w:ascii="仿宋_GB2312" w:hAnsi="宋体" w:eastAsia="仿宋_GB2312"/>
          <w:color w:val="auto"/>
          <w:sz w:val="32"/>
          <w:lang w:val="en-US" w:eastAsia="zh-CN"/>
        </w:rPr>
        <w:t>40</w:t>
      </w:r>
      <w:r>
        <w:rPr>
          <w:rFonts w:hint="eastAsia" w:ascii="仿宋_GB2312" w:hAnsi="仿宋" w:eastAsia="仿宋_GB2312" w:cs="仿宋_GB2312"/>
          <w:sz w:val="32"/>
          <w:szCs w:val="32"/>
        </w:rPr>
        <w:t>万元，</w:t>
      </w:r>
      <w:r>
        <w:rPr>
          <w:rFonts w:hint="eastAsia" w:ascii="仿宋_GB2312" w:hAnsi="宋体" w:eastAsia="仿宋_GB2312" w:cs="仿宋_GB2312"/>
          <w:color w:val="000000"/>
          <w:sz w:val="32"/>
          <w:szCs w:val="32"/>
          <w:lang w:val="zh-CN"/>
        </w:rPr>
        <w:t>用于系统纳税服务宣传的支出。</w:t>
      </w:r>
      <w:r>
        <w:rPr>
          <w:rFonts w:hint="eastAsia" w:ascii="仿宋_GB2312" w:hAnsi="宋体" w:eastAsia="仿宋_GB2312"/>
          <w:color w:val="auto"/>
          <w:sz w:val="32"/>
        </w:rPr>
        <w:t>2017年税务宣传进一步确立服务中心、服务重点、服务全局的税收宣传工作理念，建立了内外协作、上下互动、资源共享、各方参与的税收宣传新模式，增强了税收宣传合力；围绕组织收入中心、重点工作、全局任务，突出税收政策解读和纳税知识辅导，突出纳税人关心关注的问题，突出促进纳税人满意度提高，开展系列宣传报道，扩大税收政策知晓渠道，宣传好减轻纳税人负担，增强纳税人获得感方面的举措和实实在在的成效；以第26个全国税收宣传月活动为契机，与国税局共同开展“民营企业共话税收”、“深化‘放管服’”为企业添活力、“税收助力‘一带一路’发展”等专题活动，采取领导在线访谈、系列宣传报道，积极组织税收公益广告评选，深入开展税收普法教育示范创建等多项活动，扩大宣传声势。展现了地税部门的良好形象，税收宣传经费得到了合理、规范使用，取得了良好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征管业务费</w:t>
      </w:r>
    </w:p>
    <w:p>
      <w:pPr>
        <w:snapToGrid w:val="0"/>
        <w:spacing w:line="580" w:lineRule="exact"/>
        <w:ind w:firstLine="640" w:firstLineChars="200"/>
        <w:rPr>
          <w:rFonts w:hint="eastAsia" w:ascii="仿宋_GB2312" w:hAnsi="Calibri" w:eastAsia="仿宋_GB2312"/>
          <w:color w:val="auto"/>
          <w:sz w:val="32"/>
          <w:szCs w:val="32"/>
        </w:rPr>
      </w:pPr>
      <w:r>
        <w:rPr>
          <w:rFonts w:hint="eastAsia" w:ascii="仿宋_GB2312" w:hAnsi="宋体" w:eastAsia="仿宋_GB2312"/>
          <w:color w:val="auto"/>
          <w:sz w:val="32"/>
        </w:rPr>
        <w:t>年初预算</w:t>
      </w:r>
      <w:r>
        <w:rPr>
          <w:rFonts w:hint="eastAsia" w:ascii="仿宋_GB2312" w:hAnsi="宋体" w:eastAsia="仿宋_GB2312"/>
          <w:color w:val="auto"/>
          <w:sz w:val="32"/>
          <w:lang w:val="en-US" w:eastAsia="zh-CN"/>
        </w:rPr>
        <w:t>489.63</w:t>
      </w:r>
      <w:r>
        <w:rPr>
          <w:rFonts w:hint="eastAsia" w:ascii="仿宋_GB2312" w:hAnsi="宋体" w:eastAsia="仿宋_GB2312"/>
          <w:color w:val="auto"/>
          <w:sz w:val="32"/>
        </w:rPr>
        <w:t>万元，决算支出</w:t>
      </w:r>
      <w:r>
        <w:rPr>
          <w:rFonts w:hint="eastAsia" w:ascii="仿宋_GB2312" w:hAnsi="宋体" w:eastAsia="仿宋_GB2312"/>
          <w:color w:val="auto"/>
          <w:sz w:val="32"/>
          <w:lang w:val="en-US" w:eastAsia="zh-CN"/>
        </w:rPr>
        <w:t>535.99</w:t>
      </w:r>
      <w:r>
        <w:rPr>
          <w:rFonts w:hint="eastAsia" w:ascii="仿宋_GB2312" w:hAnsi="宋体" w:eastAsia="仿宋_GB2312"/>
          <w:color w:val="auto"/>
          <w:sz w:val="32"/>
        </w:rPr>
        <w:t>万元</w:t>
      </w:r>
      <w:r>
        <w:rPr>
          <w:rFonts w:hint="eastAsia" w:ascii="仿宋_GB2312" w:hAnsi="宋体" w:eastAsia="仿宋_GB2312"/>
          <w:color w:val="auto"/>
          <w:sz w:val="32"/>
          <w:lang w:eastAsia="zh-CN"/>
        </w:rPr>
        <w:t>，</w:t>
      </w:r>
      <w:r>
        <w:rPr>
          <w:rFonts w:hint="eastAsia" w:ascii="仿宋_GB2312" w:hAnsi="宋体" w:eastAsia="仿宋_GB2312"/>
          <w:color w:val="auto"/>
          <w:sz w:val="32"/>
        </w:rPr>
        <w:t>包括上年结转资金以及年中追加预算。一是提高税种管控能力。持续抓好企业所得税重点税源和高风险事项团队管理；加强个人所得税全员全额明细申报</w:t>
      </w:r>
      <w:r>
        <w:rPr>
          <w:rFonts w:hint="eastAsia" w:ascii="仿宋_GB2312" w:hAnsi="宋体" w:eastAsia="仿宋_GB2312"/>
          <w:color w:val="auto"/>
          <w:sz w:val="32"/>
          <w:lang w:eastAsia="zh-CN"/>
        </w:rPr>
        <w:t>；</w:t>
      </w:r>
      <w:r>
        <w:rPr>
          <w:rFonts w:hint="eastAsia" w:ascii="仿宋_GB2312" w:hAnsi="宋体" w:eastAsia="仿宋_GB2312"/>
          <w:color w:val="auto"/>
          <w:sz w:val="32"/>
        </w:rPr>
        <w:t>继续推进资源税改革。二是稳步推进征管体制改革。继续落实好《深化国税、地税征管体制改革方案》各项具体改革措施</w:t>
      </w:r>
      <w:r>
        <w:rPr>
          <w:rFonts w:hint="eastAsia" w:ascii="仿宋_GB2312" w:hAnsi="宋体" w:eastAsia="仿宋_GB2312"/>
          <w:color w:val="auto"/>
          <w:sz w:val="32"/>
          <w:lang w:eastAsia="zh-CN"/>
        </w:rPr>
        <w:t>。</w:t>
      </w:r>
      <w:r>
        <w:rPr>
          <w:rFonts w:hint="eastAsia" w:ascii="仿宋_GB2312" w:hAnsi="宋体" w:eastAsia="仿宋_GB2312"/>
          <w:color w:val="auto"/>
          <w:sz w:val="32"/>
        </w:rPr>
        <w:t>三是着力加强税收风险管理。加大对税收风险管理制度落实</w:t>
      </w:r>
      <w:r>
        <w:rPr>
          <w:rFonts w:hint="eastAsia" w:ascii="仿宋_GB2312" w:hAnsi="宋体" w:eastAsia="仿宋_GB2312"/>
          <w:color w:val="auto"/>
          <w:sz w:val="32"/>
          <w:lang w:eastAsia="zh-CN"/>
        </w:rPr>
        <w:t>、</w:t>
      </w:r>
      <w:r>
        <w:rPr>
          <w:rFonts w:hint="eastAsia" w:ascii="仿宋_GB2312" w:hAnsi="宋体" w:eastAsia="仿宋_GB2312"/>
          <w:color w:val="auto"/>
          <w:sz w:val="32"/>
        </w:rPr>
        <w:t>努力健全自然人综合信息管理体系，实现从资金源头、流向上对自然人收入进行大数据分析和税收风险管理。四是提升国地税合作水平。扎实抓好互相委托代征工作，认真落实《国地税合作工作规范(3.0版)》，按照职权法定、平等合作、征纳便利、促进遵从的原则，拓宽国地税合作渠道，丰富合作内容，积极推进税收数据共享</w:t>
      </w:r>
      <w:r>
        <w:rPr>
          <w:rFonts w:hint="eastAsia" w:ascii="仿宋_GB2312" w:hAnsi="宋体" w:eastAsia="仿宋_GB2312"/>
          <w:color w:val="auto"/>
          <w:sz w:val="32"/>
          <w:lang w:eastAsia="zh-CN"/>
        </w:rPr>
        <w:t>。</w:t>
      </w:r>
    </w:p>
    <w:p>
      <w:pPr>
        <w:numPr>
          <w:ilvl w:val="0"/>
          <w:numId w:val="3"/>
        </w:numPr>
        <w:spacing w:line="600" w:lineRule="exact"/>
        <w:ind w:firstLine="640" w:firstLineChars="200"/>
        <w:rPr>
          <w:rFonts w:ascii="仿宋_GB2312" w:hAnsi="宋体" w:eastAsia="仿宋_GB2312" w:cs="仿宋_GB2312"/>
          <w:sz w:val="32"/>
          <w:szCs w:val="32"/>
          <w:lang w:val="zh-CN"/>
        </w:rPr>
      </w:pPr>
      <w:r>
        <w:rPr>
          <w:rFonts w:hint="eastAsia" w:ascii="仿宋_GB2312" w:hAnsi="宋体" w:eastAsia="仿宋_GB2312" w:cs="仿宋_GB2312"/>
          <w:sz w:val="32"/>
          <w:szCs w:val="32"/>
          <w:lang w:val="zh-CN"/>
        </w:rPr>
        <w:t>代扣</w:t>
      </w:r>
      <w:r>
        <w:rPr>
          <w:rFonts w:ascii="仿宋_GB2312" w:hAnsi="宋体" w:eastAsia="仿宋_GB2312" w:cs="仿宋_GB2312"/>
          <w:sz w:val="32"/>
          <w:szCs w:val="32"/>
          <w:lang w:val="zh-CN"/>
        </w:rPr>
        <w:t>代收代征</w:t>
      </w:r>
      <w:r>
        <w:rPr>
          <w:rFonts w:hint="eastAsia" w:ascii="仿宋_GB2312" w:hAnsi="宋体" w:eastAsia="仿宋_GB2312" w:cs="仿宋_GB2312"/>
          <w:sz w:val="32"/>
          <w:szCs w:val="32"/>
          <w:lang w:val="zh-CN"/>
        </w:rPr>
        <w:t>税款</w:t>
      </w:r>
      <w:r>
        <w:rPr>
          <w:rFonts w:ascii="仿宋_GB2312" w:hAnsi="宋体" w:eastAsia="仿宋_GB2312" w:cs="仿宋_GB2312"/>
          <w:sz w:val="32"/>
          <w:szCs w:val="32"/>
          <w:lang w:val="zh-CN"/>
        </w:rPr>
        <w:t>手续费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华文仿宋" w:eastAsia="仿宋_GB2312"/>
          <w:color w:val="auto"/>
          <w:sz w:val="32"/>
        </w:rPr>
      </w:pPr>
      <w:r>
        <w:rPr>
          <w:rFonts w:hint="eastAsia" w:ascii="仿宋_GB2312" w:hAnsi="宋体" w:eastAsia="仿宋_GB2312"/>
          <w:color w:val="auto"/>
          <w:sz w:val="32"/>
        </w:rPr>
        <w:t>年初预算</w:t>
      </w:r>
      <w:r>
        <w:rPr>
          <w:rFonts w:ascii="仿宋_GB2312" w:hAnsi="宋体" w:eastAsia="仿宋_GB2312" w:cs="仿宋_GB2312"/>
          <w:sz w:val="32"/>
          <w:szCs w:val="32"/>
          <w:lang w:val="zh-CN"/>
        </w:rPr>
        <w:t>123.09</w:t>
      </w:r>
      <w:r>
        <w:rPr>
          <w:rFonts w:hint="eastAsia" w:ascii="仿宋_GB2312" w:hAnsi="宋体" w:eastAsia="仿宋_GB2312"/>
          <w:color w:val="auto"/>
          <w:sz w:val="32"/>
        </w:rPr>
        <w:t>万元，决算支出</w:t>
      </w:r>
      <w:r>
        <w:rPr>
          <w:rFonts w:ascii="仿宋_GB2312" w:hAnsi="宋体" w:eastAsia="仿宋_GB2312" w:cs="仿宋_GB2312"/>
          <w:sz w:val="32"/>
          <w:szCs w:val="32"/>
          <w:lang w:val="zh-CN"/>
        </w:rPr>
        <w:t>123.09</w:t>
      </w:r>
      <w:r>
        <w:rPr>
          <w:rFonts w:hint="eastAsia" w:ascii="仿宋_GB2312" w:hAnsi="宋体" w:eastAsia="仿宋_GB2312"/>
          <w:color w:val="auto"/>
          <w:sz w:val="32"/>
        </w:rPr>
        <w:t>万元</w:t>
      </w:r>
      <w:r>
        <w:rPr>
          <w:rFonts w:hint="eastAsia" w:ascii="仿宋_GB2312" w:hAnsi="宋体" w:eastAsia="仿宋_GB2312"/>
          <w:color w:val="auto"/>
          <w:sz w:val="32"/>
          <w:lang w:eastAsia="zh-CN"/>
        </w:rPr>
        <w:t>，</w:t>
      </w:r>
      <w:r>
        <w:rPr>
          <w:rFonts w:hint="eastAsia" w:ascii="仿宋_GB2312" w:hAnsi="宋体" w:eastAsia="仿宋_GB2312" w:cs="仿宋_GB2312"/>
          <w:color w:val="000000"/>
          <w:sz w:val="32"/>
          <w:szCs w:val="32"/>
          <w:lang w:val="zh-CN"/>
        </w:rPr>
        <w:t>用于所属基层征收机关支付给代扣代缴、代收代缴和委托代征税款单位的手续费支出。</w:t>
      </w:r>
      <w:r>
        <w:rPr>
          <w:rFonts w:hint="eastAsia" w:ascii="仿宋_GB2312" w:eastAsia="仿宋_GB2312"/>
          <w:color w:val="auto"/>
          <w:sz w:val="32"/>
          <w:lang w:eastAsia="zh-CN"/>
        </w:rPr>
        <w:t>通过</w:t>
      </w:r>
      <w:r>
        <w:rPr>
          <w:rFonts w:hint="eastAsia" w:ascii="仿宋_GB2312" w:hAnsi="华文仿宋" w:eastAsia="仿宋_GB2312"/>
          <w:color w:val="auto"/>
          <w:kern w:val="0"/>
          <w:sz w:val="32"/>
        </w:rPr>
        <w:t>委托代征</w:t>
      </w:r>
      <w:r>
        <w:rPr>
          <w:rFonts w:hint="eastAsia" w:ascii="仿宋_GB2312" w:hAnsi="宋体" w:eastAsia="仿宋_GB2312"/>
          <w:color w:val="auto"/>
          <w:kern w:val="0"/>
          <w:sz w:val="32"/>
        </w:rPr>
        <w:t>单</w:t>
      </w:r>
      <w:r>
        <w:rPr>
          <w:rFonts w:hint="eastAsia" w:ascii="仿宋_GB2312" w:hAnsi="Dotum" w:eastAsia="仿宋_GB2312"/>
          <w:color w:val="auto"/>
          <w:kern w:val="0"/>
          <w:sz w:val="32"/>
        </w:rPr>
        <w:t>位代征、代收</w:t>
      </w:r>
      <w:r>
        <w:rPr>
          <w:rFonts w:hint="eastAsia" w:ascii="仿宋_GB2312" w:hAnsi="宋体" w:eastAsia="仿宋_GB2312"/>
          <w:color w:val="auto"/>
          <w:kern w:val="0"/>
          <w:sz w:val="32"/>
        </w:rPr>
        <w:t>税</w:t>
      </w:r>
      <w:r>
        <w:rPr>
          <w:rFonts w:hint="eastAsia" w:ascii="仿宋_GB2312" w:hAnsi="Dotum" w:eastAsia="仿宋_GB2312"/>
          <w:color w:val="auto"/>
          <w:kern w:val="0"/>
          <w:sz w:val="32"/>
        </w:rPr>
        <w:t>款，</w:t>
      </w:r>
      <w:r>
        <w:rPr>
          <w:rFonts w:hint="eastAsia" w:ascii="仿宋_GB2312" w:hAnsi="华文仿宋" w:eastAsia="仿宋_GB2312"/>
          <w:color w:val="auto"/>
          <w:kern w:val="0"/>
          <w:sz w:val="32"/>
        </w:rPr>
        <w:t>解</w:t>
      </w:r>
      <w:r>
        <w:rPr>
          <w:rFonts w:hint="eastAsia" w:ascii="仿宋_GB2312" w:hAnsi="宋体" w:eastAsia="仿宋_GB2312"/>
          <w:color w:val="auto"/>
          <w:kern w:val="0"/>
          <w:sz w:val="32"/>
        </w:rPr>
        <w:t>决</w:t>
      </w:r>
      <w:r>
        <w:rPr>
          <w:rFonts w:hint="eastAsia" w:ascii="仿宋_GB2312" w:hAnsi="Dotum" w:eastAsia="仿宋_GB2312"/>
          <w:color w:val="auto"/>
          <w:kern w:val="0"/>
          <w:sz w:val="32"/>
        </w:rPr>
        <w:t>了</w:t>
      </w:r>
      <w:r>
        <w:rPr>
          <w:rFonts w:hint="eastAsia" w:ascii="仿宋_GB2312" w:hAnsi="宋体" w:eastAsia="仿宋_GB2312"/>
          <w:color w:val="auto"/>
          <w:kern w:val="0"/>
          <w:sz w:val="32"/>
        </w:rPr>
        <w:t>税</w:t>
      </w:r>
      <w:r>
        <w:rPr>
          <w:rFonts w:hint="eastAsia" w:ascii="仿宋_GB2312" w:hAnsi="Dotum" w:eastAsia="仿宋_GB2312"/>
          <w:color w:val="auto"/>
          <w:kern w:val="0"/>
          <w:sz w:val="32"/>
        </w:rPr>
        <w:t>源分散、零散</w:t>
      </w:r>
      <w:r>
        <w:rPr>
          <w:rFonts w:hint="eastAsia" w:ascii="仿宋_GB2312" w:hAnsi="宋体" w:eastAsia="仿宋_GB2312"/>
          <w:color w:val="auto"/>
          <w:kern w:val="0"/>
          <w:sz w:val="32"/>
        </w:rPr>
        <w:t>户</w:t>
      </w:r>
      <w:r>
        <w:rPr>
          <w:rFonts w:hint="eastAsia" w:ascii="仿宋_GB2312" w:hAnsi="Dotum" w:eastAsia="仿宋_GB2312"/>
          <w:color w:val="auto"/>
          <w:kern w:val="0"/>
          <w:sz w:val="32"/>
        </w:rPr>
        <w:t>的日常</w:t>
      </w:r>
      <w:r>
        <w:rPr>
          <w:rFonts w:hint="eastAsia" w:ascii="仿宋_GB2312" w:hAnsi="宋体" w:eastAsia="仿宋_GB2312"/>
          <w:color w:val="auto"/>
          <w:kern w:val="0"/>
          <w:sz w:val="32"/>
        </w:rPr>
        <w:t>税</w:t>
      </w:r>
      <w:r>
        <w:rPr>
          <w:rFonts w:hint="eastAsia" w:ascii="仿宋_GB2312" w:hAnsi="Dotum" w:eastAsia="仿宋_GB2312"/>
          <w:color w:val="auto"/>
          <w:kern w:val="0"/>
          <w:sz w:val="32"/>
        </w:rPr>
        <w:t>收管理，又解</w:t>
      </w:r>
      <w:r>
        <w:rPr>
          <w:rFonts w:hint="eastAsia" w:ascii="仿宋_GB2312" w:hAnsi="宋体" w:eastAsia="仿宋_GB2312"/>
          <w:color w:val="auto"/>
          <w:kern w:val="0"/>
          <w:sz w:val="32"/>
        </w:rPr>
        <w:t>决对</w:t>
      </w:r>
      <w:r>
        <w:rPr>
          <w:rFonts w:hint="eastAsia" w:ascii="仿宋_GB2312" w:hAnsi="Dotum" w:eastAsia="仿宋_GB2312"/>
          <w:color w:val="auto"/>
          <w:kern w:val="0"/>
          <w:sz w:val="32"/>
        </w:rPr>
        <w:t>于那些日常不好管理的</w:t>
      </w:r>
      <w:r>
        <w:rPr>
          <w:rFonts w:hint="eastAsia" w:ascii="仿宋_GB2312" w:hAnsi="宋体" w:eastAsia="仿宋_GB2312"/>
          <w:color w:val="auto"/>
          <w:kern w:val="0"/>
          <w:sz w:val="32"/>
        </w:rPr>
        <w:t>税</w:t>
      </w:r>
      <w:r>
        <w:rPr>
          <w:rFonts w:hint="eastAsia" w:ascii="仿宋_GB2312" w:hAnsi="Dotum" w:eastAsia="仿宋_GB2312"/>
          <w:color w:val="auto"/>
          <w:kern w:val="0"/>
          <w:sz w:val="32"/>
        </w:rPr>
        <w:t>源</w:t>
      </w:r>
      <w:r>
        <w:rPr>
          <w:rFonts w:hint="eastAsia" w:ascii="仿宋_GB2312" w:hAnsi="宋体" w:eastAsia="仿宋_GB2312"/>
          <w:color w:val="auto"/>
          <w:kern w:val="0"/>
          <w:sz w:val="32"/>
        </w:rPr>
        <w:t>监</w:t>
      </w:r>
      <w:r>
        <w:rPr>
          <w:rFonts w:hint="eastAsia" w:ascii="仿宋_GB2312" w:hAnsi="Dotum" w:eastAsia="仿宋_GB2312"/>
          <w:color w:val="auto"/>
          <w:kern w:val="0"/>
          <w:sz w:val="32"/>
        </w:rPr>
        <w:t>控</w:t>
      </w:r>
      <w:r>
        <w:rPr>
          <w:rFonts w:hint="eastAsia" w:ascii="仿宋_GB2312" w:hAnsi="华文仿宋" w:eastAsia="仿宋_GB2312"/>
          <w:color w:val="auto"/>
          <w:kern w:val="0"/>
          <w:sz w:val="32"/>
        </w:rPr>
        <w:t>，</w:t>
      </w:r>
      <w:r>
        <w:rPr>
          <w:rFonts w:hint="eastAsia" w:ascii="仿宋_GB2312" w:hAnsi="华文仿宋" w:eastAsia="仿宋_GB2312"/>
          <w:color w:val="auto"/>
          <w:sz w:val="32"/>
        </w:rPr>
        <w:t>防止了</w:t>
      </w:r>
      <w:r>
        <w:rPr>
          <w:rFonts w:hint="eastAsia" w:ascii="仿宋_GB2312" w:hAnsi="宋体" w:eastAsia="仿宋_GB2312"/>
          <w:color w:val="auto"/>
          <w:sz w:val="32"/>
        </w:rPr>
        <w:t>税</w:t>
      </w:r>
      <w:r>
        <w:rPr>
          <w:rFonts w:hint="eastAsia" w:ascii="仿宋_GB2312" w:hAnsi="Dotum" w:eastAsia="仿宋_GB2312"/>
          <w:color w:val="auto"/>
          <w:sz w:val="32"/>
        </w:rPr>
        <w:t>收流失又降低了</w:t>
      </w:r>
      <w:r>
        <w:rPr>
          <w:rFonts w:hint="eastAsia" w:ascii="仿宋_GB2312" w:hAnsi="宋体" w:eastAsia="仿宋_GB2312"/>
          <w:color w:val="auto"/>
          <w:sz w:val="32"/>
        </w:rPr>
        <w:t>税</w:t>
      </w:r>
      <w:r>
        <w:rPr>
          <w:rFonts w:hint="eastAsia" w:ascii="仿宋_GB2312" w:hAnsi="Dotum" w:eastAsia="仿宋_GB2312"/>
          <w:color w:val="auto"/>
          <w:sz w:val="32"/>
        </w:rPr>
        <w:t>收征收成本</w:t>
      </w:r>
      <w:r>
        <w:rPr>
          <w:rFonts w:hint="eastAsia" w:ascii="仿宋_GB2312" w:hAnsi="华文仿宋" w:eastAsia="仿宋_GB2312"/>
          <w:color w:val="auto"/>
          <w:sz w:val="32"/>
        </w:rPr>
        <w:t>。</w:t>
      </w:r>
      <w:r>
        <w:rPr>
          <w:rFonts w:hint="eastAsia" w:ascii="仿宋_GB2312" w:hAnsi="Dotum" w:eastAsia="仿宋_GB2312"/>
          <w:color w:val="auto"/>
          <w:sz w:val="32"/>
        </w:rPr>
        <w:t>手</w:t>
      </w:r>
      <w:r>
        <w:rPr>
          <w:rFonts w:hint="eastAsia" w:ascii="仿宋_GB2312" w:hAnsi="宋体" w:eastAsia="仿宋_GB2312"/>
          <w:color w:val="auto"/>
          <w:sz w:val="32"/>
        </w:rPr>
        <w:t>续费</w:t>
      </w:r>
      <w:r>
        <w:rPr>
          <w:rFonts w:hint="eastAsia" w:ascii="仿宋_GB2312" w:hAnsi="Dotum" w:eastAsia="仿宋_GB2312"/>
          <w:color w:val="auto"/>
          <w:sz w:val="32"/>
        </w:rPr>
        <w:t>及</w:t>
      </w:r>
      <w:r>
        <w:rPr>
          <w:rFonts w:hint="eastAsia" w:ascii="仿宋_GB2312" w:hAnsi="宋体" w:eastAsia="仿宋_GB2312"/>
          <w:color w:val="auto"/>
          <w:sz w:val="32"/>
        </w:rPr>
        <w:t>时</w:t>
      </w:r>
      <w:r>
        <w:rPr>
          <w:rFonts w:hint="eastAsia" w:ascii="仿宋_GB2312" w:hAnsi="Dotum" w:eastAsia="仿宋_GB2312"/>
          <w:color w:val="auto"/>
          <w:sz w:val="32"/>
        </w:rPr>
        <w:t>到位和支付，保障了代征</w:t>
      </w:r>
      <w:r>
        <w:rPr>
          <w:rFonts w:hint="eastAsia" w:ascii="仿宋_GB2312" w:hAnsi="宋体" w:eastAsia="仿宋_GB2312"/>
          <w:color w:val="auto"/>
          <w:sz w:val="32"/>
        </w:rPr>
        <w:t>单</w:t>
      </w:r>
      <w:r>
        <w:rPr>
          <w:rFonts w:hint="eastAsia" w:ascii="仿宋_GB2312" w:hAnsi="Dotum" w:eastAsia="仿宋_GB2312"/>
          <w:color w:val="auto"/>
          <w:sz w:val="32"/>
        </w:rPr>
        <w:t>位</w:t>
      </w:r>
      <w:r>
        <w:rPr>
          <w:rFonts w:hint="eastAsia" w:ascii="仿宋_GB2312" w:hAnsi="华文仿宋" w:eastAsia="仿宋_GB2312"/>
          <w:color w:val="auto"/>
          <w:sz w:val="32"/>
        </w:rPr>
        <w:t>及扣</w:t>
      </w:r>
      <w:r>
        <w:rPr>
          <w:rFonts w:hint="eastAsia" w:ascii="仿宋_GB2312" w:hAnsi="宋体" w:eastAsia="仿宋_GB2312"/>
          <w:color w:val="auto"/>
          <w:sz w:val="32"/>
        </w:rPr>
        <w:t>缴义务</w:t>
      </w:r>
      <w:r>
        <w:rPr>
          <w:rFonts w:hint="eastAsia" w:ascii="仿宋_GB2312" w:hAnsi="Dotum" w:eastAsia="仿宋_GB2312"/>
          <w:color w:val="auto"/>
          <w:sz w:val="32"/>
        </w:rPr>
        <w:t>人合法</w:t>
      </w:r>
      <w:r>
        <w:rPr>
          <w:rFonts w:hint="eastAsia" w:ascii="仿宋_GB2312" w:hAnsi="宋体" w:eastAsia="仿宋_GB2312"/>
          <w:color w:val="auto"/>
          <w:sz w:val="32"/>
        </w:rPr>
        <w:t>权</w:t>
      </w:r>
      <w:r>
        <w:rPr>
          <w:rFonts w:hint="eastAsia" w:ascii="仿宋_GB2312" w:hAnsi="Dotum" w:eastAsia="仿宋_GB2312"/>
          <w:color w:val="auto"/>
          <w:sz w:val="32"/>
        </w:rPr>
        <w:t>益，也</w:t>
      </w:r>
      <w:r>
        <w:rPr>
          <w:rFonts w:hint="eastAsia" w:ascii="仿宋_GB2312" w:hAnsi="宋体" w:eastAsia="仿宋_GB2312"/>
          <w:color w:val="auto"/>
          <w:sz w:val="32"/>
        </w:rPr>
        <w:t>极</w:t>
      </w:r>
      <w:r>
        <w:rPr>
          <w:rFonts w:hint="eastAsia" w:ascii="仿宋_GB2312" w:hAnsi="Dotum" w:eastAsia="仿宋_GB2312"/>
          <w:color w:val="auto"/>
          <w:sz w:val="32"/>
        </w:rPr>
        <w:t>大地提高了代征</w:t>
      </w:r>
      <w:r>
        <w:rPr>
          <w:rFonts w:hint="eastAsia" w:ascii="仿宋_GB2312" w:hAnsi="宋体" w:eastAsia="仿宋_GB2312"/>
          <w:color w:val="auto"/>
          <w:sz w:val="32"/>
        </w:rPr>
        <w:t>单</w:t>
      </w:r>
      <w:r>
        <w:rPr>
          <w:rFonts w:hint="eastAsia" w:ascii="仿宋_GB2312" w:hAnsi="Dotum" w:eastAsia="仿宋_GB2312"/>
          <w:color w:val="auto"/>
          <w:sz w:val="32"/>
        </w:rPr>
        <w:t>位及扣</w:t>
      </w:r>
      <w:r>
        <w:rPr>
          <w:rFonts w:hint="eastAsia" w:ascii="仿宋_GB2312" w:hAnsi="宋体" w:eastAsia="仿宋_GB2312"/>
          <w:color w:val="auto"/>
          <w:sz w:val="32"/>
        </w:rPr>
        <w:t>缴义务</w:t>
      </w:r>
      <w:r>
        <w:rPr>
          <w:rFonts w:hint="eastAsia" w:ascii="仿宋_GB2312" w:hAnsi="Dotum" w:eastAsia="仿宋_GB2312"/>
          <w:color w:val="auto"/>
          <w:sz w:val="32"/>
        </w:rPr>
        <w:t>人的工作</w:t>
      </w:r>
      <w:r>
        <w:rPr>
          <w:rFonts w:hint="eastAsia" w:ascii="仿宋_GB2312" w:hAnsi="宋体" w:eastAsia="仿宋_GB2312"/>
          <w:color w:val="auto"/>
          <w:sz w:val="32"/>
        </w:rPr>
        <w:t>积极</w:t>
      </w:r>
      <w:r>
        <w:rPr>
          <w:rFonts w:hint="eastAsia" w:ascii="仿宋_GB2312" w:hAnsi="Dotum" w:eastAsia="仿宋_GB2312"/>
          <w:color w:val="auto"/>
          <w:sz w:val="32"/>
        </w:rPr>
        <w:t>性，确保了各</w:t>
      </w:r>
      <w:r>
        <w:rPr>
          <w:rFonts w:hint="eastAsia" w:ascii="仿宋_GB2312" w:hAnsi="宋体" w:eastAsia="仿宋_GB2312"/>
          <w:color w:val="auto"/>
          <w:sz w:val="32"/>
        </w:rPr>
        <w:t>项税</w:t>
      </w:r>
      <w:r>
        <w:rPr>
          <w:rFonts w:hint="eastAsia" w:ascii="仿宋_GB2312" w:hAnsi="Dotum" w:eastAsia="仿宋_GB2312"/>
          <w:color w:val="auto"/>
          <w:sz w:val="32"/>
        </w:rPr>
        <w:t>款代征代扣工作的</w:t>
      </w:r>
      <w:r>
        <w:rPr>
          <w:rFonts w:hint="eastAsia" w:ascii="仿宋_GB2312" w:hAnsi="宋体" w:eastAsia="仿宋_GB2312"/>
          <w:color w:val="auto"/>
          <w:sz w:val="32"/>
        </w:rPr>
        <w:t>顺</w:t>
      </w:r>
      <w:r>
        <w:rPr>
          <w:rFonts w:hint="eastAsia" w:ascii="仿宋_GB2312" w:hAnsi="Dotum" w:eastAsia="仿宋_GB2312"/>
          <w:color w:val="auto"/>
          <w:sz w:val="32"/>
        </w:rPr>
        <w:t>利有序</w:t>
      </w:r>
      <w:r>
        <w:rPr>
          <w:rFonts w:hint="eastAsia" w:ascii="仿宋_GB2312" w:hAnsi="宋体" w:eastAsia="仿宋_GB2312"/>
          <w:color w:val="auto"/>
          <w:sz w:val="32"/>
        </w:rPr>
        <w:t>开</w:t>
      </w:r>
      <w:r>
        <w:rPr>
          <w:rFonts w:hint="eastAsia" w:ascii="仿宋_GB2312" w:hAnsi="Dotum" w:eastAsia="仿宋_GB2312"/>
          <w:color w:val="auto"/>
          <w:sz w:val="32"/>
        </w:rPr>
        <w:t>展，</w:t>
      </w:r>
      <w:r>
        <w:rPr>
          <w:rFonts w:hint="eastAsia" w:ascii="仿宋_GB2312" w:hAnsi="宋体" w:eastAsia="仿宋_GB2312"/>
          <w:color w:val="auto"/>
          <w:sz w:val="32"/>
        </w:rPr>
        <w:t>为</w:t>
      </w:r>
      <w:r>
        <w:rPr>
          <w:rFonts w:hint="eastAsia" w:ascii="仿宋_GB2312" w:hAnsi="Dotum" w:eastAsia="仿宋_GB2312"/>
          <w:color w:val="auto"/>
          <w:sz w:val="32"/>
        </w:rPr>
        <w:t>促</w:t>
      </w:r>
      <w:r>
        <w:rPr>
          <w:rFonts w:hint="eastAsia" w:ascii="仿宋_GB2312" w:hAnsi="宋体" w:eastAsia="仿宋_GB2312"/>
          <w:color w:val="auto"/>
          <w:sz w:val="32"/>
        </w:rPr>
        <w:t>进税</w:t>
      </w:r>
      <w:r>
        <w:rPr>
          <w:rFonts w:hint="eastAsia" w:ascii="仿宋_GB2312" w:hAnsi="Dotum" w:eastAsia="仿宋_GB2312"/>
          <w:color w:val="auto"/>
          <w:sz w:val="32"/>
        </w:rPr>
        <w:t>收增</w:t>
      </w:r>
      <w:r>
        <w:rPr>
          <w:rFonts w:hint="eastAsia" w:ascii="仿宋_GB2312" w:hAnsi="宋体" w:eastAsia="仿宋_GB2312"/>
          <w:color w:val="auto"/>
          <w:sz w:val="32"/>
        </w:rPr>
        <w:t>长</w:t>
      </w:r>
      <w:r>
        <w:rPr>
          <w:rFonts w:hint="eastAsia" w:ascii="仿宋_GB2312" w:hAnsi="Dotum" w:eastAsia="仿宋_GB2312"/>
          <w:color w:val="auto"/>
          <w:sz w:val="32"/>
        </w:rPr>
        <w:t>、堵塞漏洞、强化征管打下良好基</w:t>
      </w:r>
      <w:r>
        <w:rPr>
          <w:rFonts w:hint="eastAsia" w:ascii="仿宋_GB2312" w:hAnsi="宋体" w:eastAsia="仿宋_GB2312"/>
          <w:color w:val="auto"/>
          <w:sz w:val="32"/>
        </w:rPr>
        <w:t>础。</w:t>
      </w:r>
    </w:p>
    <w:p>
      <w:pPr>
        <w:snapToGrid w:val="0"/>
        <w:spacing w:line="580" w:lineRule="exact"/>
        <w:ind w:firstLine="637" w:firstLineChars="199"/>
        <w:rPr>
          <w:rFonts w:hint="default" w:ascii="仿宋_GB2312" w:hAnsi="宋体" w:eastAsia="仿宋_GB2312"/>
          <w:color w:val="auto"/>
          <w:sz w:val="32"/>
        </w:rPr>
      </w:pPr>
      <w:r>
        <w:rPr>
          <w:rFonts w:hint="eastAsia" w:ascii="仿宋_GB2312" w:hAnsi="宋体" w:eastAsia="仿宋_GB2312"/>
          <w:color w:val="auto"/>
          <w:sz w:val="32"/>
          <w:lang w:val="en-US" w:eastAsia="zh-CN"/>
        </w:rPr>
        <w:t>5.</w:t>
      </w:r>
      <w:r>
        <w:rPr>
          <w:rFonts w:hint="eastAsia" w:ascii="仿宋_GB2312" w:hAnsi="宋体" w:eastAsia="仿宋_GB2312"/>
          <w:color w:val="auto"/>
          <w:sz w:val="32"/>
        </w:rPr>
        <w:t>基本建设</w:t>
      </w:r>
    </w:p>
    <w:p>
      <w:pPr>
        <w:snapToGrid w:val="0"/>
        <w:spacing w:line="580" w:lineRule="exact"/>
        <w:ind w:firstLine="640" w:firstLineChars="200"/>
        <w:rPr>
          <w:rFonts w:hint="default" w:ascii="仿宋_GB2312" w:hAnsi="宋体" w:eastAsia="仿宋_GB2312"/>
          <w:color w:val="auto"/>
          <w:sz w:val="32"/>
        </w:rPr>
      </w:pPr>
      <w:r>
        <w:rPr>
          <w:rFonts w:hint="eastAsia" w:ascii="仿宋_GB2312" w:hAnsi="宋体" w:eastAsia="仿宋_GB2312"/>
          <w:color w:val="auto"/>
          <w:sz w:val="32"/>
        </w:rPr>
        <w:t>年初预算</w:t>
      </w:r>
      <w:r>
        <w:rPr>
          <w:rFonts w:hint="eastAsia" w:ascii="仿宋_GB2312" w:hAnsi="宋体" w:eastAsia="仿宋_GB2312"/>
          <w:color w:val="auto"/>
          <w:sz w:val="32"/>
          <w:lang w:val="en-US" w:eastAsia="zh-CN"/>
        </w:rPr>
        <w:t>490</w:t>
      </w:r>
      <w:r>
        <w:rPr>
          <w:rFonts w:hint="eastAsia" w:ascii="仿宋_GB2312" w:hAnsi="宋体" w:eastAsia="仿宋_GB2312"/>
          <w:color w:val="auto"/>
          <w:sz w:val="32"/>
        </w:rPr>
        <w:t>万元, 决算支出</w:t>
      </w:r>
      <w:r>
        <w:rPr>
          <w:rFonts w:hint="eastAsia" w:ascii="仿宋_GB2312" w:hAnsi="宋体" w:eastAsia="仿宋_GB2312" w:cs="仿宋_GB2312"/>
          <w:sz w:val="32"/>
          <w:szCs w:val="32"/>
          <w:lang w:val="en-US" w:eastAsia="zh-CN"/>
        </w:rPr>
        <w:t>443.64</w:t>
      </w:r>
      <w:r>
        <w:rPr>
          <w:rFonts w:hint="eastAsia" w:ascii="仿宋_GB2312" w:hAnsi="宋体" w:eastAsia="仿宋_GB2312"/>
          <w:color w:val="auto"/>
          <w:sz w:val="32"/>
        </w:rPr>
        <w:t>万元。2017年全</w:t>
      </w:r>
      <w:r>
        <w:rPr>
          <w:rFonts w:hint="eastAsia" w:ascii="仿宋_GB2312" w:hAnsi="宋体" w:eastAsia="仿宋_GB2312"/>
          <w:color w:val="auto"/>
          <w:sz w:val="32"/>
          <w:lang w:eastAsia="zh-CN"/>
        </w:rPr>
        <w:t>地</w:t>
      </w:r>
      <w:r>
        <w:rPr>
          <w:rFonts w:hint="eastAsia" w:ascii="仿宋_GB2312" w:hAnsi="宋体" w:eastAsia="仿宋_GB2312"/>
          <w:color w:val="auto"/>
          <w:sz w:val="32"/>
        </w:rPr>
        <w:t>区地税系统严格贯彻落实新《基本建设财务规则》，基建项目按轻重缓急分年度建立项目库，每个建设项目做到事前论证、实地调查、概算编制和工程决算，严禁超规模、超标准、超投资维修办公用房。对项目立项、实施、建设、决算、审计全程跟踪，对专项资金分配、支付、结余全面监督。经过2017年基本建设资金的有效投入和使用，</w:t>
      </w:r>
      <w:r>
        <w:rPr>
          <w:rFonts w:hint="eastAsia" w:ascii="仿宋_GB2312" w:eastAsia="仿宋_GB2312"/>
          <w:color w:val="auto"/>
          <w:sz w:val="32"/>
        </w:rPr>
        <w:t>初</w:t>
      </w:r>
      <w:r>
        <w:rPr>
          <w:rFonts w:hint="eastAsia" w:ascii="仿宋_GB2312" w:hAnsi="宋体" w:eastAsia="仿宋_GB2312"/>
          <w:color w:val="auto"/>
          <w:sz w:val="32"/>
        </w:rPr>
        <w:t>步实现了全</w:t>
      </w:r>
      <w:r>
        <w:rPr>
          <w:rFonts w:hint="eastAsia" w:ascii="仿宋_GB2312" w:hAnsi="宋体" w:eastAsia="仿宋_GB2312"/>
          <w:color w:val="auto"/>
          <w:sz w:val="32"/>
          <w:lang w:eastAsia="zh-CN"/>
        </w:rPr>
        <w:t>地</w:t>
      </w:r>
      <w:r>
        <w:rPr>
          <w:rFonts w:hint="eastAsia" w:ascii="仿宋_GB2312" w:hAnsi="宋体" w:eastAsia="仿宋_GB2312"/>
          <w:color w:val="auto"/>
          <w:sz w:val="32"/>
        </w:rPr>
        <w:t>区办税大厅标准化，纳税人满意度稳步提升，获得了良好的社会效益。</w:t>
      </w:r>
    </w:p>
    <w:p>
      <w:pPr>
        <w:autoSpaceDE w:val="0"/>
        <w:autoSpaceDN w:val="0"/>
        <w:adjustRightInd w:val="0"/>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2017年全系统按照</w:t>
      </w:r>
      <w:r>
        <w:rPr>
          <w:rFonts w:hint="eastAsia" w:ascii="仿宋_GB2312" w:hAnsi="仿宋" w:eastAsia="仿宋_GB2312"/>
          <w:sz w:val="32"/>
          <w:szCs w:val="32"/>
        </w:rPr>
        <w:t>部门预算绩效管理</w:t>
      </w:r>
      <w:r>
        <w:rPr>
          <w:rFonts w:hint="eastAsia" w:ascii="仿宋_GB2312" w:hAnsi="宋体" w:eastAsia="仿宋_GB2312" w:cs="仿宋_GB2312"/>
          <w:color w:val="000000"/>
          <w:sz w:val="32"/>
          <w:szCs w:val="32"/>
          <w:lang w:val="zh-CN"/>
        </w:rPr>
        <w:t>规定，将税务办案、代扣代收代征税款手续费、税务宣传、信息化建设、征管</w:t>
      </w:r>
      <w:r>
        <w:rPr>
          <w:rFonts w:ascii="仿宋_GB2312" w:hAnsi="宋体" w:eastAsia="仿宋_GB2312" w:cs="仿宋_GB2312"/>
          <w:color w:val="000000"/>
          <w:sz w:val="32"/>
          <w:szCs w:val="32"/>
          <w:lang w:val="zh-CN"/>
        </w:rPr>
        <w:t>业务费</w:t>
      </w:r>
      <w:r>
        <w:rPr>
          <w:rFonts w:hint="eastAsia" w:ascii="仿宋_GB2312" w:hAnsi="宋体" w:eastAsia="仿宋_GB2312" w:cs="仿宋_GB2312"/>
          <w:color w:val="000000"/>
          <w:sz w:val="32"/>
          <w:szCs w:val="32"/>
          <w:lang w:val="zh-CN"/>
        </w:rPr>
        <w:t>等项目支出预算资金全部纳入绩效管理，申报项目个数、金额及比例均符合财政厅要求。按照跟踪监督、注重绩效的原则，完成绩效目标申报、绩效自评和绩效评价工作各环节,严格审核各单位绩效目标的完整性、可行性，确保项目目标明确，管理规范，绩效明显。凡未按规定提供绩效报告或绩效目标差的项目，将在下年度中止预算安排，把绩效评价作为安排下一年度部门预算的重要依据。项目的实施在完成特定的行政任务或事业发展目标、保障税收工作顺利开展、充分发挥绩效监督管理职能效用、增强财政资金使用效益等方面起到了积极的促进作用。</w:t>
      </w:r>
    </w:p>
    <w:p>
      <w:pPr>
        <w:snapToGrid w:val="0"/>
        <w:spacing w:line="6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（四）</w:t>
      </w:r>
      <w:r>
        <w:rPr>
          <w:rFonts w:hint="eastAsia" w:ascii="仿宋_GB2312" w:hAnsi="仿宋" w:eastAsia="仿宋_GB2312" w:cs="仿宋_GB2312"/>
          <w:sz w:val="32"/>
          <w:szCs w:val="32"/>
        </w:rPr>
        <w:t>当</w:t>
      </w:r>
      <w:r>
        <w:rPr>
          <w:rFonts w:ascii="仿宋_GB2312" w:hAnsi="仿宋" w:eastAsia="仿宋_GB2312" w:cs="仿宋_GB2312"/>
          <w:sz w:val="32"/>
          <w:szCs w:val="32"/>
        </w:rPr>
        <w:t>年未发生</w:t>
      </w:r>
      <w:r>
        <w:rPr>
          <w:rFonts w:hint="eastAsia" w:ascii="仿宋_GB2312" w:hAnsi="仿宋" w:eastAsia="仿宋_GB2312" w:cs="仿宋_GB2312"/>
          <w:sz w:val="32"/>
          <w:szCs w:val="32"/>
        </w:rPr>
        <w:t>业务</w:t>
      </w:r>
      <w:r>
        <w:rPr>
          <w:rFonts w:ascii="仿宋_GB2312" w:hAnsi="仿宋" w:eastAsia="仿宋_GB2312" w:cs="仿宋_GB2312"/>
          <w:sz w:val="32"/>
          <w:szCs w:val="32"/>
        </w:rPr>
        <w:t>数据</w:t>
      </w:r>
      <w:r>
        <w:rPr>
          <w:rFonts w:hint="eastAsia" w:ascii="仿宋_GB2312" w:hAnsi="仿宋" w:eastAsia="仿宋_GB2312" w:cs="仿宋_GB2312"/>
          <w:sz w:val="32"/>
          <w:szCs w:val="32"/>
        </w:rPr>
        <w:t>的</w:t>
      </w:r>
      <w:r>
        <w:rPr>
          <w:rFonts w:ascii="仿宋_GB2312" w:hAnsi="仿宋" w:eastAsia="仿宋_GB2312" w:cs="仿宋_GB2312"/>
          <w:sz w:val="32"/>
          <w:szCs w:val="32"/>
        </w:rPr>
        <w:t>空表</w:t>
      </w:r>
      <w:r>
        <w:rPr>
          <w:rFonts w:hint="eastAsia" w:ascii="仿宋_GB2312" w:hAnsi="仿宋" w:eastAsia="仿宋_GB2312" w:cs="仿宋_GB2312"/>
          <w:sz w:val="32"/>
          <w:szCs w:val="32"/>
        </w:rPr>
        <w:t>6张：</w:t>
      </w:r>
      <w:r>
        <w:rPr>
          <w:rFonts w:ascii="仿宋_GB2312" w:hAnsi="仿宋" w:eastAsia="仿宋_GB2312" w:cs="仿宋_GB2312"/>
          <w:sz w:val="32"/>
          <w:szCs w:val="32"/>
        </w:rPr>
        <w:t>《</w:t>
      </w:r>
      <w:r>
        <w:rPr>
          <w:rFonts w:hint="eastAsia" w:ascii="仿宋_GB2312" w:hAnsi="仿宋" w:eastAsia="仿宋_GB2312" w:cs="仿宋_GB2312"/>
          <w:sz w:val="32"/>
          <w:szCs w:val="32"/>
        </w:rPr>
        <w:t>基本建设类项目收入支出决算表》</w:t>
      </w:r>
      <w:r>
        <w:rPr>
          <w:rFonts w:ascii="仿宋_GB2312" w:hAnsi="仿宋" w:eastAsia="仿宋_GB2312" w:cs="仿宋_GB2312"/>
          <w:sz w:val="32"/>
          <w:szCs w:val="32"/>
        </w:rPr>
        <w:t>、</w:t>
      </w:r>
      <w:r>
        <w:rPr>
          <w:rFonts w:hint="eastAsia" w:ascii="仿宋_GB2312" w:hAnsi="仿宋" w:eastAsia="仿宋_GB2312" w:cs="仿宋_GB2312"/>
          <w:sz w:val="32"/>
          <w:szCs w:val="32"/>
        </w:rPr>
        <w:t>《财政专户管理资金收入支出决算表》、《政府性基金预算财政拨款收入支出决算表》</w:t>
      </w:r>
      <w:r>
        <w:rPr>
          <w:rFonts w:ascii="仿宋_GB2312" w:hAnsi="仿宋" w:eastAsia="仿宋_GB2312" w:cs="仿宋_GB2312"/>
          <w:sz w:val="32"/>
          <w:szCs w:val="32"/>
        </w:rPr>
        <w:t>、</w:t>
      </w:r>
      <w:r>
        <w:rPr>
          <w:rFonts w:hint="eastAsia" w:ascii="仿宋_GB2312" w:hAnsi="仿宋" w:eastAsia="仿宋_GB2312" w:cs="仿宋_GB2312"/>
          <w:sz w:val="32"/>
          <w:szCs w:val="32"/>
        </w:rPr>
        <w:t>《政府性基金预算财政拨款支出决算明细表》、《政府性基金预算财政拨款基本支出决算明细表》和《政府性基金预算财政拨款项目支出决算明细表》</w:t>
      </w:r>
      <w:r>
        <w:rPr>
          <w:rFonts w:ascii="仿宋_GB2312" w:hAnsi="仿宋" w:eastAsia="仿宋_GB2312" w:cs="仿宋_GB2312"/>
          <w:sz w:val="32"/>
          <w:szCs w:val="32"/>
        </w:rPr>
        <w:t>。</w:t>
      </w:r>
    </w:p>
    <w:p>
      <w:pPr>
        <w:spacing w:line="500" w:lineRule="exact"/>
        <w:jc w:val="center"/>
        <w:outlineLvl w:val="0"/>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660" w:lineRule="exact"/>
        <w:ind w:firstLine="640" w:firstLineChars="200"/>
        <w:rPr>
          <w:rFonts w:ascii="仿宋_GB2312" w:eastAsia="仿宋_GB2312"/>
          <w:sz w:val="32"/>
          <w:szCs w:val="32"/>
        </w:rPr>
      </w:pPr>
      <w:r>
        <w:rPr>
          <w:rFonts w:hint="eastAsia" w:ascii="仿宋_GB2312" w:eastAsia="仿宋_GB2312"/>
          <w:sz w:val="32"/>
          <w:szCs w:val="32"/>
        </w:rPr>
        <w:t>本单位支出功能分类说明：</w:t>
      </w:r>
    </w:p>
    <w:p>
      <w:pPr>
        <w:snapToGrid w:val="0"/>
        <w:spacing w:line="6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1.</w:t>
      </w:r>
      <w:r>
        <w:rPr>
          <w:rFonts w:hint="eastAsia" w:ascii="仿宋_GB2312" w:hAnsi="仿宋" w:eastAsia="仿宋_GB2312" w:cs="仿宋_GB2312"/>
          <w:sz w:val="32"/>
          <w:szCs w:val="32"/>
        </w:rPr>
        <w:t>一般公共服务（类）税收事务（款）：指用于单位为保障机构正常运转、开展税收征管活动所发生的基本支出和项目支出。</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2.行政运行（项）：指行政单位及参照公务员法管理的事业单位用于保障机构正常运转的基本支出。</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3.一般行政管理事务（项）：指行政单位及参照公务员管理的事业单位未单独设置项级科目的其他项目支出，包括金税运行、基建经费、救灾经费等。</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4.税务办案（项）：指税务稽查机构办案的支出。</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5.代扣代收代征税款手续费（项）：指地税系统支付的代扣代缴、代收代缴和委托代征税款手续费。</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6.税务宣传（项）：指地税系统用于税务宣传、纳税服务方面的支出。</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7.其他税收事务支出（项）：指地税系统所属事业单位为完成相关工作任务或事业发展目标，用于专项业务工作的项目支出。</w:t>
      </w:r>
    </w:p>
    <w:p>
      <w:pPr>
        <w:snapToGrid w:val="0"/>
        <w:spacing w:line="6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8.社会保障和就业（类）行政事业单位离退休（款）：指单位开支的离退休人员经费和离退休干部管理机构为离退休人员提供管理和服务所发生的工作支出。</w:t>
      </w:r>
    </w:p>
    <w:p>
      <w:pPr>
        <w:spacing w:line="500" w:lineRule="exact"/>
        <w:ind w:firstLine="640" w:firstLineChars="200"/>
        <w:rPr>
          <w:rFonts w:ascii="仿宋_GB2312" w:eastAsia="仿宋_GB2312"/>
          <w:b/>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第四部分 部门决算报表（见附表）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八、《基本建设类项目收入支出决算表》</w:t>
      </w:r>
      <w:r>
        <w:rPr>
          <w:rFonts w:hint="eastAsia" w:ascii="仿宋_GB2312" w:eastAsia="仿宋_GB2312"/>
          <w:sz w:val="32"/>
          <w:szCs w:val="32"/>
          <w:lang w:eastAsia="zh-CN"/>
        </w:rPr>
        <w:t>（本表为空表）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r>
        <w:rPr>
          <w:rFonts w:hint="eastAsia" w:ascii="仿宋_GB2312" w:eastAsia="仿宋_GB2312"/>
          <w:sz w:val="32"/>
          <w:szCs w:val="32"/>
          <w:lang w:eastAsia="zh-CN"/>
        </w:rPr>
        <w:t>（本表为空表）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r>
        <w:rPr>
          <w:rFonts w:hint="eastAsia" w:ascii="仿宋_GB2312" w:eastAsia="仿宋_GB2312"/>
          <w:sz w:val="32"/>
          <w:szCs w:val="32"/>
          <w:lang w:eastAsia="zh-CN"/>
        </w:rPr>
        <w:t>（本表为空表）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r>
        <w:rPr>
          <w:rFonts w:hint="eastAsia" w:ascii="仿宋_GB2312" w:eastAsia="仿宋_GB2312"/>
          <w:sz w:val="32"/>
          <w:szCs w:val="32"/>
          <w:lang w:eastAsia="zh-CN"/>
        </w:rPr>
        <w:t>（本表为空表）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r>
        <w:rPr>
          <w:rFonts w:hint="eastAsia" w:ascii="仿宋_GB2312" w:eastAsia="仿宋_GB2312"/>
          <w:sz w:val="32"/>
          <w:szCs w:val="32"/>
          <w:lang w:eastAsia="zh-CN"/>
        </w:rPr>
        <w:t>（本表为空表）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r>
        <w:rPr>
          <w:rFonts w:hint="eastAsia" w:ascii="仿宋_GB2312" w:eastAsia="仿宋_GB2312"/>
          <w:sz w:val="32"/>
          <w:szCs w:val="32"/>
          <w:lang w:eastAsia="zh-CN"/>
        </w:rPr>
        <w:t>（本表为空表）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三十、《2017年度一般公共预算“三公”经费支出情况表》</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黑体">
    <w:panose1 w:val="02010600030101010101"/>
    <w:charset w:val="86"/>
    <w:family w:val="swiss"/>
    <w:pitch w:val="default"/>
    <w:sig w:usb0="00000001" w:usb1="080E0000" w:usb2="00000000" w:usb3="00000000" w:csb0="00040000" w:csb1="00000000"/>
  </w:font>
  <w:font w:name="仿宋">
    <w:altName w:val="Arial Unicode MS"/>
    <w:panose1 w:val="02010609060101010101"/>
    <w:charset w:val="86"/>
    <w:family w:val="swiss"/>
    <w:pitch w:val="default"/>
    <w:sig w:usb0="00000000" w:usb1="00000000"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仿宋">
    <w:altName w:val="Arial Unicode MS"/>
    <w:panose1 w:val="02010609060101010101"/>
    <w:charset w:val="86"/>
    <w:family w:val="decorative"/>
    <w:pitch w:val="default"/>
    <w:sig w:usb0="00000000" w:usb1="00000000" w:usb2="00000016" w:usb3="00000000" w:csb0="00040001" w:csb1="00000000"/>
  </w:font>
  <w:font w:name="Calibri Light">
    <w:altName w:val="Calibri"/>
    <w:panose1 w:val="020F0302020204030204"/>
    <w:charset w:val="00"/>
    <w:family w:val="roman"/>
    <w:pitch w:val="default"/>
    <w:sig w:usb0="00000000" w:usb1="00000000" w:usb2="00000000" w:usb3="00000000" w:csb0="0000019F" w:csb1="00000000"/>
  </w:font>
  <w:font w:name="仿宋_GB2312">
    <w:panose1 w:val="02010609030101010101"/>
    <w:charset w:val="86"/>
    <w:family w:val="decorative"/>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仿宋">
    <w:altName w:val="Arial Unicode MS"/>
    <w:panose1 w:val="02010609060101010101"/>
    <w:charset w:val="86"/>
    <w:family w:val="roman"/>
    <w:pitch w:val="default"/>
    <w:sig w:usb0="00000000" w:usb1="00000000" w:usb2="00000016" w:usb3="00000000" w:csb0="00040001" w:csb1="00000000"/>
  </w:font>
  <w:font w:name="Calibri Light">
    <w:altName w:val="Calibri"/>
    <w:panose1 w:val="020F0302020204030204"/>
    <w:charset w:val="00"/>
    <w:family w:val="modern"/>
    <w:pitch w:val="default"/>
    <w:sig w:usb0="00000000" w:usb1="00000000" w:usb2="00000000" w:usb3="00000000" w:csb0="0000019F" w:csb1="00000000"/>
  </w:font>
  <w:font w:name="仿宋_GB2312">
    <w:panose1 w:val="02010609030101010101"/>
    <w:charset w:val="86"/>
    <w:family w:val="roma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Tahoma">
    <w:panose1 w:val="020B0604030504040204"/>
    <w:charset w:val="00"/>
    <w:family w:val="modern"/>
    <w:pitch w:val="default"/>
    <w:sig w:usb0="61007A87" w:usb1="80000000" w:usb2="00000008" w:usb3="00000000" w:csb0="200101FF" w:csb1="20280000"/>
  </w:font>
  <w:font w:name="楷体">
    <w:altName w:val="楷体_GB2312"/>
    <w:panose1 w:val="02010609060101010101"/>
    <w:charset w:val="86"/>
    <w:family w:val="roman"/>
    <w:pitch w:val="default"/>
    <w:sig w:usb0="00000000" w:usb1="00000000" w:usb2="00000016" w:usb3="00000000" w:csb0="00040001" w:csb1="00000000"/>
  </w:font>
  <w:font w:name="Arial">
    <w:panose1 w:val="020B0604020202020204"/>
    <w:charset w:val="00"/>
    <w:family w:val="modern"/>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 w:name="楷体">
    <w:altName w:val="楷体_GB2312"/>
    <w:panose1 w:val="02010609060101010101"/>
    <w:charset w:val="86"/>
    <w:family w:val="swiss"/>
    <w:pitch w:val="default"/>
    <w:sig w:usb0="00000000" w:usb1="00000000" w:usb2="00000016" w:usb3="00000000" w:csb0="00040001"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roman"/>
    <w:pitch w:val="default"/>
    <w:sig w:usb0="61007A87" w:usb1="80000000" w:usb2="00000008" w:usb3="00000000" w:csb0="200101FF" w:csb1="20280000"/>
  </w:font>
  <w:font w:name="楷体">
    <w:altName w:val="楷体_GB2312"/>
    <w:panose1 w:val="02010609060101010101"/>
    <w:charset w:val="86"/>
    <w:family w:val="decorative"/>
    <w:pitch w:val="default"/>
    <w:sig w:usb0="00000000" w:usb1="00000000" w:usb2="00000016" w:usb3="00000000" w:csb0="00040001" w:csb1="00000000"/>
  </w:font>
  <w:font w:name="Arial">
    <w:panose1 w:val="020B0604020202020204"/>
    <w:charset w:val="00"/>
    <w:family w:val="roman"/>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Times New Roman CE">
    <w:altName w:val="Times"/>
    <w:panose1 w:val="00000000000000000000"/>
    <w:charset w:val="EE"/>
    <w:family w:val="auto"/>
    <w:pitch w:val="default"/>
    <w:sig w:usb0="00000000" w:usb1="00000000" w:usb2="00000000" w:usb3="00000000" w:csb0="00000002" w:csb1="00000000"/>
  </w:font>
  <w:font w:name="Times New Roman Cyr">
    <w:altName w:val="Times"/>
    <w:panose1 w:val="00000000000000000000"/>
    <w:charset w:val="CC"/>
    <w:family w:val="auto"/>
    <w:pitch w:val="default"/>
    <w:sig w:usb0="00000000" w:usb1="00000000" w:usb2="00000000" w:usb3="00000000" w:csb0="00000004" w:csb1="00000000"/>
  </w:font>
  <w:font w:name="Times New Roman Greek">
    <w:altName w:val="Times"/>
    <w:panose1 w:val="00000000000000000000"/>
    <w:charset w:val="A1"/>
    <w:family w:val="auto"/>
    <w:pitch w:val="default"/>
    <w:sig w:usb0="00000000" w:usb1="00000000" w:usb2="00000000" w:usb3="00000000" w:csb0="00000008" w:csb1="00000000"/>
  </w:font>
  <w:font w:name="Times New Roman Tur">
    <w:altName w:val="Times"/>
    <w:panose1 w:val="00000000000000000000"/>
    <w:charset w:val="A2"/>
    <w:family w:val="auto"/>
    <w:pitch w:val="default"/>
    <w:sig w:usb0="00000000" w:usb1="00000000" w:usb2="00000000" w:usb3="00000000" w:csb0="00000010" w:csb1="00000000"/>
  </w:font>
  <w:font w:name="Times New Roman (Hebrew)">
    <w:altName w:val="Times"/>
    <w:panose1 w:val="00000000000000000000"/>
    <w:charset w:val="B1"/>
    <w:family w:val="auto"/>
    <w:pitch w:val="default"/>
    <w:sig w:usb0="00000000" w:usb1="00000000" w:usb2="00000000" w:usb3="00000000" w:csb0="00000020" w:csb1="00000000"/>
  </w:font>
  <w:font w:name="Times New Roman (Arabic)">
    <w:altName w:val="Times"/>
    <w:panose1 w:val="00000000000000000000"/>
    <w:charset w:val="B2"/>
    <w:family w:val="auto"/>
    <w:pitch w:val="default"/>
    <w:sig w:usb0="00000000" w:usb1="00000000" w:usb2="00000000" w:usb3="00000000" w:csb0="00000040" w:csb1="00000000"/>
  </w:font>
  <w:font w:name="Times New Roman Baltic">
    <w:altName w:val="Times"/>
    <w:panose1 w:val="00000000000000000000"/>
    <w:charset w:val="BA"/>
    <w:family w:val="auto"/>
    <w:pitch w:val="default"/>
    <w:sig w:usb0="00000000" w:usb1="00000000" w:usb2="00000000" w:usb3="00000000" w:csb0="00000080" w:csb1="00000000"/>
  </w:font>
  <w:font w:name="Times New Roman (Vietnamese)">
    <w:altName w:val="Times"/>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TZhongsong Western">
    <w:altName w:val="Latha"/>
    <w:panose1 w:val="00000000000000000000"/>
    <w:charset w:val="00"/>
    <w:family w:val="auto"/>
    <w:pitch w:val="default"/>
    <w:sig w:usb0="00000000" w:usb1="00000000" w:usb2="00000000" w:usb3="00000000" w:csb0="00000001" w:csb1="00000000"/>
  </w:font>
  <w:font w:name="STZhongsong CE">
    <w:altName w:val="Latha"/>
    <w:panose1 w:val="00000000000000000000"/>
    <w:charset w:val="EE"/>
    <w:family w:val="auto"/>
    <w:pitch w:val="default"/>
    <w:sig w:usb0="00000000" w:usb1="00000000" w:usb2="00000000" w:usb3="00000000" w:csb0="00000002" w:csb1="00000000"/>
  </w:font>
  <w:font w:name="STZhongsong Cyr">
    <w:altName w:val="Latha"/>
    <w:panose1 w:val="00000000000000000000"/>
    <w:charset w:val="CC"/>
    <w:family w:val="auto"/>
    <w:pitch w:val="default"/>
    <w:sig w:usb0="00000000" w:usb1="00000000" w:usb2="00000000" w:usb3="00000000" w:csb0="00000004" w:csb1="00000000"/>
  </w:font>
  <w:font w:name="STZhongsong Greek">
    <w:altName w:val="Latha"/>
    <w:panose1 w:val="00000000000000000000"/>
    <w:charset w:val="A1"/>
    <w:family w:val="auto"/>
    <w:pitch w:val="default"/>
    <w:sig w:usb0="00000000" w:usb1="00000000" w:usb2="00000000" w:usb3="00000000" w:csb0="00000008" w:csb1="00000000"/>
  </w:font>
  <w:font w:name="STZhongsong Tur">
    <w:altName w:val="Latha"/>
    <w:panose1 w:val="00000000000000000000"/>
    <w:charset w:val="A2"/>
    <w:family w:val="auto"/>
    <w:pitch w:val="default"/>
    <w:sig w:usb0="00000000" w:usb1="00000000" w:usb2="00000000" w:usb3="00000000" w:csb0="00000010" w:csb1="00000000"/>
  </w:font>
  <w:font w:name="STZhongsong Baltic">
    <w:altName w:val="Latha"/>
    <w:panose1 w:val="00000000000000000000"/>
    <w:charset w:val="BA"/>
    <w:family w:val="auto"/>
    <w:pitch w:val="default"/>
    <w:sig w:usb0="00000000" w:usb1="00000000" w:usb2="00000000" w:usb3="00000000" w:csb0="00000080" w:csb1="00000000"/>
  </w:font>
  <w:font w:name="Times">
    <w:altName w:val="CG Times"/>
    <w:panose1 w:val="00000000000000000000"/>
    <w:charset w:val="00"/>
    <w:family w:val="auto"/>
    <w:pitch w:val="default"/>
    <w:sig w:usb0="00000000" w:usb1="00000000" w:usb2="00000000" w:usb3="00000000" w:csb0="00040001" w:csb1="00000000"/>
  </w:font>
  <w:font w:name="CG Times">
    <w:panose1 w:val="02020603050405020304"/>
    <w:charset w:val="00"/>
    <w:family w:val="auto"/>
    <w:pitch w:val="default"/>
    <w:sig w:usb0="00000000" w:usb1="00000000" w:usb2="00000000" w:usb3="00000000" w:csb0="00000093" w:csb1="00000000"/>
  </w:font>
  <w:font w:name="Segoe Print">
    <w:altName w:val="Verdana"/>
    <w:panose1 w:val="02000600000000000000"/>
    <w:charset w:val="00"/>
    <w:family w:val="auto"/>
    <w:pitch w:val="default"/>
    <w:sig w:usb0="00000000" w:usb1="00000000" w:usb2="00000000" w:usb3="00000000" w:csb0="2000009F" w:csb1="47010000"/>
  </w:font>
  <w:font w:name="Calibri CE">
    <w:altName w:val="Calibri"/>
    <w:panose1 w:val="00000000000000000000"/>
    <w:charset w:val="EE"/>
    <w:family w:val="modern"/>
    <w:pitch w:val="default"/>
    <w:sig w:usb0="00000000" w:usb1="00000000" w:usb2="00000000" w:usb3="00000000" w:csb0="00000002" w:csb1="00000000"/>
  </w:font>
  <w:font w:name="Calibri Cyr">
    <w:altName w:val="Calibri"/>
    <w:panose1 w:val="00000000000000000000"/>
    <w:charset w:val="CC"/>
    <w:family w:val="modern"/>
    <w:pitch w:val="default"/>
    <w:sig w:usb0="00000000" w:usb1="00000000" w:usb2="00000000" w:usb3="00000000" w:csb0="00000004" w:csb1="00000000"/>
  </w:font>
  <w:font w:name="Calibri Greek">
    <w:altName w:val="Calibri"/>
    <w:panose1 w:val="00000000000000000000"/>
    <w:charset w:val="A1"/>
    <w:family w:val="modern"/>
    <w:pitch w:val="default"/>
    <w:sig w:usb0="00000000" w:usb1="00000000" w:usb2="00000000" w:usb3="00000000" w:csb0="00000008" w:csb1="00000000"/>
  </w:font>
  <w:font w:name="Calibri Tur">
    <w:altName w:val="Calibri"/>
    <w:panose1 w:val="00000000000000000000"/>
    <w:charset w:val="A2"/>
    <w:family w:val="modern"/>
    <w:pitch w:val="default"/>
    <w:sig w:usb0="00000000" w:usb1="00000000" w:usb2="00000000" w:usb3="00000000" w:csb0="00000010" w:csb1="00000000"/>
  </w:font>
  <w:font w:name="Calibri Baltic">
    <w:altName w:val="Calibri"/>
    <w:panose1 w:val="00000000000000000000"/>
    <w:charset w:val="BA"/>
    <w:family w:val="modern"/>
    <w:pitch w:val="default"/>
    <w:sig w:usb0="00000000" w:usb1="00000000" w:usb2="00000000" w:usb3="00000000" w:csb0="00000080" w:csb1="00000000"/>
  </w:font>
  <w:font w:name="Calibri (Vietnamese)">
    <w:altName w:val="Calibri"/>
    <w:panose1 w:val="00000000000000000000"/>
    <w:charset w:val="A3"/>
    <w:family w:val="modern"/>
    <w:pitch w:val="default"/>
    <w:sig w:usb0="00000000" w:usb1="00000000" w:usb2="00000000" w:usb3="00000000" w:csb0="00000100" w:csb1="00000000"/>
  </w:font>
  <w:font w:name="·ÂËÎ Western">
    <w:altName w:val="Latha"/>
    <w:panose1 w:val="00000000000000000000"/>
    <w:charset w:val="00"/>
    <w:family w:val="roman"/>
    <w:pitch w:val="default"/>
    <w:sig w:usb0="00000000" w:usb1="00000000" w:usb2="00000000" w:usb3="00000000" w:csb0="00000001" w:csb1="00000000"/>
  </w:font>
  <w:font w:name="¿¬Ìå Western">
    <w:altName w:val="Latha"/>
    <w:panose1 w:val="00000000000000000000"/>
    <w:charset w:val="00"/>
    <w:family w:val="roman"/>
    <w:pitch w:val="default"/>
    <w:sig w:usb0="00000000" w:usb1="00000000" w:usb2="00000000" w:usb3="00000000" w:csb0="00000001" w:csb1="00000000"/>
  </w:font>
  <w:font w:name="Dotum">
    <w:panose1 w:val="020B0600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Dotum Western">
    <w:altName w:val="Dotum"/>
    <w:panose1 w:val="00000000000000000000"/>
    <w:charset w:val="00"/>
    <w:family w:val="modern"/>
    <w:pitch w:val="default"/>
    <w:sig w:usb0="00000000" w:usb1="00000000" w:usb2="00000000" w:usb3="00000000" w:csb0="00000001" w:csb1="00000000"/>
  </w:font>
  <w:font w:name="Dotum CE">
    <w:altName w:val="Dotum"/>
    <w:panose1 w:val="00000000000000000000"/>
    <w:charset w:val="EE"/>
    <w:family w:val="modern"/>
    <w:pitch w:val="default"/>
    <w:sig w:usb0="00000000" w:usb1="00000000" w:usb2="00000000" w:usb3="00000000" w:csb0="00000002" w:csb1="00000000"/>
  </w:font>
  <w:font w:name="Dotum Cyr">
    <w:altName w:val="Dotum"/>
    <w:panose1 w:val="00000000000000000000"/>
    <w:charset w:val="CC"/>
    <w:family w:val="modern"/>
    <w:pitch w:val="default"/>
    <w:sig w:usb0="00000000" w:usb1="00000000" w:usb2="00000000" w:usb3="00000000" w:csb0="00000004" w:csb1="00000000"/>
  </w:font>
  <w:font w:name="Dotum Greek">
    <w:altName w:val="Dotum"/>
    <w:panose1 w:val="00000000000000000000"/>
    <w:charset w:val="A1"/>
    <w:family w:val="modern"/>
    <w:pitch w:val="default"/>
    <w:sig w:usb0="00000000" w:usb1="00000000" w:usb2="00000000" w:usb3="00000000" w:csb0="00000008" w:csb1="00000000"/>
  </w:font>
  <w:font w:name="Dotum Tur">
    <w:altName w:val="Dotum"/>
    <w:panose1 w:val="00000000000000000000"/>
    <w:charset w:val="A2"/>
    <w:family w:val="modern"/>
    <w:pitch w:val="default"/>
    <w:sig w:usb0="00000000" w:usb1="00000000" w:usb2="00000000" w:usb3="00000000" w:csb0="00000010" w:csb1="00000000"/>
  </w:font>
  <w:font w:name="Dotum Baltic">
    <w:altName w:val="Dotum"/>
    <w:panose1 w:val="00000000000000000000"/>
    <w:charset w:val="BA"/>
    <w:family w:val="modern"/>
    <w:pitch w:val="default"/>
    <w:sig w:usb0="00000000" w:usb1="00000000" w:usb2="00000000" w:usb3="00000000" w:csb0="00000080" w:csb1="00000000"/>
  </w:font>
  <w:font w:name="STFangsong Western">
    <w:altName w:val="Latha"/>
    <w:panose1 w:val="00000000000000000000"/>
    <w:charset w:val="00"/>
    <w:family w:val="auto"/>
    <w:pitch w:val="default"/>
    <w:sig w:usb0="00000000" w:usb1="00000000" w:usb2="00000000" w:usb3="00000000" w:csb0="00000001" w:csb1="00000000"/>
  </w:font>
  <w:font w:name="STFangsong CE">
    <w:altName w:val="Latha"/>
    <w:panose1 w:val="00000000000000000000"/>
    <w:charset w:val="EE"/>
    <w:family w:val="auto"/>
    <w:pitch w:val="default"/>
    <w:sig w:usb0="00000000" w:usb1="00000000" w:usb2="00000000" w:usb3="00000000" w:csb0="00000002" w:csb1="00000000"/>
  </w:font>
  <w:font w:name="STFangsong Cyr">
    <w:altName w:val="Latha"/>
    <w:panose1 w:val="00000000000000000000"/>
    <w:charset w:val="CC"/>
    <w:family w:val="auto"/>
    <w:pitch w:val="default"/>
    <w:sig w:usb0="00000000" w:usb1="00000000" w:usb2="00000000" w:usb3="00000000" w:csb0="00000004" w:csb1="00000000"/>
  </w:font>
  <w:font w:name="STFangsong Greek">
    <w:altName w:val="Latha"/>
    <w:panose1 w:val="00000000000000000000"/>
    <w:charset w:val="A1"/>
    <w:family w:val="auto"/>
    <w:pitch w:val="default"/>
    <w:sig w:usb0="00000000" w:usb1="00000000" w:usb2="00000000" w:usb3="00000000" w:csb0="00000008" w:csb1="00000000"/>
  </w:font>
  <w:font w:name="STFangsong Tur">
    <w:altName w:val="Latha"/>
    <w:panose1 w:val="00000000000000000000"/>
    <w:charset w:val="A2"/>
    <w:family w:val="auto"/>
    <w:pitch w:val="default"/>
    <w:sig w:usb0="00000000" w:usb1="00000000" w:usb2="00000000" w:usb3="00000000" w:csb0="00000010" w:csb1="00000000"/>
  </w:font>
  <w:font w:name="STFangsong Baltic">
    <w:altName w:val="Latha"/>
    <w:panose1 w:val="00000000000000000000"/>
    <w:charset w:val="BA"/>
    <w:family w:val="auto"/>
    <w:pitch w:val="default"/>
    <w:sig w:usb0="00000000" w:usb1="00000000" w:usb2="00000000" w:usb3="00000000" w:csb0="00000080" w:csb1="00000000"/>
  </w:font>
  <w:font w:name="Latha">
    <w:panose1 w:val="02000400000000000000"/>
    <w:charset w:val="00"/>
    <w:family w:val="auto"/>
    <w:pitch w:val="default"/>
    <w:sig w:usb0="001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Calibri CE">
    <w:altName w:val="Calibri"/>
    <w:panose1 w:val="00000000000000000000"/>
    <w:charset w:val="EE"/>
    <w:family w:val="swiss"/>
    <w:pitch w:val="default"/>
    <w:sig w:usb0="00000000" w:usb1="00000000" w:usb2="00000000" w:usb3="00000000" w:csb0="00000002" w:csb1="00000000"/>
  </w:font>
  <w:font w:name="Calibri Cyr">
    <w:altName w:val="Calibri"/>
    <w:panose1 w:val="00000000000000000000"/>
    <w:charset w:val="CC"/>
    <w:family w:val="swiss"/>
    <w:pitch w:val="default"/>
    <w:sig w:usb0="00000000" w:usb1="00000000" w:usb2="00000000" w:usb3="00000000" w:csb0="00000004" w:csb1="00000000"/>
  </w:font>
  <w:font w:name="Calibri Greek">
    <w:altName w:val="Calibri"/>
    <w:panose1 w:val="00000000000000000000"/>
    <w:charset w:val="A1"/>
    <w:family w:val="swiss"/>
    <w:pitch w:val="default"/>
    <w:sig w:usb0="00000000" w:usb1="00000000" w:usb2="00000000" w:usb3="00000000" w:csb0="00000008" w:csb1="00000000"/>
  </w:font>
  <w:font w:name="Calibri Tur">
    <w:altName w:val="Calibri"/>
    <w:panose1 w:val="00000000000000000000"/>
    <w:charset w:val="A2"/>
    <w:family w:val="swiss"/>
    <w:pitch w:val="default"/>
    <w:sig w:usb0="00000000" w:usb1="00000000" w:usb2="00000000" w:usb3="00000000" w:csb0="00000010" w:csb1="00000000"/>
  </w:font>
  <w:font w:name="Calibri Baltic">
    <w:altName w:val="Calibri"/>
    <w:panose1 w:val="00000000000000000000"/>
    <w:charset w:val="BA"/>
    <w:family w:val="swiss"/>
    <w:pitch w:val="default"/>
    <w:sig w:usb0="00000000" w:usb1="00000000" w:usb2="00000000" w:usb3="00000000" w:csb0="00000080" w:csb1="00000000"/>
  </w:font>
  <w:font w:name="Calibri (Vietnamese)">
    <w:altName w:val="Calibri"/>
    <w:panose1 w:val="00000000000000000000"/>
    <w:charset w:val="A3"/>
    <w:family w:val="swiss"/>
    <w:pitch w:val="default"/>
    <w:sig w:usb0="00000000" w:usb1="00000000" w:usb2="00000000" w:usb3="00000000" w:csb0="00000100" w:csb1="00000000"/>
  </w:font>
  <w:font w:name="·ÂËÎ Western">
    <w:altName w:val="Latha"/>
    <w:panose1 w:val="00000000000000000000"/>
    <w:charset w:val="00"/>
    <w:family w:val="modern"/>
    <w:pitch w:val="default"/>
    <w:sig w:usb0="00000000" w:usb1="00000000" w:usb2="00000000" w:usb3="00000000" w:csb0="00000001" w:csb1="00000000"/>
  </w:font>
  <w:font w:name="¿¬Ìå Western">
    <w:altName w:val="Latha"/>
    <w:panose1 w:val="00000000000000000000"/>
    <w:charset w:val="00"/>
    <w:family w:val="modern"/>
    <w:pitch w:val="default"/>
    <w:sig w:usb0="00000000" w:usb1="00000000" w:usb2="00000000" w:usb3="00000000" w:csb0="00000001" w:csb1="00000000"/>
  </w:font>
  <w:font w:name="Dotum">
    <w:panose1 w:val="020B0600000101010101"/>
    <w:charset w:val="81"/>
    <w:family w:val="swiss"/>
    <w:pitch w:val="default"/>
    <w:sig w:usb0="B00002AF" w:usb1="69D77CFB" w:usb2="00000030" w:usb3="00000000" w:csb0="4008009F" w:csb1="DFD70000"/>
  </w:font>
  <w:font w:name="Dotum Western">
    <w:altName w:val="Dotum"/>
    <w:panose1 w:val="00000000000000000000"/>
    <w:charset w:val="00"/>
    <w:family w:val="swiss"/>
    <w:pitch w:val="default"/>
    <w:sig w:usb0="00000000" w:usb1="00000000" w:usb2="00000000" w:usb3="00000000" w:csb0="00000001" w:csb1="00000000"/>
  </w:font>
  <w:font w:name="Dotum CE">
    <w:altName w:val="Dotum"/>
    <w:panose1 w:val="00000000000000000000"/>
    <w:charset w:val="EE"/>
    <w:family w:val="swiss"/>
    <w:pitch w:val="default"/>
    <w:sig w:usb0="00000000" w:usb1="00000000" w:usb2="00000000" w:usb3="00000000" w:csb0="00000002" w:csb1="00000000"/>
  </w:font>
  <w:font w:name="Dotum Cyr">
    <w:altName w:val="Dotum"/>
    <w:panose1 w:val="00000000000000000000"/>
    <w:charset w:val="CC"/>
    <w:family w:val="swiss"/>
    <w:pitch w:val="default"/>
    <w:sig w:usb0="00000000" w:usb1="00000000" w:usb2="00000000" w:usb3="00000000" w:csb0="00000004" w:csb1="00000000"/>
  </w:font>
  <w:font w:name="Dotum Greek">
    <w:altName w:val="Dotum"/>
    <w:panose1 w:val="00000000000000000000"/>
    <w:charset w:val="A1"/>
    <w:family w:val="swiss"/>
    <w:pitch w:val="default"/>
    <w:sig w:usb0="00000000" w:usb1="00000000" w:usb2="00000000" w:usb3="00000000" w:csb0="00000008" w:csb1="00000000"/>
  </w:font>
  <w:font w:name="Dotum Tur">
    <w:altName w:val="Dotum"/>
    <w:panose1 w:val="00000000000000000000"/>
    <w:charset w:val="A2"/>
    <w:family w:val="swiss"/>
    <w:pitch w:val="default"/>
    <w:sig w:usb0="00000000" w:usb1="00000000" w:usb2="00000000" w:usb3="00000000" w:csb0="00000010" w:csb1="00000000"/>
  </w:font>
  <w:font w:name="Dotum Baltic">
    <w:altName w:val="Dotum"/>
    <w:panose1 w:val="00000000000000000000"/>
    <w:charset w:val="BA"/>
    <w:family w:val="swiss"/>
    <w:pitch w:val="default"/>
    <w:sig w:usb0="00000000" w:usb1="00000000" w:usb2="00000000" w:usb3="00000000" w:csb0="00000080" w:csb1="00000000"/>
  </w:font>
  <w:font w:name="Calibri CE">
    <w:altName w:val="Calibri"/>
    <w:panose1 w:val="00000000000000000000"/>
    <w:charset w:val="EE"/>
    <w:family w:val="decorative"/>
    <w:pitch w:val="default"/>
    <w:sig w:usb0="00000000" w:usb1="00000000" w:usb2="00000000" w:usb3="00000000" w:csb0="00000002" w:csb1="00000000"/>
  </w:font>
  <w:font w:name="Calibri Cyr">
    <w:altName w:val="Calibri"/>
    <w:panose1 w:val="00000000000000000000"/>
    <w:charset w:val="CC"/>
    <w:family w:val="decorative"/>
    <w:pitch w:val="default"/>
    <w:sig w:usb0="00000000" w:usb1="00000000" w:usb2="00000000" w:usb3="00000000" w:csb0="00000004" w:csb1="00000000"/>
  </w:font>
  <w:font w:name="Calibri Greek">
    <w:altName w:val="Calibri"/>
    <w:panose1 w:val="00000000000000000000"/>
    <w:charset w:val="A1"/>
    <w:family w:val="decorative"/>
    <w:pitch w:val="default"/>
    <w:sig w:usb0="00000000" w:usb1="00000000" w:usb2="00000000" w:usb3="00000000" w:csb0="00000008" w:csb1="00000000"/>
  </w:font>
  <w:font w:name="Calibri Tur">
    <w:altName w:val="Calibri"/>
    <w:panose1 w:val="00000000000000000000"/>
    <w:charset w:val="A2"/>
    <w:family w:val="decorative"/>
    <w:pitch w:val="default"/>
    <w:sig w:usb0="00000000" w:usb1="00000000" w:usb2="00000000" w:usb3="00000000" w:csb0="00000010" w:csb1="00000000"/>
  </w:font>
  <w:font w:name="Calibri Baltic">
    <w:altName w:val="Calibri"/>
    <w:panose1 w:val="00000000000000000000"/>
    <w:charset w:val="BA"/>
    <w:family w:val="decorative"/>
    <w:pitch w:val="default"/>
    <w:sig w:usb0="00000000" w:usb1="00000000" w:usb2="00000000" w:usb3="00000000" w:csb0="00000080" w:csb1="00000000"/>
  </w:font>
  <w:font w:name="Calibri (Vietnamese)">
    <w:altName w:val="Calibri"/>
    <w:panose1 w:val="00000000000000000000"/>
    <w:charset w:val="A3"/>
    <w:family w:val="decorative"/>
    <w:pitch w:val="default"/>
    <w:sig w:usb0="00000000" w:usb1="00000000" w:usb2="00000000" w:usb3="00000000" w:csb0="00000100" w:csb1="00000000"/>
  </w:font>
  <w:font w:name="·ÂËÎ Western">
    <w:altName w:val="Latha"/>
    <w:panose1 w:val="00000000000000000000"/>
    <w:charset w:val="00"/>
    <w:family w:val="swiss"/>
    <w:pitch w:val="default"/>
    <w:sig w:usb0="00000000" w:usb1="00000000" w:usb2="00000000" w:usb3="00000000" w:csb0="00000001" w:csb1="00000000"/>
  </w:font>
  <w:font w:name="¿¬Ìå Western">
    <w:altName w:val="Latha"/>
    <w:panose1 w:val="00000000000000000000"/>
    <w:charset w:val="00"/>
    <w:family w:val="swiss"/>
    <w:pitch w:val="default"/>
    <w:sig w:usb0="00000000" w:usb1="00000000" w:usb2="00000000" w:usb3="00000000" w:csb0="00000001" w:csb1="00000000"/>
  </w:font>
  <w:font w:name="Dotum">
    <w:panose1 w:val="020B0600000101010101"/>
    <w:charset w:val="81"/>
    <w:family w:val="decorative"/>
    <w:pitch w:val="default"/>
    <w:sig w:usb0="B00002AF" w:usb1="69D77CFB" w:usb2="00000030" w:usb3="00000000" w:csb0="4008009F" w:csb1="DFD70000"/>
  </w:font>
  <w:font w:name="Dotum Western">
    <w:altName w:val="Dotum"/>
    <w:panose1 w:val="00000000000000000000"/>
    <w:charset w:val="00"/>
    <w:family w:val="decorative"/>
    <w:pitch w:val="default"/>
    <w:sig w:usb0="00000000" w:usb1="00000000" w:usb2="00000000" w:usb3="00000000" w:csb0="00000001" w:csb1="00000000"/>
  </w:font>
  <w:font w:name="Dotum CE">
    <w:altName w:val="Dotum"/>
    <w:panose1 w:val="00000000000000000000"/>
    <w:charset w:val="EE"/>
    <w:family w:val="decorative"/>
    <w:pitch w:val="default"/>
    <w:sig w:usb0="00000000" w:usb1="00000000" w:usb2="00000000" w:usb3="00000000" w:csb0="00000002" w:csb1="00000000"/>
  </w:font>
  <w:font w:name="Dotum Cyr">
    <w:altName w:val="Dotum"/>
    <w:panose1 w:val="00000000000000000000"/>
    <w:charset w:val="CC"/>
    <w:family w:val="decorative"/>
    <w:pitch w:val="default"/>
    <w:sig w:usb0="00000000" w:usb1="00000000" w:usb2="00000000" w:usb3="00000000" w:csb0="00000004" w:csb1="00000000"/>
  </w:font>
  <w:font w:name="Dotum Greek">
    <w:altName w:val="Dotum"/>
    <w:panose1 w:val="00000000000000000000"/>
    <w:charset w:val="A1"/>
    <w:family w:val="decorative"/>
    <w:pitch w:val="default"/>
    <w:sig w:usb0="00000000" w:usb1="00000000" w:usb2="00000000" w:usb3="00000000" w:csb0="00000008" w:csb1="00000000"/>
  </w:font>
  <w:font w:name="Dotum Tur">
    <w:altName w:val="Dotum"/>
    <w:panose1 w:val="00000000000000000000"/>
    <w:charset w:val="A2"/>
    <w:family w:val="decorative"/>
    <w:pitch w:val="default"/>
    <w:sig w:usb0="00000000" w:usb1="00000000" w:usb2="00000000" w:usb3="00000000" w:csb0="00000010" w:csb1="00000000"/>
  </w:font>
  <w:font w:name="Dotum Baltic">
    <w:altName w:val="Dotum"/>
    <w:panose1 w:val="00000000000000000000"/>
    <w:charset w:val="BA"/>
    <w:family w:val="decorative"/>
    <w:pitch w:val="default"/>
    <w:sig w:usb0="00000000" w:usb1="00000000" w:usb2="00000000" w:usb3="00000000" w:csb0="00000080" w:csb1="00000000"/>
  </w:font>
  <w:font w:name="Calibri CE">
    <w:altName w:val="Calibri"/>
    <w:panose1 w:val="00000000000000000000"/>
    <w:charset w:val="EE"/>
    <w:family w:val="roman"/>
    <w:pitch w:val="default"/>
    <w:sig w:usb0="00000000" w:usb1="00000000" w:usb2="00000000" w:usb3="00000000" w:csb0="00000002" w:csb1="00000000"/>
  </w:font>
  <w:font w:name="Calibri Cyr">
    <w:altName w:val="Calibri"/>
    <w:panose1 w:val="00000000000000000000"/>
    <w:charset w:val="CC"/>
    <w:family w:val="roman"/>
    <w:pitch w:val="default"/>
    <w:sig w:usb0="00000000" w:usb1="00000000" w:usb2="00000000" w:usb3="00000000" w:csb0="00000004" w:csb1="00000000"/>
  </w:font>
  <w:font w:name="Calibri Greek">
    <w:altName w:val="Calibri"/>
    <w:panose1 w:val="00000000000000000000"/>
    <w:charset w:val="A1"/>
    <w:family w:val="roman"/>
    <w:pitch w:val="default"/>
    <w:sig w:usb0="00000000" w:usb1="00000000" w:usb2="00000000" w:usb3="00000000" w:csb0="00000008" w:csb1="00000000"/>
  </w:font>
  <w:font w:name="Calibri Tur">
    <w:altName w:val="Calibri"/>
    <w:panose1 w:val="00000000000000000000"/>
    <w:charset w:val="A2"/>
    <w:family w:val="roman"/>
    <w:pitch w:val="default"/>
    <w:sig w:usb0="00000000" w:usb1="00000000" w:usb2="00000000" w:usb3="00000000" w:csb0="00000010" w:csb1="00000000"/>
  </w:font>
  <w:font w:name="Calibri Baltic">
    <w:altName w:val="Calibri"/>
    <w:panose1 w:val="00000000000000000000"/>
    <w:charset w:val="BA"/>
    <w:family w:val="roman"/>
    <w:pitch w:val="default"/>
    <w:sig w:usb0="00000000" w:usb1="00000000" w:usb2="00000000" w:usb3="00000000" w:csb0="00000080" w:csb1="00000000"/>
  </w:font>
  <w:font w:name="Calibri (Vietnamese)">
    <w:altName w:val="Calibri"/>
    <w:panose1 w:val="00000000000000000000"/>
    <w:charset w:val="A3"/>
    <w:family w:val="roman"/>
    <w:pitch w:val="default"/>
    <w:sig w:usb0="00000000" w:usb1="00000000" w:usb2="00000000" w:usb3="00000000" w:csb0="00000100" w:csb1="00000000"/>
  </w:font>
  <w:font w:name="·ÂËÎ Western">
    <w:altName w:val="Latha"/>
    <w:panose1 w:val="00000000000000000000"/>
    <w:charset w:val="00"/>
    <w:family w:val="decorative"/>
    <w:pitch w:val="default"/>
    <w:sig w:usb0="00000000" w:usb1="00000000" w:usb2="00000000" w:usb3="00000000" w:csb0="00000001" w:csb1="00000000"/>
  </w:font>
  <w:font w:name="¿¬Ìå Western">
    <w:altName w:val="Latha"/>
    <w:panose1 w:val="00000000000000000000"/>
    <w:charset w:val="00"/>
    <w:family w:val="decorative"/>
    <w:pitch w:val="default"/>
    <w:sig w:usb0="00000000" w:usb1="00000000" w:usb2="00000000" w:usb3="00000000" w:csb0="00000001" w:csb1="00000000"/>
  </w:font>
  <w:font w:name="Dotum">
    <w:panose1 w:val="020B0600000101010101"/>
    <w:charset w:val="81"/>
    <w:family w:val="roman"/>
    <w:pitch w:val="default"/>
    <w:sig w:usb0="B00002AF" w:usb1="69D77CFB" w:usb2="00000030" w:usb3="00000000" w:csb0="4008009F" w:csb1="DFD70000"/>
  </w:font>
  <w:font w:name="Dotum Western">
    <w:altName w:val="Dotum"/>
    <w:panose1 w:val="00000000000000000000"/>
    <w:charset w:val="00"/>
    <w:family w:val="roman"/>
    <w:pitch w:val="default"/>
    <w:sig w:usb0="00000000" w:usb1="00000000" w:usb2="00000000" w:usb3="00000000" w:csb0="00000001" w:csb1="00000000"/>
  </w:font>
  <w:font w:name="Dotum CE">
    <w:altName w:val="Dotum"/>
    <w:panose1 w:val="00000000000000000000"/>
    <w:charset w:val="EE"/>
    <w:family w:val="roman"/>
    <w:pitch w:val="default"/>
    <w:sig w:usb0="00000000" w:usb1="00000000" w:usb2="00000000" w:usb3="00000000" w:csb0="00000002" w:csb1="00000000"/>
  </w:font>
  <w:font w:name="Dotum Cyr">
    <w:altName w:val="Dotum"/>
    <w:panose1 w:val="00000000000000000000"/>
    <w:charset w:val="CC"/>
    <w:family w:val="roman"/>
    <w:pitch w:val="default"/>
    <w:sig w:usb0="00000000" w:usb1="00000000" w:usb2="00000000" w:usb3="00000000" w:csb0="00000004" w:csb1="00000000"/>
  </w:font>
  <w:font w:name="Dotum Greek">
    <w:altName w:val="Dotum"/>
    <w:panose1 w:val="00000000000000000000"/>
    <w:charset w:val="A1"/>
    <w:family w:val="roman"/>
    <w:pitch w:val="default"/>
    <w:sig w:usb0="00000000" w:usb1="00000000" w:usb2="00000000" w:usb3="00000000" w:csb0="00000008" w:csb1="00000000"/>
  </w:font>
  <w:font w:name="Dotum Tur">
    <w:altName w:val="Dotum"/>
    <w:panose1 w:val="00000000000000000000"/>
    <w:charset w:val="A2"/>
    <w:family w:val="roman"/>
    <w:pitch w:val="default"/>
    <w:sig w:usb0="00000000" w:usb1="00000000" w:usb2="00000000" w:usb3="00000000" w:csb0="00000010" w:csb1="00000000"/>
  </w:font>
  <w:font w:name="Dotum Baltic">
    <w:altName w:val="Dotum"/>
    <w:panose1 w:val="00000000000000000000"/>
    <w:charset w:val="BA"/>
    <w:family w:val="roman"/>
    <w:pitch w:val="default"/>
    <w:sig w:usb0="00000000" w:usb1="00000000" w:usb2="00000000" w:usb3="00000000" w:csb0="0000008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5106851">
    <w:nsid w:val="5B7FDF23"/>
    <w:multiLevelType w:val="singleLevel"/>
    <w:tmpl w:val="5B7FDF23"/>
    <w:lvl w:ilvl="0" w:tentative="1">
      <w:start w:val="1"/>
      <w:numFmt w:val="chineseCounting"/>
      <w:suff w:val="nothing"/>
      <w:lvlText w:val="%1、"/>
      <w:lvlJc w:val="left"/>
    </w:lvl>
  </w:abstractNum>
  <w:abstractNum w:abstractNumId="1536123831">
    <w:nsid w:val="5B8F63B7"/>
    <w:multiLevelType w:val="singleLevel"/>
    <w:tmpl w:val="5B8F63B7"/>
    <w:lvl w:ilvl="0" w:tentative="1">
      <w:start w:val="1"/>
      <w:numFmt w:val="decimal"/>
      <w:suff w:val="nothing"/>
      <w:lvlText w:val="%1."/>
      <w:lvlJc w:val="left"/>
    </w:lvl>
  </w:abstractNum>
  <w:abstractNum w:abstractNumId="1536123992">
    <w:nsid w:val="5B8F6458"/>
    <w:multiLevelType w:val="singleLevel"/>
    <w:tmpl w:val="5B8F6458"/>
    <w:lvl w:ilvl="0" w:tentative="1">
      <w:start w:val="4"/>
      <w:numFmt w:val="decimal"/>
      <w:suff w:val="nothing"/>
      <w:lvlText w:val="%1."/>
      <w:lvlJc w:val="left"/>
    </w:lvl>
  </w:abstractNum>
  <w:num w:numId="1">
    <w:abstractNumId w:val="1535106851"/>
  </w:num>
  <w:num w:numId="2">
    <w:abstractNumId w:val="1536123831"/>
  </w:num>
  <w:num w:numId="3">
    <w:abstractNumId w:val="15361239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5670A"/>
    <w:rsid w:val="00021BD8"/>
    <w:rsid w:val="000E6FE3"/>
    <w:rsid w:val="001B4949"/>
    <w:rsid w:val="0050344C"/>
    <w:rsid w:val="005B0046"/>
    <w:rsid w:val="006F2FA6"/>
    <w:rsid w:val="00731B37"/>
    <w:rsid w:val="007C484B"/>
    <w:rsid w:val="007F6C08"/>
    <w:rsid w:val="00826537"/>
    <w:rsid w:val="00854D1D"/>
    <w:rsid w:val="0088535E"/>
    <w:rsid w:val="008D6DF9"/>
    <w:rsid w:val="00A400D9"/>
    <w:rsid w:val="00AA4F83"/>
    <w:rsid w:val="00B608D8"/>
    <w:rsid w:val="00B6518E"/>
    <w:rsid w:val="00B84632"/>
    <w:rsid w:val="00BC77BF"/>
    <w:rsid w:val="00C13282"/>
    <w:rsid w:val="00CC2E01"/>
    <w:rsid w:val="00D72AE9"/>
    <w:rsid w:val="00EC6737"/>
    <w:rsid w:val="02F45E67"/>
    <w:rsid w:val="03D8652A"/>
    <w:rsid w:val="04B17441"/>
    <w:rsid w:val="08822685"/>
    <w:rsid w:val="099D0853"/>
    <w:rsid w:val="0D375B3C"/>
    <w:rsid w:val="0E6E0868"/>
    <w:rsid w:val="0F444C86"/>
    <w:rsid w:val="10D26327"/>
    <w:rsid w:val="18542BF6"/>
    <w:rsid w:val="20D81670"/>
    <w:rsid w:val="221413F8"/>
    <w:rsid w:val="229628CB"/>
    <w:rsid w:val="24D50BFC"/>
    <w:rsid w:val="29B53FFD"/>
    <w:rsid w:val="2A343ACB"/>
    <w:rsid w:val="2E136AA5"/>
    <w:rsid w:val="314C4FED"/>
    <w:rsid w:val="33616C57"/>
    <w:rsid w:val="36013D27"/>
    <w:rsid w:val="37A80BE0"/>
    <w:rsid w:val="37D416A4"/>
    <w:rsid w:val="386B671F"/>
    <w:rsid w:val="3AA75B57"/>
    <w:rsid w:val="448239F1"/>
    <w:rsid w:val="44FD7A6B"/>
    <w:rsid w:val="515A6B83"/>
    <w:rsid w:val="54160B7B"/>
    <w:rsid w:val="56B00CC9"/>
    <w:rsid w:val="5D0E0CB8"/>
    <w:rsid w:val="69FD3A6F"/>
    <w:rsid w:val="6BF07722"/>
    <w:rsid w:val="6D535020"/>
    <w:rsid w:val="6F073538"/>
    <w:rsid w:val="791407B4"/>
    <w:rsid w:val="795C1E27"/>
    <w:rsid w:val="7A6F776C"/>
    <w:rsid w:val="7A831485"/>
    <w:rsid w:val="7D0567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17</Pages>
  <Words>7171</Words>
  <Characters>982</Characters>
  <Lines>8</Lines>
  <Paragraphs>16</Paragraphs>
  <ScaleCrop>false</ScaleCrop>
  <LinksUpToDate>false</LinksUpToDate>
  <CharactersWithSpaces>8137</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Administrator</cp:lastModifiedBy>
  <dcterms:modified xsi:type="dcterms:W3CDTF">2018-09-05T05:58:05Z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