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国家税务总局石河子税务局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税务局概况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/>
          <w:b/>
          <w:bCs w:val="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税务局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（一）负责贯彻执行党的路线、方针、政策，加强党的全面领导，履行全面从严治党责任，负责党的建设和思想政治建设工作。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（二）负责贯彻执行税收、社会保险费和有关非税收入法律、法规、规章和规范性文件，研究制定具体实施办法。组织落实国家规定的税收优惠政策。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三）负责研究拟定本系统税收、社会保险费和有关非税收入中长期规划，参与拟定税收、社会保险费和有关非税收入预算目标并依法组织实施。负责本系统税收、社会保险费和有关非税收入的会统核算工作。组织开展收入分析预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（四）负责开展税收经济分析和税收政策效应分析，为国家税务总局新疆维吾尔自治区税务局和地方党委、政府提供决策参考。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（五）负责所辖区域内各项税收、社会保险费和有关非税收入征收管理。组织实施税（费）源监控和风险管理，加强大企业和自然人税收管理。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六）负责组织实施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（七）负责所辖区域内国际税收和进出口税收管理工作，组织反避税调查和出口退税事项办理。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（八）负责组织实施所辖区域内税务稽查和社会保险费、有关非税收入检查工作。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（九）负责增值税专用发票、普通发票和其他各类发票管理。负责税收、社会保险费和有关非税收入票证管理。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（十）负责组织实施本系统各项税收、社会保险费和有关非税收入征管信息化建设和数据治理工作。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（十一）负责本系统内部控制机制建设工作，开展对本系统贯彻执行党中央、国务院重大决策及上级工作部署情况的督查督办，组织实施税收执法督察。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（十二）负责本系统基层建设和干部队伍建设工作，加强领导班子和后备干部队伍建设，承担税务人才培养和干部教育培训工作。负责本系统绩效管理和干部考核工作。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（十三）负责本系统机构、编制、经费和资产管理工作。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（十四）完成国家税务总局新疆维吾尔自治区税务局和地方党委、政府交办的其他工作。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>
      <w:pPr>
        <w:pStyle w:val="27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从预算单位构成看，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/>
          <w:sz w:val="32"/>
          <w:szCs w:val="32"/>
        </w:rPr>
        <w:t>系统的部门预算包括：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家预算单位在内的汇总预算。</w:t>
      </w:r>
      <w:r>
        <w:rPr>
          <w:sz w:val="32"/>
          <w:szCs w:val="32"/>
        </w:rPr>
        <w:t xml:space="preserve"> </w:t>
      </w:r>
    </w:p>
    <w:p>
      <w:pPr>
        <w:pStyle w:val="27"/>
        <w:snapToGrid w:val="0"/>
        <w:spacing w:line="600" w:lineRule="exact"/>
        <w:ind w:firstLine="640" w:firstLineChars="200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税务局</w:t>
      </w:r>
      <w:r>
        <w:rPr>
          <w:rFonts w:hint="eastAsia"/>
          <w:color w:val="auto"/>
          <w:sz w:val="32"/>
          <w:szCs w:val="32"/>
        </w:rPr>
        <w:t>，设</w:t>
      </w:r>
      <w:r>
        <w:rPr>
          <w:rFonts w:hint="eastAsia"/>
          <w:color w:val="auto"/>
          <w:sz w:val="32"/>
          <w:szCs w:val="32"/>
          <w:lang w:val="en-US" w:eastAsia="zh-CN"/>
        </w:rPr>
        <w:t>18</w:t>
      </w:r>
      <w:r>
        <w:rPr>
          <w:rFonts w:hint="eastAsia"/>
          <w:color w:val="auto"/>
          <w:sz w:val="32"/>
          <w:szCs w:val="32"/>
        </w:rPr>
        <w:t>个内设机构、2个派出机构、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个事业单位</w:t>
      </w:r>
      <w:r>
        <w:rPr>
          <w:rFonts w:hint="eastAsia"/>
          <w:color w:val="auto"/>
          <w:sz w:val="32"/>
          <w:szCs w:val="32"/>
          <w:lang w:val="en-US" w:eastAsia="zh-CN"/>
        </w:rPr>
        <w:t>,</w:t>
      </w:r>
      <w:r>
        <w:rPr>
          <w:rFonts w:hint="eastAsia"/>
          <w:color w:val="auto"/>
          <w:sz w:val="32"/>
          <w:szCs w:val="32"/>
          <w:lang w:eastAsia="zh-CN"/>
        </w:rPr>
        <w:t>级别均为正科级。</w:t>
      </w:r>
    </w:p>
    <w:p>
      <w:pPr>
        <w:pStyle w:val="27"/>
        <w:snapToGrid w:val="0"/>
        <w:spacing w:line="600" w:lineRule="exact"/>
        <w:ind w:firstLine="643" w:firstLineChars="200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（一）内设机构</w:t>
      </w:r>
      <w:r>
        <w:rPr>
          <w:rFonts w:hint="eastAsia"/>
          <w:color w:val="auto"/>
          <w:sz w:val="32"/>
          <w:szCs w:val="32"/>
        </w:rPr>
        <w:t>：办公室、</w:t>
      </w:r>
      <w:r>
        <w:rPr>
          <w:rFonts w:hint="eastAsia"/>
          <w:color w:val="auto"/>
          <w:sz w:val="32"/>
          <w:szCs w:val="32"/>
          <w:lang w:eastAsia="zh-CN"/>
        </w:rPr>
        <w:t>法制科</w:t>
      </w:r>
      <w:r>
        <w:rPr>
          <w:rFonts w:hint="eastAsia"/>
          <w:color w:val="auto"/>
          <w:sz w:val="32"/>
          <w:szCs w:val="32"/>
        </w:rPr>
        <w:t>、货物和劳务税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  <w:lang w:val="en-US" w:eastAsia="zh-CN"/>
        </w:rPr>
        <w:t>、</w:t>
      </w:r>
      <w:r>
        <w:rPr>
          <w:rFonts w:hint="eastAsia"/>
          <w:color w:val="auto"/>
          <w:sz w:val="32"/>
          <w:szCs w:val="32"/>
        </w:rPr>
        <w:t>企业所得税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</w:rPr>
        <w:t>、个人所得税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</w:rPr>
        <w:t>、财产和行为税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</w:rPr>
        <w:t>、社会保险费</w:t>
      </w:r>
      <w:r>
        <w:rPr>
          <w:rFonts w:hint="eastAsia"/>
          <w:color w:val="auto"/>
          <w:sz w:val="32"/>
          <w:szCs w:val="32"/>
          <w:lang w:eastAsia="zh-CN"/>
        </w:rPr>
        <w:t>和</w:t>
      </w:r>
      <w:r>
        <w:rPr>
          <w:rFonts w:hint="eastAsia"/>
          <w:color w:val="auto"/>
          <w:sz w:val="32"/>
          <w:szCs w:val="32"/>
        </w:rPr>
        <w:t>非税收入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</w:rPr>
        <w:t>、收入核算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</w:rPr>
        <w:t>、纳税服务</w:t>
      </w:r>
      <w:r>
        <w:rPr>
          <w:rFonts w:hint="eastAsia"/>
          <w:color w:val="auto"/>
          <w:sz w:val="32"/>
          <w:szCs w:val="32"/>
          <w:lang w:eastAsia="zh-CN"/>
        </w:rPr>
        <w:t>科（纳税服务中心）</w:t>
      </w:r>
      <w:r>
        <w:rPr>
          <w:rFonts w:hint="eastAsia"/>
          <w:color w:val="auto"/>
          <w:sz w:val="32"/>
          <w:szCs w:val="32"/>
        </w:rPr>
        <w:t>、征</w:t>
      </w:r>
      <w:r>
        <w:rPr>
          <w:rFonts w:hint="eastAsia"/>
          <w:color w:val="auto"/>
          <w:sz w:val="32"/>
          <w:szCs w:val="32"/>
          <w:lang w:eastAsia="zh-CN"/>
        </w:rPr>
        <w:t>收管理科</w:t>
      </w:r>
      <w:r>
        <w:rPr>
          <w:rFonts w:hint="eastAsia"/>
          <w:color w:val="auto"/>
          <w:sz w:val="32"/>
          <w:szCs w:val="32"/>
        </w:rPr>
        <w:t>、税收经济分析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</w:rPr>
        <w:t>、税收风险管理局、财务管理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</w:rPr>
        <w:t>、人事</w:t>
      </w:r>
      <w:r>
        <w:rPr>
          <w:rFonts w:hint="eastAsia"/>
          <w:color w:val="auto"/>
          <w:sz w:val="32"/>
          <w:szCs w:val="32"/>
          <w:lang w:eastAsia="zh-CN"/>
        </w:rPr>
        <w:t>教育科</w:t>
      </w:r>
      <w:r>
        <w:rPr>
          <w:rFonts w:hint="eastAsia"/>
          <w:color w:val="auto"/>
          <w:sz w:val="32"/>
          <w:szCs w:val="32"/>
        </w:rPr>
        <w:t>、考核考评</w:t>
      </w:r>
      <w:r>
        <w:rPr>
          <w:rFonts w:hint="eastAsia"/>
          <w:color w:val="auto"/>
          <w:sz w:val="32"/>
          <w:szCs w:val="32"/>
          <w:lang w:eastAsia="zh-CN"/>
        </w:rPr>
        <w:t>科</w:t>
      </w:r>
      <w:r>
        <w:rPr>
          <w:rFonts w:hint="eastAsia"/>
          <w:color w:val="auto"/>
          <w:sz w:val="32"/>
          <w:szCs w:val="32"/>
        </w:rPr>
        <w:t>、</w:t>
      </w:r>
      <w:r>
        <w:rPr>
          <w:rFonts w:hint="eastAsia"/>
          <w:color w:val="auto"/>
          <w:sz w:val="32"/>
          <w:szCs w:val="32"/>
          <w:lang w:eastAsia="zh-CN"/>
        </w:rPr>
        <w:t>系统党建工作科（机关党委）、纪检组、老干部科</w:t>
      </w:r>
      <w:r>
        <w:rPr>
          <w:rFonts w:hint="eastAsia"/>
          <w:color w:val="auto"/>
          <w:sz w:val="32"/>
          <w:szCs w:val="32"/>
        </w:rPr>
        <w:t>。</w:t>
      </w:r>
    </w:p>
    <w:p>
      <w:pPr>
        <w:pStyle w:val="27"/>
        <w:snapToGrid w:val="0"/>
        <w:spacing w:line="60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：第一税务分局（</w:t>
      </w:r>
      <w:r>
        <w:rPr>
          <w:rFonts w:hint="eastAsia"/>
          <w:sz w:val="32"/>
          <w:szCs w:val="32"/>
          <w:lang w:eastAsia="zh-CN"/>
        </w:rPr>
        <w:t>重点税源企业税收服务和管理局</w:t>
      </w:r>
      <w:r>
        <w:rPr>
          <w:rFonts w:hint="eastAsia"/>
          <w:sz w:val="32"/>
          <w:szCs w:val="32"/>
        </w:rPr>
        <w:t>）、稽查局。</w:t>
      </w:r>
    </w:p>
    <w:p>
      <w:pPr>
        <w:pStyle w:val="27"/>
        <w:snapToGrid w:val="0"/>
        <w:spacing w:line="600" w:lineRule="exact"/>
        <w:ind w:firstLine="643" w:firstLineChars="200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</w:rPr>
        <w:t>（三）事业单位</w:t>
      </w:r>
      <w:r>
        <w:rPr>
          <w:rFonts w:hint="eastAsia"/>
          <w:color w:val="auto"/>
          <w:sz w:val="32"/>
          <w:szCs w:val="32"/>
        </w:rPr>
        <w:t>：机关服务中心</w:t>
      </w:r>
      <w:r>
        <w:rPr>
          <w:rFonts w:hint="eastAsia"/>
          <w:color w:val="auto"/>
          <w:sz w:val="32"/>
          <w:szCs w:val="32"/>
          <w:lang w:eastAsia="zh-CN"/>
        </w:rPr>
        <w:t>、信息中心。</w:t>
      </w:r>
    </w:p>
    <w:p>
      <w:pPr>
        <w:pStyle w:val="27"/>
        <w:snapToGrid w:val="0"/>
        <w:spacing w:line="60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（四）所属机构</w:t>
      </w:r>
    </w:p>
    <w:p>
      <w:pPr>
        <w:pStyle w:val="27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国家税务总局石河子税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务局</w:t>
      </w:r>
      <w:r>
        <w:rPr>
          <w:rFonts w:hint="eastAsia"/>
          <w:sz w:val="32"/>
          <w:szCs w:val="32"/>
        </w:rPr>
        <w:t>直接管理的税务局共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个。分别是：国家税务总局</w:t>
      </w:r>
      <w:r>
        <w:rPr>
          <w:rFonts w:hint="eastAsia"/>
          <w:sz w:val="32"/>
          <w:szCs w:val="32"/>
          <w:lang w:eastAsia="zh-CN"/>
        </w:rPr>
        <w:t>石河子经济技术开发区</w:t>
      </w:r>
      <w:r>
        <w:rPr>
          <w:rFonts w:hint="eastAsia"/>
          <w:sz w:val="32"/>
          <w:szCs w:val="32"/>
        </w:rPr>
        <w:t>税务局</w:t>
      </w:r>
      <w:r>
        <w:rPr>
          <w:rFonts w:hint="eastAsia"/>
          <w:sz w:val="32"/>
          <w:szCs w:val="32"/>
          <w:lang w:eastAsia="zh-CN"/>
        </w:rPr>
        <w:t>（副处级）、</w:t>
      </w:r>
      <w:r>
        <w:rPr>
          <w:rFonts w:hint="eastAsia"/>
          <w:sz w:val="32"/>
          <w:szCs w:val="32"/>
        </w:rPr>
        <w:t>国家税务总局</w:t>
      </w:r>
      <w:r>
        <w:rPr>
          <w:rFonts w:hint="eastAsia"/>
          <w:sz w:val="32"/>
          <w:szCs w:val="32"/>
          <w:lang w:eastAsia="zh-CN"/>
        </w:rPr>
        <w:t>石河子城区税务局（正科级）</w:t>
      </w:r>
      <w:r>
        <w:rPr>
          <w:rFonts w:hint="eastAsia"/>
          <w:sz w:val="32"/>
          <w:szCs w:val="32"/>
        </w:rPr>
        <w:t>、国家税务总局</w:t>
      </w:r>
      <w:r>
        <w:rPr>
          <w:rFonts w:hint="eastAsia"/>
          <w:sz w:val="32"/>
          <w:szCs w:val="32"/>
          <w:lang w:eastAsia="zh-CN"/>
        </w:rPr>
        <w:t>石河子北泉</w:t>
      </w:r>
      <w:r>
        <w:rPr>
          <w:rFonts w:hint="eastAsia"/>
          <w:sz w:val="32"/>
          <w:szCs w:val="32"/>
        </w:rPr>
        <w:t>税务局</w:t>
      </w:r>
      <w:r>
        <w:rPr>
          <w:rFonts w:hint="eastAsia"/>
          <w:sz w:val="32"/>
          <w:szCs w:val="32"/>
          <w:lang w:eastAsia="zh-CN"/>
        </w:rPr>
        <w:t>（正科级</w:t>
      </w:r>
      <w:r>
        <w:rPr>
          <w:rFonts w:hint="eastAsia"/>
          <w:sz w:val="32"/>
          <w:szCs w:val="32"/>
          <w:lang w:val="en-US" w:eastAsia="zh-CN"/>
        </w:rPr>
        <w:t>)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国家税务总局石河子税务局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人员编制与实有人数均按合并后规模统计。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2018年12月31日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实有编制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人，其中：行政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370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人，事业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人。实有人数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568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人，其中：在职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386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  2019年部门预算公开表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tbl>
      <w:tblPr>
        <w:tblStyle w:val="16"/>
        <w:tblW w:w="842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919"/>
        <w:gridCol w:w="1957"/>
        <w:gridCol w:w="919"/>
        <w:gridCol w:w="2024"/>
        <w:gridCol w:w="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          入</w:t>
            </w:r>
          </w:p>
        </w:tc>
        <w:tc>
          <w:tcPr>
            <w:tcW w:w="5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        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2882.38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2266.78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301 工资福利支出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2464.40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2882.38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302 商品和服务支出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303 对个人和家庭的补助支出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教育收费(财政专户)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307 债务利息及费用支出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309 资本性支出（基本建设）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310 资本性支出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311 对企业补助（基本建设）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615.54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312 对企业补助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313 对社会保障基金补助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399 其他支出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3"/>
        <w:gridCol w:w="562"/>
        <w:gridCol w:w="1601"/>
        <w:gridCol w:w="1082"/>
        <w:gridCol w:w="1082"/>
        <w:gridCol w:w="389"/>
        <w:gridCol w:w="562"/>
        <w:gridCol w:w="389"/>
        <w:gridCol w:w="389"/>
        <w:gridCol w:w="389"/>
        <w:gridCol w:w="389"/>
        <w:gridCol w:w="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计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石河子税务局机关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1,110.67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1,110.67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812.45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812.45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812.45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812.45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812.45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812.45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298.22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298.22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298.22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298.22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209.54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209.54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88.68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石河子经济技术开发区税务局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649.49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649.49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529.18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529.18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529.18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529.18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529.18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529.18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120.31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120.31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120.31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120.31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石河子城区税务局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805.77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805.77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656.16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656.16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656.16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656.16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656.16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656.16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149.61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149.61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149.61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149.61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78.23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71.38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石河子北泉税务局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316.39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316.39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268.99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268.99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268.99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268.99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268.99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268.99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47.40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47.40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18.12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087"/>
        <w:gridCol w:w="1645"/>
        <w:gridCol w:w="1531"/>
        <w:gridCol w:w="1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支出预算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0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石河子税务局机关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1,110.67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1,110.67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298.22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298.22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298.22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298.22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209.54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209.54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88.68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88.68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石河子城区税务局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805.77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805.77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149.61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149.61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行政事业单位离退休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149.61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149.61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未归口管理的行政单位离退休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78.23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78.23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71.38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71.38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石河子北泉税务局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316.39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316.39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47.40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47.40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47.40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47.40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18.12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29.28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29.28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石河子经济技术开发区税务局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649.49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649.49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120.31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120.31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行政事业单位离退休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120.31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120.31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63.00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57.31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57.31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1"/>
        <w:gridCol w:w="630"/>
        <w:gridCol w:w="1294"/>
        <w:gridCol w:w="838"/>
        <w:gridCol w:w="1128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收            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               出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</w:t>
            </w:r>
            <w:r>
              <w:rPr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  般  公  共  预  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2266.78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2266.78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615.54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615.54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11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371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1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740"/>
        <w:gridCol w:w="1656"/>
        <w:gridCol w:w="1199"/>
        <w:gridCol w:w="1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石河子税务局机关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1,110.67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1,110.67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812.45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298.22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298.22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298.22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298.22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209.54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209.54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88.68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88.68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石河子城区税务局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805.77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805.77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656.16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149.61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149.61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149.61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149.61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未归口管理的行政单位离退休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78.23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78.23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机关事业单位基本养老保险缴费支出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71.38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71.38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石河子北泉税务局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316.39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316.39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268.99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47.40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47.40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47.40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47.40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18.12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29.28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29.28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石河子经济技术开发区税务局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649.49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649.49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529.18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120.31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120.31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120.31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120.31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63.00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63.00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57.31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57.31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2999"/>
        <w:gridCol w:w="2016"/>
        <w:gridCol w:w="1177"/>
        <w:gridCol w:w="1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一般公共预算基本支出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999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2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计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299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2882.32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2,833.29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石河子税务局机关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1,110.67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1,090.08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880.54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880.54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607.81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607.81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88.68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88.68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54.70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54.70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42.55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42.55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72.94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72.94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13.30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13.30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20.59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20.59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20.59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209.54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209.54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83.16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83.16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113.82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113.82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石河子城区税务局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805.77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792.72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714.49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714.49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493.68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493.68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71.38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71.38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44.43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44.43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34.56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34.56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59.24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59.24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10.71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10.71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78.23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78.23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32.76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32.76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石河子北泉税务局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316.39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311.58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293.46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293.46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202.81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202.81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29.28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29.28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24.34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24.34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4.81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18.12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9.52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9.52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石河子经济技术开发区税务局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649.49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638.91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575.91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575.91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398.16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398.16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57.31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57.31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35.84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27.87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27.87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47.78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47.78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26.04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26.04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33.32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33.32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6"/>
        <w:tblW w:w="9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1656"/>
        <w:gridCol w:w="936"/>
        <w:gridCol w:w="396"/>
        <w:gridCol w:w="396"/>
        <w:gridCol w:w="396"/>
        <w:gridCol w:w="396"/>
        <w:gridCol w:w="396"/>
        <w:gridCol w:w="576"/>
        <w:gridCol w:w="396"/>
        <w:gridCol w:w="576"/>
        <w:gridCol w:w="396"/>
        <w:gridCol w:w="396"/>
        <w:gridCol w:w="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税务局没有政府性基金，本表为空表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2882.32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2882.32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2882.32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万元，占100 %，2018年国地税征管改革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,原石河子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国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宋体" w:eastAsia="仿宋_GB2312"/>
          <w:kern w:val="0"/>
          <w:sz w:val="32"/>
          <w:szCs w:val="32"/>
        </w:rPr>
        <w:t>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务</w:t>
      </w:r>
      <w:r>
        <w:rPr>
          <w:rFonts w:hint="eastAsia" w:ascii="仿宋_GB2312" w:hAnsi="宋体" w:eastAsia="仿宋_GB2312"/>
          <w:kern w:val="0"/>
          <w:sz w:val="32"/>
          <w:szCs w:val="32"/>
        </w:rPr>
        <w:t>局合并为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税务局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2882.32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全部为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项目支出预算未安排。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黑体" w:hAnsi="黑体" w:eastAsia="黑体"/>
          <w:kern w:val="0"/>
          <w:sz w:val="32"/>
          <w:szCs w:val="32"/>
        </w:rPr>
        <w:t>税务局2019年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2882.32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2266.78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368.89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246.65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2266.78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2266.78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615.54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368.89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246.65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税务局2019年一般公共预算拨款基本支出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2882.32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2018年</w:t>
      </w:r>
      <w:r>
        <w:rPr>
          <w:rFonts w:hint="eastAsia" w:ascii="仿宋_GB2312" w:hAnsi="宋体" w:eastAsia="仿宋_GB2312"/>
          <w:kern w:val="0"/>
          <w:sz w:val="32"/>
          <w:szCs w:val="32"/>
        </w:rPr>
        <w:t>国地税征管体制改革，经费保障模式改变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2266.78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78.64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2266.78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615.54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21.36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368.89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246.65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2266.78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因国地税机构改革，财政保障体制变化，此资金为自治区财政保障范围负担的人员经费。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未归口管理的行政单位离退休04（项）：2019年预算数为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368.89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支付退休人员生活补助、医疗费、其他对个人和家庭的补助支出等。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机关事业单位基本养老保险缴费支出05（项）：2019年预算数为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万元，主要是自治区财政经费保障范围变化，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按照保障范围和标准计提的养老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金。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2882.32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2833.29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黑体" w:hAnsi="黑体" w:eastAsia="黑体"/>
          <w:kern w:val="0"/>
          <w:sz w:val="32"/>
          <w:szCs w:val="32"/>
        </w:rPr>
        <w:t>税务局2019年项目支出情况说明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税务局及下属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</w:rPr>
        <w:t>家行政单位的机关运行经费财政拨款预算。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46101.05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11912.50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1046.66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万元；其中：执法执勤用车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740.14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306.52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.其他资产价值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1855.46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单位价值100万元以上大型设备。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840" w:firstLineChars="1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国家税务总局石河子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</w:p>
    <w:p>
      <w:pPr>
        <w:adjustRightInd w:val="0"/>
        <w:snapToGrid w:val="0"/>
        <w:spacing w:line="60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1A77"/>
    <w:rsid w:val="000901AD"/>
    <w:rsid w:val="00160545"/>
    <w:rsid w:val="001919BC"/>
    <w:rsid w:val="001C790D"/>
    <w:rsid w:val="001F1D6C"/>
    <w:rsid w:val="00202563"/>
    <w:rsid w:val="002427FF"/>
    <w:rsid w:val="00271B97"/>
    <w:rsid w:val="0027338D"/>
    <w:rsid w:val="00285827"/>
    <w:rsid w:val="002C098C"/>
    <w:rsid w:val="002F504F"/>
    <w:rsid w:val="00301A77"/>
    <w:rsid w:val="00324BA7"/>
    <w:rsid w:val="003A41F5"/>
    <w:rsid w:val="00420B4B"/>
    <w:rsid w:val="004A62A8"/>
    <w:rsid w:val="0059735A"/>
    <w:rsid w:val="005B1030"/>
    <w:rsid w:val="00753E51"/>
    <w:rsid w:val="007C12AD"/>
    <w:rsid w:val="00870819"/>
    <w:rsid w:val="00894CFA"/>
    <w:rsid w:val="008B2FA1"/>
    <w:rsid w:val="008C3038"/>
    <w:rsid w:val="008D110D"/>
    <w:rsid w:val="008E0D54"/>
    <w:rsid w:val="00971F01"/>
    <w:rsid w:val="009A4351"/>
    <w:rsid w:val="00A01061"/>
    <w:rsid w:val="00B367FC"/>
    <w:rsid w:val="00B565C7"/>
    <w:rsid w:val="00BE7C40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F02945"/>
    <w:rsid w:val="00F7774A"/>
    <w:rsid w:val="00FC3AE6"/>
    <w:rsid w:val="00FE045D"/>
    <w:rsid w:val="028E72C6"/>
    <w:rsid w:val="03935104"/>
    <w:rsid w:val="054A3332"/>
    <w:rsid w:val="0649014C"/>
    <w:rsid w:val="09176EB3"/>
    <w:rsid w:val="09E330AB"/>
    <w:rsid w:val="0A2E3A17"/>
    <w:rsid w:val="0D7C114C"/>
    <w:rsid w:val="0F4909FB"/>
    <w:rsid w:val="10265DEB"/>
    <w:rsid w:val="1137310B"/>
    <w:rsid w:val="133F61DC"/>
    <w:rsid w:val="13886E76"/>
    <w:rsid w:val="139C083F"/>
    <w:rsid w:val="1C012DF1"/>
    <w:rsid w:val="1C313946"/>
    <w:rsid w:val="1C7356AA"/>
    <w:rsid w:val="1CA00883"/>
    <w:rsid w:val="1EF27C3A"/>
    <w:rsid w:val="1F14452B"/>
    <w:rsid w:val="25B31088"/>
    <w:rsid w:val="25FE2AD0"/>
    <w:rsid w:val="29182B98"/>
    <w:rsid w:val="2A015F76"/>
    <w:rsid w:val="2B2718FC"/>
    <w:rsid w:val="2D54308D"/>
    <w:rsid w:val="2DA37CC4"/>
    <w:rsid w:val="2EBB1349"/>
    <w:rsid w:val="2EDF5816"/>
    <w:rsid w:val="2F452536"/>
    <w:rsid w:val="306A2FB6"/>
    <w:rsid w:val="32D12880"/>
    <w:rsid w:val="330B127F"/>
    <w:rsid w:val="35070776"/>
    <w:rsid w:val="39360466"/>
    <w:rsid w:val="3C0402DC"/>
    <w:rsid w:val="3F6A21BD"/>
    <w:rsid w:val="411F7478"/>
    <w:rsid w:val="43C41B18"/>
    <w:rsid w:val="46F911DE"/>
    <w:rsid w:val="471D6B47"/>
    <w:rsid w:val="472D20B3"/>
    <w:rsid w:val="48E65D67"/>
    <w:rsid w:val="49873663"/>
    <w:rsid w:val="4BD7377F"/>
    <w:rsid w:val="4D237B7D"/>
    <w:rsid w:val="4E052B39"/>
    <w:rsid w:val="537A40DD"/>
    <w:rsid w:val="55434C1A"/>
    <w:rsid w:val="55CC197E"/>
    <w:rsid w:val="59C31D59"/>
    <w:rsid w:val="5ADC5785"/>
    <w:rsid w:val="5CEF70B7"/>
    <w:rsid w:val="5DCC35AD"/>
    <w:rsid w:val="605E5E8D"/>
    <w:rsid w:val="606F714B"/>
    <w:rsid w:val="621F171D"/>
    <w:rsid w:val="6377248C"/>
    <w:rsid w:val="64AD5860"/>
    <w:rsid w:val="66720FB3"/>
    <w:rsid w:val="671E2A4D"/>
    <w:rsid w:val="672707CA"/>
    <w:rsid w:val="6E681078"/>
    <w:rsid w:val="70CF23A5"/>
    <w:rsid w:val="72344B07"/>
    <w:rsid w:val="742C52D6"/>
    <w:rsid w:val="746F5C50"/>
    <w:rsid w:val="750D328C"/>
    <w:rsid w:val="76E00554"/>
    <w:rsid w:val="76EA7474"/>
    <w:rsid w:val="79E06FE6"/>
    <w:rsid w:val="7A954ED3"/>
    <w:rsid w:val="7B176F89"/>
    <w:rsid w:val="7C532890"/>
    <w:rsid w:val="7F82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2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HTML Definition"/>
    <w:basedOn w:val="7"/>
    <w:semiHidden/>
    <w:unhideWhenUsed/>
    <w:uiPriority w:val="99"/>
    <w:rPr>
      <w:i/>
    </w:rPr>
  </w:style>
  <w:style w:type="character" w:styleId="12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3">
    <w:name w:val="HTML Code"/>
    <w:basedOn w:val="7"/>
    <w:semiHidden/>
    <w:unhideWhenUsed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9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20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5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6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0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1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2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54">
    <w:name w:val="hover15"/>
    <w:basedOn w:val="7"/>
    <w:uiPriority w:val="0"/>
  </w:style>
  <w:style w:type="character" w:customStyle="1" w:styleId="55">
    <w:name w:val="hover16"/>
    <w:basedOn w:val="7"/>
    <w:uiPriority w:val="0"/>
  </w:style>
  <w:style w:type="character" w:customStyle="1" w:styleId="56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57">
    <w:name w:val="first-chil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5464B-3576-4CD2-A18C-C7FC6C8CF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34797</Words>
  <Characters>198349</Characters>
  <Lines>1652</Lines>
  <Paragraphs>465</Paragraphs>
  <TotalTime>123</TotalTime>
  <ScaleCrop>false</ScaleCrop>
  <LinksUpToDate>false</LinksUpToDate>
  <CharactersWithSpaces>232681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2019-01-23T11:52:00Z</dcterms:created>
  <dc:creator>唐琛</dc:creator>
  <cp:lastModifiedBy>wh</cp:lastModifiedBy>
  <cp:lastPrinted>2019-01-28T08:19:00Z</cp:lastPrinted>
  <dcterms:modified xsi:type="dcterms:W3CDTF">2019-02-22T10:39:19Z</dcterms:modified>
  <dc:title>附件1：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