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pPr>
    </w:p>
    <w:p>
      <w:pPr>
        <w:adjustRightInd w:val="0"/>
        <w:snapToGrid w:val="0"/>
        <w:spacing w:line="600" w:lineRule="exact"/>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宋体" w:hAnsi="宋体" w:cs="宋体"/>
          <w:b/>
          <w:bCs/>
          <w:kern w:val="0"/>
          <w:sz w:val="44"/>
          <w:szCs w:val="44"/>
        </w:rPr>
      </w:pPr>
    </w:p>
    <w:p>
      <w:pPr>
        <w:widowControl/>
        <w:adjustRightInd w:val="0"/>
        <w:snapToGrid w:val="0"/>
        <w:spacing w:before="100" w:beforeAutospacing="1" w:after="100" w:afterAutospacing="1" w:line="600" w:lineRule="exact"/>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国家税务总局石河子税务局机关2019年部门预算公开</w:t>
      </w: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spacing w:line="6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600" w:lineRule="exact"/>
        <w:jc w:val="center"/>
        <w:outlineLvl w:val="1"/>
        <w:rPr>
          <w:rFonts w:ascii="宋体" w:hAnsi="宋体"/>
          <w:b/>
          <w:kern w:val="0"/>
          <w:sz w:val="44"/>
          <w:szCs w:val="44"/>
        </w:rPr>
      </w:pPr>
    </w:p>
    <w:p>
      <w:pPr>
        <w:widowControl/>
        <w:spacing w:line="600" w:lineRule="exact"/>
        <w:outlineLvl w:val="1"/>
        <w:rPr>
          <w:rFonts w:ascii="宋体" w:hAnsi="宋体"/>
          <w:b/>
          <w:kern w:val="0"/>
          <w:sz w:val="32"/>
          <w:szCs w:val="32"/>
        </w:rPr>
      </w:pPr>
      <w:r>
        <w:rPr>
          <w:rFonts w:hint="eastAsia" w:ascii="仿宋_GB2312" w:hAnsi="宋体" w:eastAsia="仿宋_GB2312"/>
          <w:b/>
          <w:kern w:val="0"/>
          <w:sz w:val="32"/>
          <w:szCs w:val="32"/>
        </w:rPr>
        <w:t>第一部分 国家税务总局石河子税务局机关概况</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一、关于国家税务总局石河子税务局</w:t>
      </w:r>
      <w:r>
        <w:rPr>
          <w:rFonts w:ascii="仿宋_GB2312" w:hAnsi="宋体" w:eastAsia="仿宋_GB2312"/>
          <w:kern w:val="0"/>
          <w:sz w:val="32"/>
          <w:szCs w:val="32"/>
        </w:rPr>
        <w:t>机关</w:t>
      </w:r>
      <w:r>
        <w:rPr>
          <w:rFonts w:hint="eastAsia" w:ascii="仿宋_GB2312" w:hAnsi="宋体" w:eastAsia="仿宋_GB2312"/>
          <w:kern w:val="0"/>
          <w:sz w:val="32"/>
          <w:szCs w:val="32"/>
        </w:rPr>
        <w:t>2019年收支预算情况的总体说明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二、关于国家税务总局石河子税务局2019年收入预算情况说明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三、关于国家税务总局石河子税务局机关2019年支出预算情况说明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四、关于国家税务总局石河子税务局机关2019年财政拨款收支预算情况的总体说明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五、关于国家税务总局石河子税务局机关2019年一般公共预算当年拨款情况说明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六、关于国家税务总局石河子税务局机关2019年一般公共预算基本支出情况说明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七、关于国家税务总局石河子税务局机关2019年项目支出情况说明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八、关于国家税务总局石河子税务局机关2019年一般公共预算“三公”经费预算情况说明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九、关于国家税务总局石河子税务局机关2019年政府性基金预算拨款情况说明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 xml:space="preserve">第一部分  </w:t>
      </w:r>
      <w:r>
        <w:rPr>
          <w:rFonts w:hint="eastAsia" w:ascii="黑体" w:hAnsi="黑体" w:eastAsia="黑体" w:cs="黑体"/>
          <w:b/>
          <w:kern w:val="0"/>
          <w:sz w:val="32"/>
          <w:szCs w:val="32"/>
        </w:rPr>
        <w:t>国家税务总局石河子税务局机关</w:t>
      </w:r>
      <w:r>
        <w:rPr>
          <w:rFonts w:hint="eastAsia" w:ascii="黑体" w:hAnsi="黑体" w:eastAsia="黑体"/>
          <w:b/>
          <w:kern w:val="0"/>
          <w:sz w:val="32"/>
          <w:szCs w:val="32"/>
        </w:rPr>
        <w:t>概况</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一、主要职能</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（一）负责贯彻执行党的路线、方针、政策，加强党的全面领导，履行全面从严治党责任，负责党的建设和思想政治建设工作。</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（二）负责贯彻执行税收、社会保险费和有关非税收入法律、法规、规章和规范性文件，研究制定具体实施办法。组织落实国家规定的税收优惠政策。</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三）负责研究拟定本系统税收、社会保险费和有关非税收入中长期规划，参与拟定税收、社会保险费和有关非税收入预算目标并依法组织实施。负责本系统税收、社会保险费和有关非税收入的会统核算工作。组织开展收入分析预测。</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（四）负责开展税收经济分析和税收政策效应分析，为国家税务总局新疆维吾尔自治区税务局和地方党委、政府提供决策参考。</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（五）负责所辖区域内各项税收、社会保险费和有关非税收入征收管理。组织实施税（费）源监控和风险管理，加强大企业和自然人税收管理。</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六）负责组织实施税收、社会保险费和有关非税收入服务体系建设。组织开展纳税服务、税收宣传工作，保护纳税人、缴费人合法权益。承担涉及税收、社会保险费和有关非税收入的行政处罚听证、行政复议和行政诉讼事项。</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（七）负责所辖区域内国际税收和进出口税收管理工作，组织反避税调查和出口退税事项办理。</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（八）负责组织实施所辖区域内税务稽查和社会保险费、有关非税收入检查工作。</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（九）负责增值税专用发票、普通发票和其他各类发票管理。负责税收、社会保险费和有关非税收入票证管理。</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（十）负责组织实施本系统各项税收、社会保险费和有关非税收入征管信息化建设和数据治理工作。</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（十一）负责本系统内部控制机制建设工作，开展对本系统贯彻执行党中央、国务院重大决策及上级工作部署情况的督查督办，组织实施税收执法督察。</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（十二）负责本系统基层建设和干部队伍建设工作，加强领导班子和后备干部队伍建设，承担税务人才培养和干部教育培训工作。负责本系统绩效管理和干部考核工作。</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（十三）负责本系统机构、编制、经费和资产管理工作。</w:t>
      </w:r>
    </w:p>
    <w:p>
      <w:pPr>
        <w:widowControl/>
        <w:spacing w:line="450" w:lineRule="atLeast"/>
        <w:ind w:firstLine="640" w:firstLineChars="200"/>
        <w:jc w:val="left"/>
      </w:pPr>
      <w:r>
        <w:rPr>
          <w:rFonts w:ascii="仿宋_GB2312" w:eastAsia="仿宋_GB2312" w:cs="仿宋_GB2312"/>
          <w:kern w:val="0"/>
          <w:sz w:val="32"/>
          <w:szCs w:val="32"/>
          <w:shd w:val="clear" w:color="auto" w:fill="FFFFFF"/>
          <w:lang w:bidi="ar"/>
        </w:rPr>
        <w:t>（十四）完成国家税务总局新疆维吾尔自治区税务局和地方党委、政府交办的其他工作。</w:t>
      </w:r>
    </w:p>
    <w:p>
      <w:pPr>
        <w:widowControl/>
        <w:spacing w:line="450" w:lineRule="atLeast"/>
        <w:ind w:firstLine="640" w:firstLineChars="200"/>
        <w:jc w:val="left"/>
        <w:rPr>
          <w:rFonts w:ascii="黑体" w:hAnsi="黑体" w:eastAsia="黑体"/>
          <w:kern w:val="0"/>
          <w:sz w:val="32"/>
          <w:szCs w:val="32"/>
        </w:rPr>
      </w:pPr>
      <w:r>
        <w:rPr>
          <w:rFonts w:ascii="仿宋_GB2312" w:eastAsia="仿宋_GB2312" w:cs="仿宋_GB2312"/>
          <w:kern w:val="0"/>
          <w:sz w:val="32"/>
          <w:szCs w:val="32"/>
          <w:shd w:val="clear" w:color="auto" w:fill="FFFFFF"/>
          <w:lang w:bidi="ar"/>
        </w:rPr>
        <w:t> </w:t>
      </w:r>
      <w:r>
        <w:rPr>
          <w:rFonts w:hint="eastAsia" w:ascii="仿宋_GB2312" w:hAnsi="宋体" w:eastAsia="仿宋_GB2312"/>
          <w:kern w:val="0"/>
          <w:sz w:val="32"/>
          <w:szCs w:val="32"/>
        </w:rPr>
        <w:t xml:space="preserve"> </w:t>
      </w:r>
      <w:r>
        <w:rPr>
          <w:rFonts w:hint="eastAsia" w:ascii="黑体" w:hAnsi="黑体" w:eastAsia="黑体"/>
          <w:kern w:val="0"/>
          <w:sz w:val="32"/>
          <w:szCs w:val="32"/>
        </w:rPr>
        <w:t xml:space="preserve">   二、机构及人员情况</w:t>
      </w:r>
    </w:p>
    <w:p>
      <w:pPr>
        <w:pStyle w:val="27"/>
        <w:snapToGrid w:val="0"/>
        <w:spacing w:line="600" w:lineRule="exact"/>
        <w:ind w:firstLine="640" w:firstLineChars="200"/>
        <w:rPr>
          <w:sz w:val="32"/>
          <w:szCs w:val="32"/>
        </w:rPr>
      </w:pPr>
      <w:r>
        <w:rPr>
          <w:rFonts w:hint="eastAsia"/>
          <w:sz w:val="32"/>
          <w:szCs w:val="32"/>
        </w:rPr>
        <w:t>从预算单位构成看，</w:t>
      </w:r>
      <w:r>
        <w:rPr>
          <w:rFonts w:hint="eastAsia" w:hAnsi="宋体"/>
          <w:sz w:val="32"/>
          <w:szCs w:val="32"/>
        </w:rPr>
        <w:t>国家税务总局石河子税务局</w:t>
      </w:r>
      <w:r>
        <w:rPr>
          <w:rFonts w:hint="eastAsia"/>
          <w:sz w:val="32"/>
          <w:szCs w:val="32"/>
        </w:rPr>
        <w:t>机关为</w:t>
      </w:r>
      <w:r>
        <w:rPr>
          <w:sz w:val="32"/>
          <w:szCs w:val="32"/>
        </w:rPr>
        <w:t>四级预算单位</w:t>
      </w:r>
      <w:r>
        <w:rPr>
          <w:rFonts w:hint="eastAsia"/>
          <w:sz w:val="32"/>
          <w:szCs w:val="32"/>
        </w:rPr>
        <w:t>。</w:t>
      </w:r>
      <w:r>
        <w:rPr>
          <w:sz w:val="32"/>
          <w:szCs w:val="32"/>
        </w:rPr>
        <w:t xml:space="preserve"> </w:t>
      </w:r>
    </w:p>
    <w:p>
      <w:pPr>
        <w:pStyle w:val="27"/>
        <w:snapToGrid w:val="0"/>
        <w:spacing w:line="600" w:lineRule="exact"/>
        <w:ind w:firstLine="640" w:firstLineChars="200"/>
        <w:rPr>
          <w:color w:val="auto"/>
          <w:sz w:val="32"/>
          <w:szCs w:val="32"/>
        </w:rPr>
      </w:pPr>
      <w:r>
        <w:rPr>
          <w:rFonts w:hint="eastAsia" w:hAnsi="宋体"/>
          <w:color w:val="auto"/>
          <w:sz w:val="32"/>
          <w:szCs w:val="32"/>
        </w:rPr>
        <w:t>国家税务总局石河子税务局机关</w:t>
      </w:r>
      <w:r>
        <w:rPr>
          <w:rFonts w:hint="eastAsia"/>
          <w:color w:val="auto"/>
          <w:sz w:val="32"/>
          <w:szCs w:val="32"/>
        </w:rPr>
        <w:t>，设</w:t>
      </w:r>
      <w:r>
        <w:rPr>
          <w:color w:val="auto"/>
          <w:sz w:val="32"/>
          <w:szCs w:val="32"/>
        </w:rPr>
        <w:t>18</w:t>
      </w:r>
      <w:r>
        <w:rPr>
          <w:rFonts w:hint="eastAsia"/>
          <w:color w:val="auto"/>
          <w:sz w:val="32"/>
          <w:szCs w:val="32"/>
        </w:rPr>
        <w:t>个内设机构、2个派出机构、2个事业单位,级别均为正科级。</w:t>
      </w:r>
    </w:p>
    <w:p>
      <w:pPr>
        <w:pStyle w:val="27"/>
        <w:snapToGrid w:val="0"/>
        <w:spacing w:line="600" w:lineRule="exact"/>
        <w:ind w:firstLine="643" w:firstLineChars="200"/>
        <w:rPr>
          <w:color w:val="auto"/>
          <w:sz w:val="32"/>
          <w:szCs w:val="32"/>
        </w:rPr>
      </w:pPr>
      <w:r>
        <w:rPr>
          <w:rFonts w:hint="eastAsia"/>
          <w:b/>
          <w:color w:val="auto"/>
          <w:sz w:val="32"/>
          <w:szCs w:val="32"/>
        </w:rPr>
        <w:t>（一）内设机构</w:t>
      </w:r>
      <w:r>
        <w:rPr>
          <w:rFonts w:hint="eastAsia"/>
          <w:color w:val="auto"/>
          <w:sz w:val="32"/>
          <w:szCs w:val="32"/>
        </w:rPr>
        <w:t>：办公室、法制科、货物和劳务税科、企业所得税科、个人所得税科、财产和行为税科、社会保险费和非税收入科、收入核算科、纳税服务科（纳税服务中心）、征收管理科、税收经济分析科、税收风险管理局、财务管理科、人事教育科、考核考评科、系统党建工作科（机关党委）、纪检组、老干部科。</w:t>
      </w:r>
    </w:p>
    <w:p>
      <w:pPr>
        <w:pStyle w:val="27"/>
        <w:snapToGrid w:val="0"/>
        <w:spacing w:line="600" w:lineRule="exact"/>
        <w:ind w:firstLine="643" w:firstLineChars="200"/>
        <w:rPr>
          <w:sz w:val="32"/>
          <w:szCs w:val="32"/>
        </w:rPr>
      </w:pPr>
      <w:r>
        <w:rPr>
          <w:rFonts w:hint="eastAsia"/>
          <w:b/>
          <w:sz w:val="32"/>
          <w:szCs w:val="32"/>
        </w:rPr>
        <w:t>（二）派出机构</w:t>
      </w:r>
      <w:r>
        <w:rPr>
          <w:rFonts w:hint="eastAsia"/>
          <w:sz w:val="32"/>
          <w:szCs w:val="32"/>
        </w:rPr>
        <w:t>：第一税务分局（重点税源企业税收服务和管理局）、稽查局。</w:t>
      </w:r>
    </w:p>
    <w:p>
      <w:pPr>
        <w:pStyle w:val="27"/>
        <w:snapToGrid w:val="0"/>
        <w:spacing w:line="600" w:lineRule="exact"/>
        <w:ind w:firstLine="643" w:firstLineChars="200"/>
        <w:rPr>
          <w:sz w:val="32"/>
          <w:szCs w:val="32"/>
        </w:rPr>
      </w:pPr>
      <w:r>
        <w:rPr>
          <w:rFonts w:hint="eastAsia"/>
          <w:b/>
          <w:sz w:val="32"/>
          <w:szCs w:val="32"/>
        </w:rPr>
        <w:t>（三）事业单位</w:t>
      </w:r>
      <w:r>
        <w:rPr>
          <w:rFonts w:hint="eastAsia"/>
          <w:sz w:val="32"/>
          <w:szCs w:val="32"/>
        </w:rPr>
        <w:t>：机关服务中心、信息中心。</w:t>
      </w:r>
    </w:p>
    <w:p>
      <w:pPr>
        <w:pStyle w:val="27"/>
        <w:snapToGrid w:val="0"/>
        <w:spacing w:line="600" w:lineRule="exact"/>
        <w:ind w:firstLine="643" w:firstLineChars="200"/>
        <w:rPr>
          <w:b/>
          <w:sz w:val="32"/>
          <w:szCs w:val="32"/>
        </w:rPr>
      </w:pPr>
      <w:r>
        <w:rPr>
          <w:rFonts w:hint="eastAsia"/>
          <w:b/>
          <w:sz w:val="32"/>
          <w:szCs w:val="32"/>
        </w:rPr>
        <w:t>（四）所属机构</w:t>
      </w:r>
    </w:p>
    <w:p>
      <w:pPr>
        <w:adjustRightInd w:val="0"/>
        <w:snapToGrid w:val="0"/>
        <w:spacing w:line="600" w:lineRule="exact"/>
        <w:ind w:firstLine="640" w:firstLineChars="200"/>
        <w:rPr>
          <w:rFonts w:ascii="仿宋_GB2312" w:eastAsia="仿宋_GB2312" w:cs="仿宋_GB2312" w:hAnsiTheme="minorHAnsi"/>
          <w:color w:val="000000"/>
          <w:kern w:val="0"/>
          <w:sz w:val="32"/>
          <w:szCs w:val="32"/>
        </w:rPr>
      </w:pPr>
      <w:r>
        <w:rPr>
          <w:rFonts w:hint="eastAsia" w:ascii="仿宋" w:hAnsi="仿宋" w:eastAsia="仿宋" w:cs="仿宋"/>
          <w:sz w:val="32"/>
          <w:szCs w:val="32"/>
        </w:rPr>
        <w:t>国家税务总局石河子税务局机关</w:t>
      </w:r>
      <w:r>
        <w:rPr>
          <w:rFonts w:hint="eastAsia" w:ascii="仿宋_GB2312" w:eastAsia="仿宋_GB2312" w:cs="仿宋_GB2312" w:hAnsiTheme="minorHAnsi"/>
          <w:color w:val="000000"/>
          <w:kern w:val="0"/>
          <w:sz w:val="32"/>
          <w:szCs w:val="32"/>
        </w:rPr>
        <w:t>人员编制与实有人数均按合并后规模统计。至2018年12月31日实有编制数</w:t>
      </w:r>
      <w:r>
        <w:rPr>
          <w:rFonts w:ascii="仿宋_GB2312" w:eastAsia="仿宋_GB2312" w:cs="仿宋_GB2312" w:hAnsiTheme="minorHAnsi"/>
          <w:color w:val="000000"/>
          <w:kern w:val="0"/>
          <w:sz w:val="32"/>
          <w:szCs w:val="32"/>
        </w:rPr>
        <w:t>177</w:t>
      </w:r>
      <w:r>
        <w:rPr>
          <w:rFonts w:hint="eastAsia" w:ascii="仿宋_GB2312" w:eastAsia="仿宋_GB2312" w:cs="仿宋_GB2312" w:hAnsiTheme="minorHAnsi"/>
          <w:color w:val="000000"/>
          <w:kern w:val="0"/>
          <w:sz w:val="32"/>
          <w:szCs w:val="32"/>
        </w:rPr>
        <w:t xml:space="preserve"> 人，其中：行政 </w:t>
      </w:r>
      <w:r>
        <w:rPr>
          <w:rFonts w:hint="eastAsia" w:ascii="仿宋_GB2312" w:eastAsia="仿宋_GB2312" w:cs="仿宋_GB2312" w:hAnsiTheme="minorHAnsi"/>
          <w:color w:val="000000"/>
          <w:kern w:val="0"/>
          <w:sz w:val="32"/>
          <w:szCs w:val="32"/>
          <w:lang w:val="en-US" w:eastAsia="zh-CN"/>
        </w:rPr>
        <w:t>161</w:t>
      </w:r>
      <w:r>
        <w:rPr>
          <w:rFonts w:hint="eastAsia" w:ascii="仿宋_GB2312" w:eastAsia="仿宋_GB2312" w:cs="仿宋_GB2312" w:hAnsiTheme="minorHAnsi"/>
          <w:color w:val="000000"/>
          <w:kern w:val="0"/>
          <w:sz w:val="32"/>
          <w:szCs w:val="32"/>
        </w:rPr>
        <w:t xml:space="preserve"> 人，事业 </w:t>
      </w:r>
      <w:r>
        <w:rPr>
          <w:rFonts w:hint="eastAsia" w:ascii="仿宋_GB2312" w:eastAsia="仿宋_GB2312" w:cs="仿宋_GB2312" w:hAnsiTheme="minorHAnsi"/>
          <w:color w:val="000000"/>
          <w:kern w:val="0"/>
          <w:sz w:val="32"/>
          <w:szCs w:val="32"/>
          <w:lang w:val="en-US" w:eastAsia="zh-CN"/>
        </w:rPr>
        <w:t>16</w:t>
      </w:r>
      <w:r>
        <w:rPr>
          <w:rFonts w:hint="eastAsia" w:ascii="仿宋_GB2312" w:eastAsia="仿宋_GB2312" w:cs="仿宋_GB2312" w:hAnsiTheme="minorHAnsi"/>
          <w:color w:val="000000"/>
          <w:kern w:val="0"/>
          <w:sz w:val="32"/>
          <w:szCs w:val="32"/>
        </w:rPr>
        <w:t xml:space="preserve"> 人。实有人数 </w:t>
      </w:r>
      <w:r>
        <w:rPr>
          <w:rFonts w:ascii="仿宋_GB2312" w:eastAsia="仿宋_GB2312" w:cs="仿宋_GB2312" w:hAnsiTheme="minorHAnsi"/>
          <w:color w:val="000000"/>
          <w:kern w:val="0"/>
          <w:sz w:val="32"/>
          <w:szCs w:val="32"/>
        </w:rPr>
        <w:t>236</w:t>
      </w:r>
      <w:r>
        <w:rPr>
          <w:rFonts w:hint="eastAsia" w:ascii="仿宋_GB2312" w:eastAsia="仿宋_GB2312" w:cs="仿宋_GB2312" w:hAnsiTheme="minorHAnsi"/>
          <w:color w:val="000000"/>
          <w:kern w:val="0"/>
          <w:sz w:val="32"/>
          <w:szCs w:val="32"/>
        </w:rPr>
        <w:t>人，其中：在职</w:t>
      </w:r>
      <w:r>
        <w:rPr>
          <w:rFonts w:hint="eastAsia" w:ascii="仿宋_GB2312" w:eastAsia="仿宋_GB2312" w:cs="仿宋_GB2312" w:hAnsiTheme="minorHAnsi"/>
          <w:color w:val="000000"/>
          <w:kern w:val="0"/>
          <w:sz w:val="32"/>
          <w:szCs w:val="32"/>
          <w:lang w:val="en-US" w:eastAsia="zh-CN"/>
        </w:rPr>
        <w:t>136</w:t>
      </w:r>
      <w:r>
        <w:rPr>
          <w:rFonts w:hint="eastAsia" w:ascii="仿宋_GB2312" w:eastAsia="仿宋_GB2312" w:cs="仿宋_GB2312" w:hAnsiTheme="minorHAnsi"/>
          <w:color w:val="000000"/>
          <w:kern w:val="0"/>
          <w:sz w:val="32"/>
          <w:szCs w:val="32"/>
        </w:rPr>
        <w:t>人，退休</w:t>
      </w:r>
      <w:r>
        <w:rPr>
          <w:rFonts w:hint="eastAsia" w:ascii="仿宋_GB2312" w:eastAsia="仿宋_GB2312" w:cs="仿宋_GB2312" w:hAnsiTheme="minorHAnsi"/>
          <w:color w:val="000000"/>
          <w:kern w:val="0"/>
          <w:sz w:val="32"/>
          <w:szCs w:val="32"/>
          <w:lang w:val="en-US" w:eastAsia="zh-CN"/>
        </w:rPr>
        <w:t>100</w:t>
      </w:r>
      <w:r>
        <w:rPr>
          <w:rFonts w:hint="eastAsia" w:ascii="仿宋_GB2312" w:eastAsia="仿宋_GB2312" w:cs="仿宋_GB2312" w:hAnsiTheme="minorHAnsi"/>
          <w:color w:val="000000"/>
          <w:kern w:val="0"/>
          <w:sz w:val="32"/>
          <w:szCs w:val="32"/>
        </w:rPr>
        <w:t xml:space="preserve"> 人。</w:t>
      </w: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第二部分  2019年部门预算公开表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tbl>
      <w:tblPr>
        <w:tblStyle w:val="16"/>
        <w:tblW w:w="8428" w:type="dxa"/>
        <w:tblInd w:w="94" w:type="dxa"/>
        <w:tblLayout w:type="fixed"/>
        <w:tblCellMar>
          <w:top w:w="0" w:type="dxa"/>
          <w:left w:w="108" w:type="dxa"/>
          <w:bottom w:w="0" w:type="dxa"/>
          <w:right w:w="108" w:type="dxa"/>
        </w:tblCellMar>
      </w:tblPr>
      <w:tblGrid>
        <w:gridCol w:w="1690"/>
        <w:gridCol w:w="919"/>
        <w:gridCol w:w="1957"/>
        <w:gridCol w:w="919"/>
        <w:gridCol w:w="2024"/>
        <w:gridCol w:w="919"/>
      </w:tblGrid>
      <w:tr>
        <w:tblPrEx>
          <w:tblLayout w:type="fixed"/>
          <w:tblCellMar>
            <w:top w:w="0" w:type="dxa"/>
            <w:left w:w="108" w:type="dxa"/>
            <w:bottom w:w="0" w:type="dxa"/>
            <w:right w:w="108" w:type="dxa"/>
          </w:tblCellMar>
        </w:tblPrEx>
        <w:trPr>
          <w:trHeight w:val="300" w:hRule="atLeast"/>
        </w:trPr>
        <w:tc>
          <w:tcPr>
            <w:tcW w:w="1690" w:type="dxa"/>
            <w:tcBorders>
              <w:top w:val="nil"/>
              <w:left w:val="nil"/>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919" w:type="dxa"/>
            <w:tcBorders>
              <w:top w:val="nil"/>
              <w:left w:val="nil"/>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1957" w:type="dxa"/>
            <w:tcBorders>
              <w:top w:val="nil"/>
              <w:left w:val="nil"/>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919" w:type="dxa"/>
            <w:tcBorders>
              <w:top w:val="nil"/>
              <w:left w:val="nil"/>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2024" w:type="dxa"/>
            <w:tcBorders>
              <w:top w:val="nil"/>
              <w:left w:val="nil"/>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919" w:type="dxa"/>
            <w:tcBorders>
              <w:top w:val="nil"/>
              <w:left w:val="nil"/>
              <w:bottom w:val="nil"/>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260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600" w:lineRule="exact"/>
              <w:jc w:val="center"/>
              <w:rPr>
                <w:rFonts w:ascii="宋体" w:hAnsi="宋体" w:cs="宋体"/>
                <w:b/>
                <w:bCs/>
                <w:kern w:val="0"/>
                <w:sz w:val="18"/>
                <w:szCs w:val="18"/>
              </w:rPr>
            </w:pPr>
            <w:r>
              <w:rPr>
                <w:rFonts w:hint="eastAsia" w:ascii="宋体" w:hAnsi="宋体" w:cs="宋体"/>
                <w:b/>
                <w:bCs/>
                <w:kern w:val="0"/>
                <w:sz w:val="18"/>
                <w:szCs w:val="18"/>
              </w:rPr>
              <w:t>收          入</w:t>
            </w:r>
          </w:p>
        </w:tc>
        <w:tc>
          <w:tcPr>
            <w:tcW w:w="5819"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b/>
                <w:bCs/>
                <w:kern w:val="0"/>
                <w:sz w:val="18"/>
                <w:szCs w:val="18"/>
              </w:rPr>
            </w:pPr>
            <w:r>
              <w:rPr>
                <w:rFonts w:hint="eastAsia" w:ascii="宋体" w:hAnsi="宋体" w:cs="宋体"/>
                <w:b/>
                <w:bCs/>
                <w:kern w:val="0"/>
                <w:sz w:val="18"/>
                <w:szCs w:val="18"/>
              </w:rPr>
              <w:t>支                出</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     目</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2019年预算</w:t>
            </w:r>
          </w:p>
        </w:tc>
        <w:tc>
          <w:tcPr>
            <w:tcW w:w="19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2019年预算</w:t>
            </w:r>
          </w:p>
        </w:tc>
        <w:tc>
          <w:tcPr>
            <w:tcW w:w="20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经济分类</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2019年预算</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财政拨款（补助）</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201 一般公共服务支出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812.45</w:t>
            </w:r>
          </w:p>
        </w:tc>
        <w:tc>
          <w:tcPr>
            <w:tcW w:w="202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301 工资福利支出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880.54</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一般公共预算</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202 外交支出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nil"/>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302 商品和服务支出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20.59</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政府性基金预算</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203 国防支出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single" w:color="auto" w:sz="4" w:space="0"/>
              <w:left w:val="nil"/>
              <w:bottom w:val="nil"/>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303 对个人和家庭的补助支出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209.54</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教育收费(财政专户)</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204 公共安全支出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307 债务利息及费用支出</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事业收入</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205 教育支出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309 资本性支出（基本建设）</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事业单位经营收入</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206 科学技术支出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310 资本性支出</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其他收入</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207 文化旅游体育与传媒支出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311 对企业补助（基本建设）</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208 社会保障和就业支出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298.22</w:t>
            </w:r>
          </w:p>
        </w:tc>
        <w:tc>
          <w:tcPr>
            <w:tcW w:w="2024" w:type="dxa"/>
            <w:tcBorders>
              <w:top w:val="nil"/>
              <w:left w:val="nil"/>
              <w:bottom w:val="nil"/>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312 对企业补助</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209 社会保险基金支出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313 对社会保障基金补助</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210 卫生健康支出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399 其他支出</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211 节能环保支出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212 城乡社区支出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213 农林水支出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214 交通运输支出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215 资源勘探信息等支出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216 商业服务业等支出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217 金融支出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219 援助其他地区支出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220 自然资源海洋气象等支出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221 住房保障支出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222 粮油物资储备支出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223 国有资本经营预算支出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224 灾害防治及应急管理支出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227 预备费</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229 其他支出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231 债务还本支出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232 债务付息支出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233 债务发行费用支出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小           计</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19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小           计</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202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小          计</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65" w:hRule="atLeast"/>
        </w:trPr>
        <w:tc>
          <w:tcPr>
            <w:tcW w:w="169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单位上年结余（不包括国库集中支付额度结余）</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230 转移性支出</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9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20"/>
                <w:szCs w:val="20"/>
              </w:rPr>
            </w:pPr>
            <w:r>
              <w:rPr>
                <w:rFonts w:hint="eastAsia" w:ascii="宋体" w:hAnsi="宋体" w:cs="宋体"/>
                <w:kern w:val="0"/>
                <w:sz w:val="20"/>
                <w:szCs w:val="20"/>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202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left"/>
              <w:rPr>
                <w:rFonts w:ascii="宋体" w:hAnsi="宋体" w:cs="宋体"/>
                <w:color w:val="0000FF"/>
                <w:kern w:val="0"/>
                <w:sz w:val="20"/>
                <w:szCs w:val="20"/>
              </w:rPr>
            </w:pPr>
            <w:r>
              <w:rPr>
                <w:rFonts w:hint="eastAsia" w:ascii="宋体" w:hAnsi="宋体" w:cs="宋体"/>
                <w:color w:val="0000FF"/>
                <w:kern w:val="0"/>
                <w:sz w:val="20"/>
                <w:szCs w:val="20"/>
              </w:rPr>
              <w:t>　</w:t>
            </w:r>
          </w:p>
        </w:tc>
        <w:tc>
          <w:tcPr>
            <w:tcW w:w="9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0" w:hRule="atLeast"/>
        </w:trPr>
        <w:tc>
          <w:tcPr>
            <w:tcW w:w="169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收  入  总  计</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1957"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支  出  合  计</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c>
          <w:tcPr>
            <w:tcW w:w="202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20"/>
                <w:szCs w:val="20"/>
              </w:rPr>
            </w:pPr>
            <w:r>
              <w:rPr>
                <w:rFonts w:hint="eastAsia" w:ascii="宋体" w:hAnsi="宋体" w:cs="宋体"/>
                <w:kern w:val="0"/>
                <w:sz w:val="20"/>
                <w:szCs w:val="20"/>
              </w:rPr>
              <w:t>支  出  总  计</w:t>
            </w:r>
          </w:p>
        </w:tc>
        <w:tc>
          <w:tcPr>
            <w:tcW w:w="91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1110.67</w:t>
            </w:r>
          </w:p>
        </w:tc>
      </w:tr>
    </w:tbl>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tbl>
      <w:tblPr>
        <w:tblStyle w:val="16"/>
        <w:tblW w:w="8522" w:type="dxa"/>
        <w:tblInd w:w="0" w:type="dxa"/>
        <w:tblLayout w:type="fixed"/>
        <w:tblCellMar>
          <w:top w:w="0" w:type="dxa"/>
          <w:left w:w="108" w:type="dxa"/>
          <w:bottom w:w="0" w:type="dxa"/>
          <w:right w:w="108" w:type="dxa"/>
        </w:tblCellMar>
      </w:tblPr>
      <w:tblGrid>
        <w:gridCol w:w="563"/>
        <w:gridCol w:w="563"/>
        <w:gridCol w:w="562"/>
        <w:gridCol w:w="1601"/>
        <w:gridCol w:w="1082"/>
        <w:gridCol w:w="1082"/>
        <w:gridCol w:w="389"/>
        <w:gridCol w:w="562"/>
        <w:gridCol w:w="389"/>
        <w:gridCol w:w="389"/>
        <w:gridCol w:w="389"/>
        <w:gridCol w:w="389"/>
        <w:gridCol w:w="562"/>
      </w:tblGrid>
      <w:tr>
        <w:tblPrEx>
          <w:tblLayout w:type="fixed"/>
          <w:tblCellMar>
            <w:top w:w="0" w:type="dxa"/>
            <w:left w:w="108" w:type="dxa"/>
            <w:bottom w:w="0" w:type="dxa"/>
            <w:right w:w="108" w:type="dxa"/>
          </w:tblCellMar>
        </w:tblPrEx>
        <w:trPr>
          <w:trHeight w:val="510" w:hRule="atLeast"/>
        </w:trPr>
        <w:tc>
          <w:tcPr>
            <w:tcW w:w="168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功能分类科目编码</w:t>
            </w:r>
          </w:p>
        </w:tc>
        <w:tc>
          <w:tcPr>
            <w:tcW w:w="1601" w:type="dxa"/>
            <w:vMerge w:val="restart"/>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功能分类科目名称</w:t>
            </w:r>
          </w:p>
        </w:tc>
        <w:tc>
          <w:tcPr>
            <w:tcW w:w="108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总  计</w:t>
            </w:r>
          </w:p>
        </w:tc>
        <w:tc>
          <w:tcPr>
            <w:tcW w:w="10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一般公共预算</w:t>
            </w:r>
          </w:p>
        </w:tc>
        <w:tc>
          <w:tcPr>
            <w:tcW w:w="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政府性基金预算</w:t>
            </w:r>
          </w:p>
        </w:tc>
        <w:tc>
          <w:tcPr>
            <w:tcW w:w="562"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财政专户管理资金（教育收费）</w:t>
            </w:r>
          </w:p>
        </w:tc>
        <w:tc>
          <w:tcPr>
            <w:tcW w:w="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事业收入</w:t>
            </w: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事业单位经营收入</w:t>
            </w: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其他收入</w:t>
            </w:r>
          </w:p>
        </w:tc>
        <w:tc>
          <w:tcPr>
            <w:tcW w:w="3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用事业基金弥补收支差额</w:t>
            </w:r>
          </w:p>
        </w:tc>
        <w:tc>
          <w:tcPr>
            <w:tcW w:w="56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单位上年结余（不包括国库集中支付额度结余）</w:t>
            </w:r>
          </w:p>
        </w:tc>
      </w:tr>
      <w:tr>
        <w:tblPrEx>
          <w:tblLayout w:type="fixed"/>
          <w:tblCellMar>
            <w:top w:w="0" w:type="dxa"/>
            <w:left w:w="108" w:type="dxa"/>
            <w:bottom w:w="0" w:type="dxa"/>
            <w:right w:w="108" w:type="dxa"/>
          </w:tblCellMar>
        </w:tblPrEx>
        <w:trPr>
          <w:trHeight w:val="720" w:hRule="atLeast"/>
        </w:trPr>
        <w:tc>
          <w:tcPr>
            <w:tcW w:w="563"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63"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562"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w:t>
            </w:r>
          </w:p>
        </w:tc>
        <w:tc>
          <w:tcPr>
            <w:tcW w:w="1601"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082" w:type="dxa"/>
            <w:vMerge w:val="continue"/>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600" w:lineRule="exact"/>
              <w:jc w:val="left"/>
              <w:rPr>
                <w:rFonts w:ascii="宋体" w:hAnsi="宋体" w:cs="宋体"/>
                <w:kern w:val="0"/>
                <w:sz w:val="18"/>
                <w:szCs w:val="18"/>
              </w:rPr>
            </w:pPr>
          </w:p>
        </w:tc>
        <w:tc>
          <w:tcPr>
            <w:tcW w:w="108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8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62"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8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6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56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63" w:type="dxa"/>
            <w:tcBorders>
              <w:top w:val="single" w:color="auto" w:sz="4" w:space="0"/>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62" w:type="dxa"/>
            <w:tcBorders>
              <w:top w:val="single" w:color="auto" w:sz="4" w:space="0"/>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601"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082"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1082"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389"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c>
          <w:tcPr>
            <w:tcW w:w="562"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4</w:t>
            </w:r>
          </w:p>
        </w:tc>
        <w:tc>
          <w:tcPr>
            <w:tcW w:w="389"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5</w:t>
            </w:r>
          </w:p>
        </w:tc>
        <w:tc>
          <w:tcPr>
            <w:tcW w:w="389"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6</w:t>
            </w:r>
          </w:p>
        </w:tc>
        <w:tc>
          <w:tcPr>
            <w:tcW w:w="389"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7</w:t>
            </w:r>
          </w:p>
        </w:tc>
        <w:tc>
          <w:tcPr>
            <w:tcW w:w="389"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8</w:t>
            </w:r>
          </w:p>
        </w:tc>
        <w:tc>
          <w:tcPr>
            <w:tcW w:w="562" w:type="dxa"/>
            <w:tcBorders>
              <w:top w:val="nil"/>
              <w:left w:val="nil"/>
              <w:bottom w:val="single" w:color="000000" w:sz="4" w:space="0"/>
              <w:right w:val="single" w:color="000000"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9</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合计</w:t>
            </w:r>
          </w:p>
        </w:tc>
        <w:tc>
          <w:tcPr>
            <w:tcW w:w="108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xml:space="preserve">2882.32 </w:t>
            </w:r>
          </w:p>
        </w:tc>
        <w:tc>
          <w:tcPr>
            <w:tcW w:w="108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xml:space="preserve">2882.32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石河子税务局机关</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1,110.67</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1,110.67</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201</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一般公共服务支出</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07</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税收事务</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201</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07</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01</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行政运行</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812.45</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208</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社会保障和就业支出</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298.22</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298.22</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05</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行政事业单位离退休</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298.22</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298.22</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208</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05</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04</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未归口管理的行政单位离退休</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209.54</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209.54</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563"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208</w:t>
            </w:r>
          </w:p>
        </w:tc>
        <w:tc>
          <w:tcPr>
            <w:tcW w:w="563"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05</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05</w:t>
            </w:r>
          </w:p>
        </w:tc>
        <w:tc>
          <w:tcPr>
            <w:tcW w:w="1601"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88.68</w:t>
            </w:r>
          </w:p>
        </w:tc>
        <w:tc>
          <w:tcPr>
            <w:tcW w:w="108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18"/>
                <w:szCs w:val="18"/>
                <w:lang w:bidi="ar"/>
              </w:rPr>
              <w:t>88.68</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89"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62" w:type="dxa"/>
            <w:tcBorders>
              <w:top w:val="nil"/>
              <w:left w:val="nil"/>
              <w:bottom w:val="single" w:color="000000" w:sz="4" w:space="0"/>
              <w:right w:val="single" w:color="000000"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tbl>
      <w:tblPr>
        <w:tblStyle w:val="16"/>
        <w:tblW w:w="8522" w:type="dxa"/>
        <w:tblInd w:w="0" w:type="dxa"/>
        <w:tblLayout w:type="fixed"/>
        <w:tblCellMar>
          <w:top w:w="0" w:type="dxa"/>
          <w:left w:w="108" w:type="dxa"/>
          <w:bottom w:w="0" w:type="dxa"/>
          <w:right w:w="108" w:type="dxa"/>
        </w:tblCellMar>
      </w:tblPr>
      <w:tblGrid>
        <w:gridCol w:w="576"/>
        <w:gridCol w:w="576"/>
        <w:gridCol w:w="576"/>
        <w:gridCol w:w="2087"/>
        <w:gridCol w:w="1645"/>
        <w:gridCol w:w="1531"/>
        <w:gridCol w:w="1531"/>
      </w:tblGrid>
      <w:tr>
        <w:tblPrEx>
          <w:tblLayout w:type="fixed"/>
          <w:tblCellMar>
            <w:top w:w="0" w:type="dxa"/>
            <w:left w:w="108" w:type="dxa"/>
            <w:bottom w:w="0" w:type="dxa"/>
            <w:right w:w="108" w:type="dxa"/>
          </w:tblCellMar>
        </w:tblPrEx>
        <w:trPr>
          <w:trHeight w:val="36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20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支出预算</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2" w:hRule="atLeast"/>
        </w:trPr>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功能分类科目编码</w:t>
            </w:r>
          </w:p>
        </w:tc>
        <w:tc>
          <w:tcPr>
            <w:tcW w:w="2087"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功能分类科目名称</w:t>
            </w:r>
          </w:p>
        </w:tc>
        <w:tc>
          <w:tcPr>
            <w:tcW w:w="1645" w:type="dxa"/>
            <w:vMerge w:val="restart"/>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总      计</w:t>
            </w:r>
          </w:p>
        </w:tc>
        <w:tc>
          <w:tcPr>
            <w:tcW w:w="153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基本支出</w:t>
            </w:r>
          </w:p>
        </w:tc>
        <w:tc>
          <w:tcPr>
            <w:tcW w:w="153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60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w:t>
            </w:r>
          </w:p>
        </w:tc>
        <w:tc>
          <w:tcPr>
            <w:tcW w:w="2087"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645"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2087"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645"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2087"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645"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153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153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合计</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xml:space="preserve">1,110.67 </w:t>
            </w:r>
          </w:p>
        </w:tc>
        <w:tc>
          <w:tcPr>
            <w:tcW w:w="1531"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xml:space="preserve">1,110.67 </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石河子税务局机关</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201</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一般公共服务支出</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07</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税收事务</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201</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07</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01</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行政运行</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社会保障和就业支出</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行政事业单位离退休</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04</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未归口管理的行政单位离退休</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05</w:t>
            </w:r>
          </w:p>
        </w:tc>
        <w:tc>
          <w:tcPr>
            <w:tcW w:w="2087"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16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531"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53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tbl>
      <w:tblPr>
        <w:tblStyle w:val="16"/>
        <w:tblW w:w="8522" w:type="dxa"/>
        <w:tblInd w:w="0" w:type="dxa"/>
        <w:tblLayout w:type="fixed"/>
        <w:tblCellMar>
          <w:top w:w="0" w:type="dxa"/>
          <w:left w:w="108" w:type="dxa"/>
          <w:bottom w:w="0" w:type="dxa"/>
          <w:right w:w="108" w:type="dxa"/>
        </w:tblCellMar>
      </w:tblPr>
      <w:tblGrid>
        <w:gridCol w:w="3711"/>
        <w:gridCol w:w="630"/>
        <w:gridCol w:w="1294"/>
        <w:gridCol w:w="838"/>
        <w:gridCol w:w="1128"/>
        <w:gridCol w:w="921"/>
      </w:tblGrid>
      <w:tr>
        <w:tblPrEx>
          <w:tblLayout w:type="fixed"/>
          <w:tblCellMar>
            <w:top w:w="0" w:type="dxa"/>
            <w:left w:w="108" w:type="dxa"/>
            <w:bottom w:w="0" w:type="dxa"/>
            <w:right w:w="108" w:type="dxa"/>
          </w:tblCellMar>
        </w:tblPrEx>
        <w:trPr>
          <w:trHeight w:val="405" w:hRule="atLeast"/>
        </w:trPr>
        <w:tc>
          <w:tcPr>
            <w:tcW w:w="3711" w:type="dxa"/>
            <w:tcBorders>
              <w:top w:val="single" w:color="auto" w:sz="4" w:space="0"/>
              <w:left w:val="single" w:color="auto" w:sz="4" w:space="0"/>
              <w:bottom w:val="nil"/>
              <w:right w:val="nil"/>
            </w:tcBorders>
            <w:shd w:val="clear" w:color="auto" w:fill="auto"/>
            <w:vAlign w:val="center"/>
          </w:tcPr>
          <w:p>
            <w:pPr>
              <w:widowControl/>
              <w:adjustRightInd w:val="0"/>
              <w:snapToGrid w:val="0"/>
              <w:spacing w:line="600" w:lineRule="exact"/>
              <w:jc w:val="center"/>
              <w:rPr>
                <w:rFonts w:ascii="宋体" w:hAnsi="宋体" w:cs="宋体"/>
                <w:b/>
                <w:bCs/>
                <w:kern w:val="0"/>
                <w:sz w:val="18"/>
                <w:szCs w:val="18"/>
              </w:rPr>
            </w:pPr>
            <w:r>
              <w:rPr>
                <w:rFonts w:hint="eastAsia" w:ascii="宋体" w:hAnsi="宋体" w:cs="宋体"/>
                <w:b/>
                <w:bCs/>
                <w:kern w:val="0"/>
                <w:sz w:val="18"/>
                <w:szCs w:val="18"/>
              </w:rPr>
              <w:t xml:space="preserve">                                                                    收            入</w:t>
            </w:r>
          </w:p>
        </w:tc>
        <w:tc>
          <w:tcPr>
            <w:tcW w:w="630" w:type="dxa"/>
            <w:tcBorders>
              <w:top w:val="single" w:color="auto" w:sz="4" w:space="0"/>
              <w:left w:val="nil"/>
              <w:bottom w:val="nil"/>
              <w:right w:val="nil"/>
            </w:tcBorders>
            <w:shd w:val="clear" w:color="auto" w:fill="auto"/>
            <w:vAlign w:val="bottom"/>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b/>
                <w:bCs/>
                <w:kern w:val="0"/>
                <w:sz w:val="20"/>
                <w:szCs w:val="20"/>
              </w:rPr>
            </w:pPr>
            <w:r>
              <w:rPr>
                <w:rFonts w:hint="eastAsia" w:ascii="宋体" w:hAnsi="宋体" w:cs="宋体"/>
                <w:b/>
                <w:bCs/>
                <w:kern w:val="0"/>
                <w:sz w:val="20"/>
                <w:szCs w:val="20"/>
              </w:rPr>
              <w:t>支               出</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20" w:hRule="atLeast"/>
        </w:trPr>
        <w:tc>
          <w:tcPr>
            <w:tcW w:w="3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    目</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合     计</w:t>
            </w:r>
          </w:p>
        </w:tc>
        <w:tc>
          <w:tcPr>
            <w:tcW w:w="129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  能  分  类</w:t>
            </w:r>
          </w:p>
        </w:tc>
        <w:tc>
          <w:tcPr>
            <w:tcW w:w="838"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合</w:t>
            </w:r>
            <w:r>
              <w:rPr>
                <w:kern w:val="0"/>
                <w:sz w:val="18"/>
                <w:szCs w:val="18"/>
              </w:rPr>
              <w:t xml:space="preserve">           </w:t>
            </w:r>
            <w:r>
              <w:rPr>
                <w:rFonts w:hint="eastAsia" w:ascii="宋体" w:hAnsi="宋体" w:cs="宋体"/>
                <w:kern w:val="0"/>
                <w:sz w:val="18"/>
                <w:szCs w:val="18"/>
              </w:rPr>
              <w:t>计</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一  般  公  共  预  算</w:t>
            </w:r>
          </w:p>
        </w:tc>
        <w:tc>
          <w:tcPr>
            <w:tcW w:w="92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基</w:t>
            </w:r>
            <w:r>
              <w:rPr>
                <w:kern w:val="0"/>
                <w:sz w:val="18"/>
                <w:szCs w:val="18"/>
              </w:rPr>
              <w:t xml:space="preserve">   </w:t>
            </w:r>
            <w:r>
              <w:rPr>
                <w:rFonts w:hint="eastAsia" w:ascii="宋体" w:hAnsi="宋体" w:cs="宋体"/>
                <w:kern w:val="0"/>
                <w:sz w:val="18"/>
                <w:szCs w:val="18"/>
              </w:rPr>
              <w:t>金</w:t>
            </w:r>
            <w:r>
              <w:rPr>
                <w:kern w:val="0"/>
                <w:sz w:val="18"/>
                <w:szCs w:val="18"/>
              </w:rPr>
              <w:t xml:space="preserve">   </w:t>
            </w:r>
            <w:r>
              <w:rPr>
                <w:rFonts w:hint="eastAsia" w:ascii="宋体" w:hAnsi="宋体" w:cs="宋体"/>
                <w:kern w:val="0"/>
                <w:sz w:val="18"/>
                <w:szCs w:val="18"/>
              </w:rPr>
              <w:t>预</w:t>
            </w:r>
            <w:r>
              <w:rPr>
                <w:kern w:val="0"/>
                <w:sz w:val="18"/>
                <w:szCs w:val="18"/>
              </w:rPr>
              <w:t xml:space="preserve">   </w:t>
            </w:r>
            <w:r>
              <w:rPr>
                <w:rFonts w:hint="eastAsia" w:ascii="宋体" w:hAnsi="宋体" w:cs="宋体"/>
                <w:kern w:val="0"/>
                <w:sz w:val="18"/>
                <w:szCs w:val="18"/>
              </w:rPr>
              <w:t>算</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财政拨款（补助）</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2882.32</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201 一般公共服务支出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812.45</w:t>
            </w:r>
            <w:r>
              <w:rPr>
                <w:rFonts w:hint="eastAsia" w:ascii="宋体" w:hAnsi="宋体" w:cs="宋体"/>
                <w:kern w:val="0"/>
                <w:sz w:val="18"/>
                <w:szCs w:val="18"/>
              </w:rPr>
              <w:t xml:space="preserve">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ascii="宋体" w:hAnsi="宋体" w:cs="宋体"/>
                <w:kern w:val="0"/>
                <w:sz w:val="18"/>
                <w:szCs w:val="18"/>
              </w:rPr>
              <w:t>812.45</w:t>
            </w:r>
          </w:p>
        </w:tc>
        <w:tc>
          <w:tcPr>
            <w:tcW w:w="921"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一般公共预算</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2882.32</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202 外交支出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nil"/>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政府性基金预算</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203 国防支出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single" w:color="auto" w:sz="4" w:space="0"/>
              <w:left w:val="nil"/>
              <w:bottom w:val="nil"/>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204 公共安全支出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single" w:color="auto" w:sz="4" w:space="0"/>
              <w:left w:val="nil"/>
              <w:bottom w:val="nil"/>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205 教育支出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206 科学技术支出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207 文化旅游体育与传媒支出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nil"/>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208 社会保障和就业支出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ascii="宋体" w:hAnsi="宋体" w:cs="宋体"/>
                <w:color w:val="000000"/>
                <w:kern w:val="0"/>
                <w:sz w:val="18"/>
                <w:szCs w:val="18"/>
                <w:lang w:bidi="ar"/>
              </w:rPr>
              <w:t>298.22</w:t>
            </w:r>
          </w:p>
        </w:tc>
        <w:tc>
          <w:tcPr>
            <w:tcW w:w="1128" w:type="dxa"/>
            <w:tcBorders>
              <w:top w:val="single" w:color="auto" w:sz="4" w:space="0"/>
              <w:left w:val="nil"/>
              <w:bottom w:val="nil"/>
              <w:right w:val="nil"/>
            </w:tcBorders>
            <w:shd w:val="clear" w:color="auto" w:fill="auto"/>
            <w:vAlign w:val="center"/>
          </w:tcPr>
          <w:p>
            <w:pPr>
              <w:widowControl/>
              <w:jc w:val="right"/>
              <w:textAlignment w:val="center"/>
              <w:rPr>
                <w:rFonts w:ascii="宋体" w:hAnsi="宋体" w:cs="宋体"/>
                <w:kern w:val="0"/>
                <w:sz w:val="18"/>
                <w:szCs w:val="18"/>
              </w:rPr>
            </w:pPr>
            <w:r>
              <w:rPr>
                <w:rFonts w:ascii="宋体" w:hAnsi="宋体" w:cs="宋体"/>
                <w:color w:val="000000"/>
                <w:kern w:val="0"/>
                <w:sz w:val="18"/>
                <w:szCs w:val="18"/>
                <w:lang w:bidi="ar"/>
              </w:rPr>
              <w:t>298.22</w:t>
            </w:r>
          </w:p>
        </w:tc>
        <w:tc>
          <w:tcPr>
            <w:tcW w:w="921"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209 社会保险基金支出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210 卫生健康支出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211 节能环保支出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212 城乡社区支出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213 农林水支出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214 交通运输支出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215 资源勘探信息等支出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216 商业服务业等支出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30" w:hRule="atLeast"/>
        </w:trPr>
        <w:tc>
          <w:tcPr>
            <w:tcW w:w="3711" w:type="dxa"/>
            <w:vMerge w:val="restart"/>
            <w:tcBorders>
              <w:top w:val="nil"/>
              <w:left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vMerge w:val="restart"/>
            <w:tcBorders>
              <w:top w:val="nil"/>
              <w:left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vMerge w:val="restart"/>
            <w:tcBorders>
              <w:top w:val="nil"/>
              <w:left w:val="nil"/>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217 金融支出</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vMerge w:val="restart"/>
            <w:tcBorders>
              <w:top w:val="nil"/>
              <w:left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5" w:hRule="atLeast"/>
        </w:trPr>
        <w:tc>
          <w:tcPr>
            <w:tcW w:w="3711" w:type="dxa"/>
            <w:vMerge w:val="continue"/>
            <w:tcBorders>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p>
        </w:tc>
        <w:tc>
          <w:tcPr>
            <w:tcW w:w="630" w:type="dxa"/>
            <w:vMerge w:val="continue"/>
            <w:tcBorders>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1294" w:type="dxa"/>
            <w:vMerge w:val="continue"/>
            <w:tcBorders>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p>
        </w:tc>
        <w:tc>
          <w:tcPr>
            <w:tcW w:w="838" w:type="dxa"/>
            <w:tcBorders>
              <w:top w:val="single" w:color="auto" w:sz="4" w:space="0"/>
              <w:left w:val="single" w:color="auto" w:sz="4" w:space="0"/>
              <w:bottom w:val="nil"/>
              <w:right w:val="single" w:color="auto" w:sz="4" w:space="0"/>
            </w:tcBorders>
            <w:shd w:val="clear" w:color="auto" w:fill="auto"/>
            <w:vAlign w:val="center"/>
          </w:tcPr>
          <w:p>
            <w:pPr>
              <w:adjustRightInd w:val="0"/>
              <w:snapToGrid w:val="0"/>
              <w:spacing w:line="600" w:lineRule="exact"/>
              <w:jc w:val="right"/>
              <w:rPr>
                <w:rFonts w:ascii="宋体" w:hAnsi="宋体" w:cs="宋体"/>
                <w:kern w:val="0"/>
                <w:sz w:val="18"/>
                <w:szCs w:val="18"/>
              </w:rPr>
            </w:pPr>
          </w:p>
        </w:tc>
        <w:tc>
          <w:tcPr>
            <w:tcW w:w="112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600" w:lineRule="exact"/>
              <w:jc w:val="right"/>
              <w:rPr>
                <w:rFonts w:ascii="宋体" w:hAnsi="宋体" w:cs="宋体"/>
                <w:kern w:val="0"/>
                <w:sz w:val="18"/>
                <w:szCs w:val="18"/>
              </w:rPr>
            </w:pPr>
          </w:p>
        </w:tc>
        <w:tc>
          <w:tcPr>
            <w:tcW w:w="921"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p>
        </w:tc>
      </w:tr>
      <w:tr>
        <w:tblPrEx>
          <w:tblLayout w:type="fixed"/>
        </w:tblPrEx>
        <w:trPr>
          <w:trHeight w:val="360" w:hRule="atLeast"/>
        </w:trPr>
        <w:tc>
          <w:tcPr>
            <w:tcW w:w="3711"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219 援助其他地区支出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220 自然资源海洋气象等支出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221 住房保障支出</w:t>
            </w:r>
          </w:p>
        </w:tc>
        <w:tc>
          <w:tcPr>
            <w:tcW w:w="838"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222 粮油物资储备支出</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223 国有资本经营预算支出</w:t>
            </w:r>
          </w:p>
        </w:tc>
        <w:tc>
          <w:tcPr>
            <w:tcW w:w="838" w:type="dxa"/>
            <w:tcBorders>
              <w:top w:val="nil"/>
              <w:left w:val="single" w:color="000000" w:sz="4" w:space="0"/>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000000" w:sz="4" w:space="0"/>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224 灾害防治及应急管理支出</w:t>
            </w:r>
          </w:p>
        </w:tc>
        <w:tc>
          <w:tcPr>
            <w:tcW w:w="838" w:type="dxa"/>
            <w:tcBorders>
              <w:top w:val="nil"/>
              <w:left w:val="single" w:color="000000" w:sz="4" w:space="0"/>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227 预备费</w:t>
            </w:r>
          </w:p>
        </w:tc>
        <w:tc>
          <w:tcPr>
            <w:tcW w:w="838" w:type="dxa"/>
            <w:tcBorders>
              <w:top w:val="nil"/>
              <w:left w:val="single" w:color="000000" w:sz="4" w:space="0"/>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229 其他支出</w:t>
            </w:r>
          </w:p>
        </w:tc>
        <w:tc>
          <w:tcPr>
            <w:tcW w:w="8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231 债务还本支出</w:t>
            </w:r>
          </w:p>
        </w:tc>
        <w:tc>
          <w:tcPr>
            <w:tcW w:w="838"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232 债务付息支出</w:t>
            </w:r>
          </w:p>
        </w:tc>
        <w:tc>
          <w:tcPr>
            <w:tcW w:w="838"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233 债务发行费支出</w:t>
            </w:r>
          </w:p>
        </w:tc>
        <w:tc>
          <w:tcPr>
            <w:tcW w:w="8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838"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single" w:color="auto" w:sz="4" w:space="0"/>
              <w:left w:val="single" w:color="auto" w:sz="4" w:space="0"/>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小           计</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p>
        </w:tc>
        <w:tc>
          <w:tcPr>
            <w:tcW w:w="129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小           计</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p>
        </w:tc>
        <w:tc>
          <w:tcPr>
            <w:tcW w:w="1128" w:type="dxa"/>
            <w:tcBorders>
              <w:top w:val="nil"/>
              <w:left w:val="nil"/>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230 转移性支出</w:t>
            </w:r>
          </w:p>
        </w:tc>
        <w:tc>
          <w:tcPr>
            <w:tcW w:w="8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3711" w:type="dxa"/>
            <w:tcBorders>
              <w:top w:val="nil"/>
              <w:left w:val="single" w:color="auto" w:sz="4" w:space="0"/>
              <w:bottom w:val="nil"/>
              <w:right w:val="nil"/>
            </w:tcBorders>
            <w:shd w:val="clear" w:color="auto" w:fill="auto"/>
            <w:vAlign w:val="bottom"/>
          </w:tcPr>
          <w:p>
            <w:pPr>
              <w:widowControl/>
              <w:adjustRightInd w:val="0"/>
              <w:snapToGrid w:val="0"/>
              <w:spacing w:line="600" w:lineRule="exact"/>
              <w:jc w:val="left"/>
              <w:rPr>
                <w:rFonts w:ascii="宋体" w:hAnsi="宋体" w:cs="宋体"/>
                <w:kern w:val="0"/>
                <w:sz w:val="18"/>
                <w:szCs w:val="18"/>
              </w:rPr>
            </w:pPr>
          </w:p>
        </w:tc>
        <w:tc>
          <w:tcPr>
            <w:tcW w:w="630" w:type="dxa"/>
            <w:tcBorders>
              <w:top w:val="nil"/>
              <w:left w:val="single" w:color="auto" w:sz="4" w:space="0"/>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9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838"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28"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right"/>
              <w:rPr>
                <w:rFonts w:ascii="宋体" w:hAnsi="宋体" w:cs="宋体"/>
                <w:color w:val="0000FF"/>
                <w:kern w:val="0"/>
                <w:sz w:val="18"/>
                <w:szCs w:val="18"/>
              </w:rPr>
            </w:pPr>
            <w:r>
              <w:rPr>
                <w:rFonts w:hint="eastAsia" w:ascii="宋体" w:hAnsi="宋体" w:cs="宋体"/>
                <w:color w:val="0000FF"/>
                <w:kern w:val="0"/>
                <w:sz w:val="18"/>
                <w:szCs w:val="18"/>
              </w:rPr>
              <w:t>　</w:t>
            </w:r>
          </w:p>
        </w:tc>
        <w:tc>
          <w:tcPr>
            <w:tcW w:w="92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3711"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收  入  总  计</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p>
        </w:tc>
        <w:tc>
          <w:tcPr>
            <w:tcW w:w="1294"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支  出  合  计</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xml:space="preserve"> </w:t>
            </w:r>
          </w:p>
        </w:tc>
        <w:tc>
          <w:tcPr>
            <w:tcW w:w="1128" w:type="dxa"/>
            <w:tcBorders>
              <w:top w:val="nil"/>
              <w:left w:val="nil"/>
              <w:bottom w:val="single" w:color="auto" w:sz="4" w:space="0"/>
              <w:right w:val="single" w:color="auto" w:sz="4" w:space="0"/>
            </w:tcBorders>
            <w:shd w:val="clear" w:color="auto" w:fill="auto"/>
            <w:vAlign w:val="center"/>
          </w:tcPr>
          <w:p>
            <w:pPr>
              <w:widowControl/>
              <w:jc w:val="right"/>
              <w:rPr>
                <w:kern w:val="0"/>
                <w:sz w:val="18"/>
                <w:szCs w:val="18"/>
              </w:rPr>
            </w:pPr>
            <w:r>
              <w:rPr>
                <w:rFonts w:hint="eastAsia"/>
                <w:sz w:val="18"/>
                <w:szCs w:val="18"/>
              </w:rPr>
              <w:t>1,110.67</w:t>
            </w:r>
          </w:p>
          <w:p>
            <w:pPr>
              <w:widowControl/>
              <w:adjustRightInd w:val="0"/>
              <w:snapToGrid w:val="0"/>
              <w:spacing w:line="600" w:lineRule="exact"/>
              <w:jc w:val="right"/>
              <w:rPr>
                <w:rFonts w:ascii="宋体" w:hAnsi="宋体" w:cs="宋体"/>
                <w:kern w:val="0"/>
                <w:sz w:val="18"/>
                <w:szCs w:val="18"/>
              </w:rPr>
            </w:pP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tbl>
      <w:tblPr>
        <w:tblStyle w:val="16"/>
        <w:tblW w:w="8522" w:type="dxa"/>
        <w:tblInd w:w="0" w:type="dxa"/>
        <w:tblLayout w:type="fixed"/>
        <w:tblCellMar>
          <w:top w:w="0" w:type="dxa"/>
          <w:left w:w="108" w:type="dxa"/>
          <w:bottom w:w="0" w:type="dxa"/>
          <w:right w:w="108" w:type="dxa"/>
        </w:tblCellMar>
      </w:tblPr>
      <w:tblGrid>
        <w:gridCol w:w="576"/>
        <w:gridCol w:w="576"/>
        <w:gridCol w:w="576"/>
        <w:gridCol w:w="2740"/>
        <w:gridCol w:w="1656"/>
        <w:gridCol w:w="1199"/>
        <w:gridCol w:w="1199"/>
      </w:tblGrid>
      <w:tr>
        <w:tblPrEx>
          <w:tblLayout w:type="fixed"/>
          <w:tblCellMar>
            <w:top w:w="0" w:type="dxa"/>
            <w:left w:w="108" w:type="dxa"/>
            <w:bottom w:w="0" w:type="dxa"/>
            <w:right w:w="108" w:type="dxa"/>
          </w:tblCellMar>
        </w:tblPrEx>
        <w:trPr>
          <w:trHeight w:val="36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一般公共预算支出</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405" w:hRule="atLeast"/>
        </w:trPr>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功能分类科目编码</w:t>
            </w:r>
          </w:p>
        </w:tc>
        <w:tc>
          <w:tcPr>
            <w:tcW w:w="2740"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功能分类科目名称</w:t>
            </w:r>
          </w:p>
        </w:tc>
        <w:tc>
          <w:tcPr>
            <w:tcW w:w="1656" w:type="dxa"/>
            <w:vMerge w:val="restart"/>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总      计</w:t>
            </w:r>
          </w:p>
        </w:tc>
        <w:tc>
          <w:tcPr>
            <w:tcW w:w="119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基本支出</w:t>
            </w:r>
          </w:p>
        </w:tc>
        <w:tc>
          <w:tcPr>
            <w:tcW w:w="119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60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w:t>
            </w:r>
          </w:p>
        </w:tc>
        <w:tc>
          <w:tcPr>
            <w:tcW w:w="2740"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656"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199"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99"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PrEx>
        <w:trPr>
          <w:trHeight w:val="60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2740"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656"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199"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99"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2740"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65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1199"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1199"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合计</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99"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石河子税务局机关</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201</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一般公共服务支出</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07</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税收事务</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201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07</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01</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行政运行</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812.45</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社会保障和就业支出</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行政事业单位离退休</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298.22</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04</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未归口管理的行政单位离退休</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208</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05</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05</w:t>
            </w:r>
          </w:p>
        </w:tc>
        <w:tc>
          <w:tcPr>
            <w:tcW w:w="2740"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16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199"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19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tbl>
      <w:tblPr>
        <w:tblStyle w:val="16"/>
        <w:tblW w:w="8522" w:type="dxa"/>
        <w:tblInd w:w="0" w:type="dxa"/>
        <w:tblLayout w:type="fixed"/>
        <w:tblCellMar>
          <w:top w:w="0" w:type="dxa"/>
          <w:left w:w="108" w:type="dxa"/>
          <w:bottom w:w="0" w:type="dxa"/>
          <w:right w:w="108" w:type="dxa"/>
        </w:tblCellMar>
      </w:tblPr>
      <w:tblGrid>
        <w:gridCol w:w="576"/>
        <w:gridCol w:w="576"/>
        <w:gridCol w:w="2999"/>
        <w:gridCol w:w="2016"/>
        <w:gridCol w:w="1177"/>
        <w:gridCol w:w="1178"/>
      </w:tblGrid>
      <w:tr>
        <w:tblPrEx>
          <w:tblLayout w:type="fixed"/>
          <w:tblCellMar>
            <w:top w:w="0" w:type="dxa"/>
            <w:left w:w="108" w:type="dxa"/>
            <w:bottom w:w="0" w:type="dxa"/>
            <w:right w:w="108" w:type="dxa"/>
          </w:tblCellMar>
        </w:tblPrEx>
        <w:trPr>
          <w:trHeight w:val="36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w:t>
            </w:r>
          </w:p>
        </w:tc>
        <w:tc>
          <w:tcPr>
            <w:tcW w:w="576"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299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20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一般公共预算基本支出</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5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经济分类科目编码</w:t>
            </w:r>
          </w:p>
        </w:tc>
        <w:tc>
          <w:tcPr>
            <w:tcW w:w="2999" w:type="dxa"/>
            <w:vMerge w:val="restart"/>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经济分类科目名称</w:t>
            </w:r>
          </w:p>
        </w:tc>
        <w:tc>
          <w:tcPr>
            <w:tcW w:w="2016" w:type="dxa"/>
            <w:vMerge w:val="restart"/>
            <w:tcBorders>
              <w:top w:val="nil"/>
              <w:left w:val="single" w:color="auto" w:sz="4" w:space="0"/>
              <w:bottom w:val="single" w:color="auto" w:sz="4" w:space="0"/>
              <w:right w:val="single" w:color="000000"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总   计</w:t>
            </w:r>
          </w:p>
        </w:tc>
        <w:tc>
          <w:tcPr>
            <w:tcW w:w="1177" w:type="dxa"/>
            <w:vMerge w:val="restart"/>
            <w:tcBorders>
              <w:top w:val="nil"/>
              <w:left w:val="nil"/>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人员经费</w:t>
            </w:r>
          </w:p>
        </w:tc>
        <w:tc>
          <w:tcPr>
            <w:tcW w:w="117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公用经费</w:t>
            </w:r>
          </w:p>
        </w:tc>
      </w:tr>
      <w:tr>
        <w:tblPrEx>
          <w:tblLayout w:type="fixed"/>
          <w:tblCellMar>
            <w:top w:w="0" w:type="dxa"/>
            <w:left w:w="108" w:type="dxa"/>
            <w:bottom w:w="0" w:type="dxa"/>
            <w:right w:w="108" w:type="dxa"/>
          </w:tblCellMar>
        </w:tblPrEx>
        <w:trPr>
          <w:trHeight w:val="600" w:hRule="atLeast"/>
        </w:trPr>
        <w:tc>
          <w:tcPr>
            <w:tcW w:w="115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left"/>
              <w:rPr>
                <w:rFonts w:ascii="宋体" w:hAnsi="宋体" w:cs="宋体"/>
                <w:kern w:val="0"/>
                <w:sz w:val="18"/>
                <w:szCs w:val="18"/>
              </w:rPr>
            </w:pPr>
          </w:p>
        </w:tc>
        <w:tc>
          <w:tcPr>
            <w:tcW w:w="2999" w:type="dxa"/>
            <w:vMerge w:val="continue"/>
            <w:tcBorders>
              <w:top w:val="nil"/>
              <w:left w:val="nil"/>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2016"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spacing w:line="600" w:lineRule="exact"/>
              <w:jc w:val="left"/>
              <w:rPr>
                <w:rFonts w:ascii="宋体" w:hAnsi="宋体" w:cs="宋体"/>
                <w:kern w:val="0"/>
                <w:sz w:val="18"/>
                <w:szCs w:val="18"/>
              </w:rPr>
            </w:pPr>
          </w:p>
        </w:tc>
        <w:tc>
          <w:tcPr>
            <w:tcW w:w="1177" w:type="dxa"/>
            <w:vMerge w:val="continue"/>
            <w:tcBorders>
              <w:top w:val="nil"/>
              <w:left w:val="nil"/>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7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76" w:type="dxa"/>
            <w:tcBorders>
              <w:top w:val="nil"/>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2999" w:type="dxa"/>
            <w:vMerge w:val="continue"/>
            <w:tcBorders>
              <w:top w:val="nil"/>
              <w:left w:val="nil"/>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2016" w:type="dxa"/>
            <w:vMerge w:val="continue"/>
            <w:tcBorders>
              <w:top w:val="nil"/>
              <w:left w:val="single" w:color="auto" w:sz="4" w:space="0"/>
              <w:bottom w:val="single" w:color="auto" w:sz="4" w:space="0"/>
              <w:right w:val="single" w:color="000000" w:sz="4" w:space="0"/>
            </w:tcBorders>
            <w:vAlign w:val="center"/>
          </w:tcPr>
          <w:p>
            <w:pPr>
              <w:widowControl/>
              <w:adjustRightInd w:val="0"/>
              <w:snapToGrid w:val="0"/>
              <w:spacing w:line="600" w:lineRule="exact"/>
              <w:jc w:val="left"/>
              <w:rPr>
                <w:rFonts w:ascii="宋体" w:hAnsi="宋体" w:cs="宋体"/>
                <w:kern w:val="0"/>
                <w:sz w:val="18"/>
                <w:szCs w:val="18"/>
              </w:rPr>
            </w:pPr>
          </w:p>
        </w:tc>
        <w:tc>
          <w:tcPr>
            <w:tcW w:w="1177" w:type="dxa"/>
            <w:vMerge w:val="continue"/>
            <w:tcBorders>
              <w:top w:val="nil"/>
              <w:left w:val="nil"/>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7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75" w:hRule="atLeast"/>
        </w:trPr>
        <w:tc>
          <w:tcPr>
            <w:tcW w:w="576" w:type="dxa"/>
            <w:tcBorders>
              <w:top w:val="nil"/>
              <w:left w:val="single" w:color="auto" w:sz="4" w:space="0"/>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2999"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201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1177"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1178"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r>
      <w:tr>
        <w:tblPrEx>
          <w:tblLayout w:type="fixed"/>
        </w:tblPrEx>
        <w:trPr>
          <w:trHeight w:val="360" w:hRule="atLeast"/>
        </w:trPr>
        <w:tc>
          <w:tcPr>
            <w:tcW w:w="57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999"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合计</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kern w:val="0"/>
                <w:sz w:val="18"/>
                <w:szCs w:val="18"/>
              </w:rPr>
              <w:t>1,110.67</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ascii="宋体" w:hAnsi="宋体" w:cs="宋体"/>
                <w:color w:val="000000"/>
                <w:kern w:val="0"/>
                <w:sz w:val="18"/>
                <w:szCs w:val="18"/>
                <w:lang w:bidi="ar"/>
              </w:rPr>
              <w:t>20.59</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石河子税务局机关</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1,110.67</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1,090.08</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20.59</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工资福利支出</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880.54</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880.54</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02</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津贴补贴</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607.81</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607.81</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08</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机关事业单位基本养老保险缴费</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88.68</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10</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职工基本医疗保险缴费</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54.70</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54.70</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11</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公务员医疗补助缴费</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42.55</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42.55</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12</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其他社会保障缴费</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0.56</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0.56</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13</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住房公积金</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72.94</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72.94</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301</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99</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其他工资福利支出</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13.30</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13.30</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302</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商品和服务支出</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20.59</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20.59</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302</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08</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取暖费</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20.59</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20.59</w:t>
            </w:r>
          </w:p>
        </w:tc>
      </w:tr>
      <w:tr>
        <w:tblPrEx>
          <w:tblLayout w:type="fixed"/>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303</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对个人和家庭的补助</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209.54</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303</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05</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生活补助</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83.16</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83.16</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303</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07</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医疗费补助</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113.82</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113.82</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60" w:hRule="atLeast"/>
        </w:trPr>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  303</w:t>
            </w:r>
          </w:p>
        </w:tc>
        <w:tc>
          <w:tcPr>
            <w:tcW w:w="576"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99</w:t>
            </w:r>
          </w:p>
        </w:tc>
        <w:tc>
          <w:tcPr>
            <w:tcW w:w="2999" w:type="dxa"/>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xml:space="preserve">    其他对个人和家庭的补助支出</w:t>
            </w:r>
          </w:p>
        </w:tc>
        <w:tc>
          <w:tcPr>
            <w:tcW w:w="20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12.56</w:t>
            </w:r>
          </w:p>
        </w:tc>
        <w:tc>
          <w:tcPr>
            <w:tcW w:w="1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12.56</w:t>
            </w:r>
          </w:p>
        </w:tc>
        <w:tc>
          <w:tcPr>
            <w:tcW w:w="11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0.00</w:t>
            </w:r>
          </w:p>
        </w:tc>
      </w:tr>
    </w:tbl>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tbl>
      <w:tblPr>
        <w:tblStyle w:val="16"/>
        <w:tblW w:w="9036" w:type="dxa"/>
        <w:tblInd w:w="0" w:type="dxa"/>
        <w:tblLayout w:type="fixed"/>
        <w:tblCellMar>
          <w:top w:w="0" w:type="dxa"/>
          <w:left w:w="108" w:type="dxa"/>
          <w:bottom w:w="0" w:type="dxa"/>
          <w:right w:w="108" w:type="dxa"/>
        </w:tblCellMar>
      </w:tblPr>
      <w:tblGrid>
        <w:gridCol w:w="576"/>
        <w:gridCol w:w="576"/>
        <w:gridCol w:w="576"/>
        <w:gridCol w:w="1656"/>
        <w:gridCol w:w="936"/>
        <w:gridCol w:w="396"/>
        <w:gridCol w:w="396"/>
        <w:gridCol w:w="396"/>
        <w:gridCol w:w="396"/>
        <w:gridCol w:w="396"/>
        <w:gridCol w:w="576"/>
        <w:gridCol w:w="396"/>
        <w:gridCol w:w="576"/>
        <w:gridCol w:w="396"/>
        <w:gridCol w:w="396"/>
        <w:gridCol w:w="396"/>
      </w:tblGrid>
      <w:tr>
        <w:tblPrEx>
          <w:tblLayout w:type="fixed"/>
          <w:tblCellMar>
            <w:top w:w="0" w:type="dxa"/>
            <w:left w:w="108" w:type="dxa"/>
            <w:bottom w:w="0" w:type="dxa"/>
            <w:right w:w="108" w:type="dxa"/>
          </w:tblCellMar>
        </w:tblPrEx>
        <w:trPr>
          <w:trHeight w:val="580" w:hRule="atLeast"/>
        </w:trPr>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功能分类科目编码</w:t>
            </w:r>
          </w:p>
        </w:tc>
        <w:tc>
          <w:tcPr>
            <w:tcW w:w="1656"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项目名称</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项目支出合计</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工资福利支出</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商品和服务支出</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对个人和家庭的补助支出</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债务利息及费用支出</w:t>
            </w:r>
          </w:p>
        </w:tc>
        <w:tc>
          <w:tcPr>
            <w:tcW w:w="5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资本性支出（基本建设）</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资本性支出</w:t>
            </w:r>
          </w:p>
        </w:tc>
        <w:tc>
          <w:tcPr>
            <w:tcW w:w="5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对企业补助（基本建设）</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对企业补助</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对社会保障基金补助</w:t>
            </w:r>
          </w:p>
        </w:tc>
        <w:tc>
          <w:tcPr>
            <w:tcW w:w="3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其他支出</w:t>
            </w:r>
          </w:p>
        </w:tc>
      </w:tr>
      <w:tr>
        <w:tblPrEx>
          <w:tblLayout w:type="fixed"/>
          <w:tblCellMar>
            <w:top w:w="0" w:type="dxa"/>
            <w:left w:w="108" w:type="dxa"/>
            <w:bottom w:w="0" w:type="dxa"/>
            <w:right w:w="108" w:type="dxa"/>
          </w:tblCellMar>
        </w:tblPrEx>
        <w:trPr>
          <w:trHeight w:val="60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w:t>
            </w:r>
          </w:p>
        </w:tc>
        <w:tc>
          <w:tcPr>
            <w:tcW w:w="165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PrEx>
        <w:trPr>
          <w:trHeight w:val="60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65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29" w:hRule="atLeast"/>
        </w:trPr>
        <w:tc>
          <w:tcPr>
            <w:tcW w:w="57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single" w:color="auto" w:sz="4" w:space="0"/>
              <w:left w:val="nil"/>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656" w:type="dxa"/>
            <w:tcBorders>
              <w:top w:val="nil"/>
              <w:left w:val="nil"/>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936" w:type="dxa"/>
            <w:tcBorders>
              <w:top w:val="nil"/>
              <w:left w:val="nil"/>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396" w:type="dxa"/>
            <w:tcBorders>
              <w:top w:val="nil"/>
              <w:left w:val="nil"/>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4</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5</w:t>
            </w:r>
          </w:p>
        </w:tc>
        <w:tc>
          <w:tcPr>
            <w:tcW w:w="5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6</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7</w:t>
            </w:r>
          </w:p>
        </w:tc>
        <w:tc>
          <w:tcPr>
            <w:tcW w:w="5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8</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9</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10</w:t>
            </w:r>
          </w:p>
        </w:tc>
        <w:tc>
          <w:tcPr>
            <w:tcW w:w="39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11</w:t>
            </w:r>
          </w:p>
        </w:tc>
      </w:tr>
      <w:tr>
        <w:tblPrEx>
          <w:tblLayout w:type="fixed"/>
          <w:tblCellMar>
            <w:top w:w="0" w:type="dxa"/>
            <w:left w:w="108" w:type="dxa"/>
            <w:bottom w:w="0" w:type="dxa"/>
            <w:right w:w="108" w:type="dxa"/>
          </w:tblCellMar>
        </w:tblPrEx>
        <w:trPr>
          <w:trHeight w:val="429"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cs="宋体"/>
          <w:kern w:val="0"/>
          <w:sz w:val="32"/>
          <w:szCs w:val="32"/>
        </w:rPr>
      </w:pPr>
    </w:p>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tbl>
      <w:tblPr>
        <w:tblStyle w:val="16"/>
        <w:tblW w:w="8522" w:type="dxa"/>
        <w:tblInd w:w="0" w:type="dxa"/>
        <w:tblLayout w:type="fixed"/>
        <w:tblCellMar>
          <w:top w:w="0" w:type="dxa"/>
          <w:left w:w="108" w:type="dxa"/>
          <w:bottom w:w="0" w:type="dxa"/>
          <w:right w:w="108" w:type="dxa"/>
        </w:tblCellMar>
      </w:tblPr>
      <w:tblGrid>
        <w:gridCol w:w="2394"/>
        <w:gridCol w:w="1286"/>
        <w:gridCol w:w="924"/>
        <w:gridCol w:w="934"/>
        <w:gridCol w:w="934"/>
        <w:gridCol w:w="934"/>
        <w:gridCol w:w="1116"/>
      </w:tblGrid>
      <w:tr>
        <w:tblPrEx>
          <w:tblLayout w:type="fixed"/>
          <w:tblCellMar>
            <w:top w:w="0" w:type="dxa"/>
            <w:left w:w="108" w:type="dxa"/>
            <w:bottom w:w="0" w:type="dxa"/>
            <w:right w:w="108" w:type="dxa"/>
          </w:tblCellMar>
        </w:tblPrEx>
        <w:trPr>
          <w:trHeight w:val="600" w:hRule="atLeast"/>
        </w:trPr>
        <w:tc>
          <w:tcPr>
            <w:tcW w:w="2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xml:space="preserve">单  位 </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合计</w:t>
            </w:r>
          </w:p>
        </w:tc>
        <w:tc>
          <w:tcPr>
            <w:tcW w:w="924" w:type="dxa"/>
            <w:vMerge w:val="restart"/>
            <w:tcBorders>
              <w:top w:val="single" w:color="auto" w:sz="4" w:space="0"/>
              <w:left w:val="single" w:color="auto" w:sz="4" w:space="0"/>
              <w:bottom w:val="single" w:color="000000"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因公出国（境）费</w:t>
            </w:r>
          </w:p>
        </w:tc>
        <w:tc>
          <w:tcPr>
            <w:tcW w:w="2802" w:type="dxa"/>
            <w:gridSpan w:val="3"/>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公务用车购置及运行费</w:t>
            </w:r>
          </w:p>
        </w:tc>
        <w:tc>
          <w:tcPr>
            <w:tcW w:w="11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公务接待费</w:t>
            </w:r>
          </w:p>
        </w:tc>
      </w:tr>
      <w:tr>
        <w:tblPrEx>
          <w:tblLayout w:type="fixed"/>
          <w:tblCellMar>
            <w:top w:w="0" w:type="dxa"/>
            <w:left w:w="108" w:type="dxa"/>
            <w:bottom w:w="0" w:type="dxa"/>
            <w:right w:w="108" w:type="dxa"/>
          </w:tblCellMar>
        </w:tblPrEx>
        <w:trPr>
          <w:trHeight w:val="600" w:hRule="atLeast"/>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924" w:type="dxa"/>
            <w:vMerge w:val="continue"/>
            <w:tcBorders>
              <w:top w:val="single" w:color="auto" w:sz="4" w:space="0"/>
              <w:left w:val="single" w:color="auto" w:sz="4" w:space="0"/>
              <w:bottom w:val="single" w:color="000000"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2802" w:type="dxa"/>
            <w:gridSpan w:val="3"/>
            <w:vMerge w:val="continue"/>
            <w:tcBorders>
              <w:top w:val="single" w:color="auto" w:sz="4" w:space="0"/>
              <w:left w:val="single" w:color="000000"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1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239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924" w:type="dxa"/>
            <w:vMerge w:val="continue"/>
            <w:tcBorders>
              <w:top w:val="single" w:color="auto" w:sz="4" w:space="0"/>
              <w:left w:val="single" w:color="auto" w:sz="4" w:space="0"/>
              <w:bottom w:val="single" w:color="000000"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93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小计</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公务用车运行费</w:t>
            </w:r>
          </w:p>
        </w:tc>
        <w:tc>
          <w:tcPr>
            <w:tcW w:w="111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2394" w:type="dxa"/>
            <w:tcBorders>
              <w:top w:val="nil"/>
              <w:left w:val="single" w:color="auto" w:sz="4" w:space="0"/>
              <w:bottom w:val="nil"/>
              <w:right w:val="single" w:color="auto" w:sz="4" w:space="0"/>
            </w:tcBorders>
            <w:shd w:val="clear" w:color="000000" w:fill="FFFFFF"/>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28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4</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5</w:t>
            </w:r>
          </w:p>
        </w:tc>
        <w:tc>
          <w:tcPr>
            <w:tcW w:w="11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28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9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cs="宋体"/>
          <w:kern w:val="0"/>
          <w:sz w:val="32"/>
          <w:szCs w:val="32"/>
        </w:rPr>
      </w:pPr>
    </w:p>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tbl>
      <w:tblPr>
        <w:tblStyle w:val="16"/>
        <w:tblW w:w="8522" w:type="dxa"/>
        <w:tblInd w:w="0" w:type="dxa"/>
        <w:tblLayout w:type="fixed"/>
        <w:tblCellMar>
          <w:top w:w="0" w:type="dxa"/>
          <w:left w:w="108" w:type="dxa"/>
          <w:bottom w:w="0" w:type="dxa"/>
          <w:right w:w="108" w:type="dxa"/>
        </w:tblCellMar>
      </w:tblPr>
      <w:tblGrid>
        <w:gridCol w:w="576"/>
        <w:gridCol w:w="576"/>
        <w:gridCol w:w="576"/>
        <w:gridCol w:w="2596"/>
        <w:gridCol w:w="1836"/>
        <w:gridCol w:w="1181"/>
        <w:gridCol w:w="1181"/>
      </w:tblGrid>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25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8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政府性基金预算支出</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75" w:hRule="atLeast"/>
        </w:trPr>
        <w:tc>
          <w:tcPr>
            <w:tcW w:w="1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功能分类科目编码</w:t>
            </w:r>
          </w:p>
        </w:tc>
        <w:tc>
          <w:tcPr>
            <w:tcW w:w="2596"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功能分类科目名称</w:t>
            </w:r>
          </w:p>
        </w:tc>
        <w:tc>
          <w:tcPr>
            <w:tcW w:w="1836" w:type="dxa"/>
            <w:vMerge w:val="restart"/>
            <w:tcBorders>
              <w:top w:val="nil"/>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总      计</w:t>
            </w:r>
          </w:p>
        </w:tc>
        <w:tc>
          <w:tcPr>
            <w:tcW w:w="118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基本支出</w:t>
            </w:r>
          </w:p>
        </w:tc>
        <w:tc>
          <w:tcPr>
            <w:tcW w:w="118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项目支出</w:t>
            </w:r>
          </w:p>
        </w:tc>
      </w:tr>
      <w:tr>
        <w:tblPrEx>
          <w:tblLayout w:type="fixed"/>
        </w:tblPrEx>
        <w:trPr>
          <w:trHeight w:val="60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类</w:t>
            </w:r>
          </w:p>
        </w:tc>
        <w:tc>
          <w:tcPr>
            <w:tcW w:w="57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款</w:t>
            </w:r>
          </w:p>
        </w:tc>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项</w:t>
            </w:r>
          </w:p>
        </w:tc>
        <w:tc>
          <w:tcPr>
            <w:tcW w:w="2596"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836"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1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2596" w:type="dxa"/>
            <w:vMerge w:val="continue"/>
            <w:tcBorders>
              <w:top w:val="nil"/>
              <w:left w:val="nil"/>
              <w:bottom w:val="single" w:color="auto"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836" w:type="dxa"/>
            <w:vMerge w:val="continue"/>
            <w:tcBorders>
              <w:top w:val="nil"/>
              <w:left w:val="single" w:color="auto" w:sz="4" w:space="0"/>
              <w:bottom w:val="single" w:color="auto" w:sz="4" w:space="0"/>
              <w:right w:val="nil"/>
            </w:tcBorders>
            <w:vAlign w:val="center"/>
          </w:tcPr>
          <w:p>
            <w:pPr>
              <w:widowControl/>
              <w:adjustRightInd w:val="0"/>
              <w:snapToGrid w:val="0"/>
              <w:spacing w:line="600" w:lineRule="exact"/>
              <w:jc w:val="left"/>
              <w:rPr>
                <w:rFonts w:ascii="宋体" w:hAnsi="宋体" w:cs="宋体"/>
                <w:kern w:val="0"/>
                <w:sz w:val="18"/>
                <w:szCs w:val="18"/>
              </w:rPr>
            </w:pPr>
          </w:p>
        </w:tc>
        <w:tc>
          <w:tcPr>
            <w:tcW w:w="11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c>
          <w:tcPr>
            <w:tcW w:w="11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6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576"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259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w:t>
            </w:r>
          </w:p>
        </w:tc>
        <w:tc>
          <w:tcPr>
            <w:tcW w:w="1836"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1</w:t>
            </w:r>
          </w:p>
        </w:tc>
        <w:tc>
          <w:tcPr>
            <w:tcW w:w="118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2</w:t>
            </w:r>
          </w:p>
        </w:tc>
        <w:tc>
          <w:tcPr>
            <w:tcW w:w="1181" w:type="dxa"/>
            <w:tcBorders>
              <w:top w:val="nil"/>
              <w:left w:val="nil"/>
              <w:bottom w:val="nil"/>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3</w:t>
            </w:r>
          </w:p>
        </w:tc>
      </w:tr>
      <w:tr>
        <w:tblPrEx>
          <w:tblLayout w:type="fixed"/>
        </w:tblPrEx>
        <w:trPr>
          <w:trHeight w:val="3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57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center"/>
              <w:rPr>
                <w:rFonts w:ascii="宋体" w:hAnsi="宋体" w:cs="宋体"/>
                <w:kern w:val="0"/>
                <w:sz w:val="18"/>
                <w:szCs w:val="18"/>
              </w:rPr>
            </w:pPr>
            <w:r>
              <w:rPr>
                <w:rFonts w:hint="eastAsia" w:ascii="宋体" w:hAnsi="宋体" w:cs="宋体"/>
                <w:kern w:val="0"/>
                <w:sz w:val="18"/>
                <w:szCs w:val="18"/>
              </w:rPr>
              <w:t>　</w:t>
            </w:r>
          </w:p>
        </w:tc>
        <w:tc>
          <w:tcPr>
            <w:tcW w:w="2596"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spacing w:line="600" w:lineRule="exact"/>
              <w:jc w:val="left"/>
              <w:rPr>
                <w:rFonts w:ascii="宋体" w:hAnsi="宋体" w:cs="宋体"/>
                <w:kern w:val="0"/>
                <w:sz w:val="18"/>
                <w:szCs w:val="18"/>
              </w:rPr>
            </w:pPr>
            <w:r>
              <w:rPr>
                <w:rFonts w:hint="eastAsia" w:ascii="宋体" w:hAnsi="宋体" w:cs="宋体"/>
                <w:kern w:val="0"/>
                <w:sz w:val="18"/>
                <w:szCs w:val="18"/>
              </w:rPr>
              <w:t>　</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81" w:type="dxa"/>
            <w:tcBorders>
              <w:top w:val="single" w:color="auto" w:sz="4" w:space="0"/>
              <w:left w:val="nil"/>
              <w:bottom w:val="single" w:color="auto" w:sz="4" w:space="0"/>
              <w:right w:val="nil"/>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00" w:lineRule="exact"/>
              <w:jc w:val="right"/>
              <w:rPr>
                <w:rFonts w:ascii="宋体" w:hAnsi="宋体" w:cs="宋体"/>
                <w:kern w:val="0"/>
                <w:sz w:val="18"/>
                <w:szCs w:val="18"/>
              </w:rPr>
            </w:pPr>
            <w:r>
              <w:rPr>
                <w:rFonts w:hint="eastAsia" w:ascii="宋体" w:hAnsi="宋体" w:cs="宋体"/>
                <w:kern w:val="0"/>
                <w:sz w:val="18"/>
                <w:szCs w:val="18"/>
              </w:rPr>
              <w:t>　</w:t>
            </w: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国家税务总局石河子税务局机关没有政府性基金，本表为空表</w:t>
      </w:r>
    </w:p>
    <w:p>
      <w:pPr>
        <w:widowControl/>
        <w:adjustRightInd w:val="0"/>
        <w:snapToGrid w:val="0"/>
        <w:spacing w:line="600" w:lineRule="exact"/>
        <w:outlineLvl w:val="1"/>
        <w:rPr>
          <w:rFonts w:ascii="仿宋_GB2312" w:hAnsi="宋体" w:eastAsia="仿宋_GB2312"/>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第三部分  2019年部门预算情况说明</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一、关于国家税务总局石河子税务局机关2019年收支预算情况的总体说明</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rPr>
        <w:t>国家税务总局石河子税务局机关2019年</w:t>
      </w:r>
      <w:r>
        <w:rPr>
          <w:rFonts w:hint="eastAsia" w:ascii="仿宋_GB2312" w:hAnsi="宋体" w:eastAsia="仿宋_GB2312" w:cs="宋体"/>
          <w:kern w:val="0"/>
          <w:sz w:val="32"/>
          <w:szCs w:val="32"/>
        </w:rPr>
        <w:t>所有收入和支出均纳入部门预算管理。收支总预算</w:t>
      </w:r>
      <w:r>
        <w:rPr>
          <w:rFonts w:ascii="仿宋_GB2312" w:hAnsi="宋体" w:eastAsia="仿宋_GB2312"/>
          <w:kern w:val="0"/>
          <w:sz w:val="32"/>
          <w:szCs w:val="32"/>
        </w:rPr>
        <w:t>1110.67</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二、关于国家税务总局石河子税务局机关2019年收入预算情况说明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国家税务总局石河子税务局机关</w:t>
      </w:r>
      <w:r>
        <w:rPr>
          <w:rFonts w:hint="eastAsia" w:ascii="仿宋_GB2312" w:hAnsi="宋体" w:eastAsia="仿宋_GB2312" w:cs="宋体"/>
          <w:kern w:val="0"/>
          <w:sz w:val="32"/>
          <w:szCs w:val="32"/>
        </w:rPr>
        <w:t>收入预算</w:t>
      </w:r>
      <w:r>
        <w:rPr>
          <w:rFonts w:ascii="仿宋_GB2312" w:hAnsi="宋体" w:eastAsia="仿宋_GB2312"/>
          <w:kern w:val="0"/>
          <w:sz w:val="32"/>
          <w:szCs w:val="32"/>
        </w:rPr>
        <w:t>1110.67</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元，其中：</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kern w:val="0"/>
          <w:sz w:val="32"/>
          <w:szCs w:val="32"/>
        </w:rPr>
        <w:t>1110.67</w:t>
      </w:r>
      <w:r>
        <w:rPr>
          <w:rFonts w:hint="eastAsia" w:ascii="仿宋_GB2312" w:hAnsi="宋体" w:eastAsia="仿宋_GB2312" w:cs="宋体"/>
          <w:kern w:val="0"/>
          <w:sz w:val="32"/>
          <w:szCs w:val="32"/>
        </w:rPr>
        <w:t>万元，占100 %，2018年国地税征管改革,原石河子</w:t>
      </w:r>
      <w:r>
        <w:rPr>
          <w:rFonts w:hint="eastAsia" w:ascii="仿宋_GB2312" w:hAnsi="宋体" w:eastAsia="仿宋_GB2312"/>
          <w:kern w:val="0"/>
          <w:sz w:val="32"/>
          <w:szCs w:val="32"/>
        </w:rPr>
        <w:t xml:space="preserve">地方税务局与原石河子国家税务局合并为国家税务总局石河子税务局，经费保障体制随之发生变化，自治区财政保障范围为按照国家政策执行属地标准的工资项目，及其涉及的养老保险缴费、医疗保险缴费、住房公积金等单位按照规定缴存部分；按照国家政策执行地方标准的丧葬费、遗属补助等。    </w:t>
      </w:r>
    </w:p>
    <w:p>
      <w:pPr>
        <w:widowControl/>
        <w:adjustRightInd w:val="0"/>
        <w:snapToGrid w:val="0"/>
        <w:spacing w:line="600" w:lineRule="exact"/>
        <w:ind w:firstLine="640"/>
        <w:jc w:val="left"/>
        <w:rPr>
          <w:rFonts w:ascii="仿宋_GB2312" w:hAnsi="宋体" w:eastAsia="仿宋_GB2312"/>
          <w:kern w:val="0"/>
          <w:sz w:val="32"/>
          <w:szCs w:val="32"/>
        </w:rPr>
      </w:pPr>
      <w:r>
        <w:rPr>
          <w:rFonts w:hint="eastAsia" w:ascii="仿宋_GB2312" w:hAnsi="宋体" w:eastAsia="仿宋_GB2312"/>
          <w:kern w:val="0"/>
          <w:sz w:val="32"/>
          <w:szCs w:val="32"/>
        </w:rPr>
        <w:t>政府性基金预算未安排。</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三、关于国家税务总局石河子税务局机关2019年支出预算情况说明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国家税务总局石河子税务局机关2019年</w:t>
      </w:r>
      <w:r>
        <w:rPr>
          <w:rFonts w:hint="eastAsia" w:ascii="仿宋_GB2312" w:hAnsi="宋体" w:eastAsia="仿宋_GB2312" w:cs="宋体"/>
          <w:kern w:val="0"/>
          <w:sz w:val="32"/>
          <w:szCs w:val="32"/>
        </w:rPr>
        <w:t>支出预算</w:t>
      </w:r>
      <w:r>
        <w:rPr>
          <w:rFonts w:ascii="仿宋_GB2312" w:hAnsi="宋体" w:eastAsia="仿宋_GB2312"/>
          <w:kern w:val="0"/>
          <w:sz w:val="32"/>
          <w:szCs w:val="32"/>
        </w:rPr>
        <w:t>1110.67</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 xml:space="preserve">元，全部为基本支出预算，项目支出预算未安排。   </w:t>
      </w:r>
    </w:p>
    <w:p>
      <w:pPr>
        <w:widowControl/>
        <w:adjustRightInd w:val="0"/>
        <w:snapToGrid w:val="0"/>
        <w:spacing w:line="600" w:lineRule="exact"/>
        <w:ind w:firstLine="640" w:firstLineChars="200"/>
        <w:outlineLvl w:val="1"/>
        <w:rPr>
          <w:rFonts w:ascii="黑体" w:hAnsi="黑体" w:eastAsia="黑体"/>
          <w:bCs/>
          <w:kern w:val="0"/>
          <w:sz w:val="32"/>
          <w:szCs w:val="32"/>
        </w:rPr>
      </w:pPr>
      <w:r>
        <w:rPr>
          <w:rFonts w:hint="eastAsia" w:ascii="黑体" w:hAnsi="黑体" w:eastAsia="黑体"/>
          <w:bCs/>
          <w:kern w:val="0"/>
          <w:sz w:val="32"/>
          <w:szCs w:val="32"/>
        </w:rPr>
        <w:t>四、关于</w:t>
      </w:r>
      <w:r>
        <w:rPr>
          <w:rFonts w:hint="eastAsia" w:ascii="黑体" w:hAnsi="黑体" w:eastAsia="黑体"/>
          <w:kern w:val="0"/>
          <w:sz w:val="32"/>
          <w:szCs w:val="32"/>
        </w:rPr>
        <w:t>国家税务总局石河子税务局机关2019年</w:t>
      </w:r>
      <w:r>
        <w:rPr>
          <w:rFonts w:hint="eastAsia" w:ascii="黑体" w:hAnsi="黑体" w:eastAsia="黑体"/>
          <w:bCs/>
          <w:kern w:val="0"/>
          <w:sz w:val="32"/>
          <w:szCs w:val="32"/>
        </w:rPr>
        <w:t>财政拨款收支预算情况的总体说明</w:t>
      </w:r>
    </w:p>
    <w:p>
      <w:pPr>
        <w:adjustRightInd w:val="0"/>
        <w:snapToGrid w:val="0"/>
        <w:spacing w:line="600" w:lineRule="exact"/>
        <w:ind w:firstLine="640"/>
        <w:rPr>
          <w:rFonts w:ascii="仿宋_GB2312" w:hAnsi="宋体" w:eastAsia="仿宋_GB2312"/>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kern w:val="0"/>
          <w:sz w:val="32"/>
          <w:szCs w:val="32"/>
        </w:rPr>
        <w:t>019年财政拨款收支总预算</w:t>
      </w:r>
      <w:r>
        <w:rPr>
          <w:rFonts w:ascii="仿宋_GB2312" w:hAnsi="宋体" w:eastAsia="仿宋_GB2312"/>
          <w:kern w:val="0"/>
          <w:sz w:val="32"/>
          <w:szCs w:val="32"/>
        </w:rPr>
        <w:t>1110.67</w:t>
      </w:r>
      <w:r>
        <w:rPr>
          <w:rFonts w:hint="eastAsia" w:ascii="仿宋_GB2312" w:hAnsi="宋体" w:eastAsia="仿宋_GB2312"/>
          <w:kern w:val="0"/>
          <w:sz w:val="32"/>
          <w:szCs w:val="32"/>
        </w:rPr>
        <w:t>万元，其中2010701行政运行</w:t>
      </w:r>
      <w:r>
        <w:rPr>
          <w:rFonts w:ascii="仿宋_GB2312" w:hAnsi="宋体" w:eastAsia="仿宋_GB2312"/>
          <w:kern w:val="0"/>
          <w:sz w:val="32"/>
          <w:szCs w:val="32"/>
        </w:rPr>
        <w:t>812.45</w:t>
      </w:r>
      <w:r>
        <w:rPr>
          <w:rFonts w:hint="eastAsia" w:ascii="仿宋_GB2312" w:hAnsi="宋体" w:eastAsia="仿宋_GB2312"/>
          <w:kern w:val="0"/>
          <w:sz w:val="32"/>
          <w:szCs w:val="32"/>
        </w:rPr>
        <w:t>万元，，2080504未归口管理的行政单位离退休</w:t>
      </w:r>
      <w:r>
        <w:rPr>
          <w:rFonts w:ascii="仿宋_GB2312" w:hAnsi="宋体" w:eastAsia="仿宋_GB2312"/>
          <w:kern w:val="0"/>
          <w:sz w:val="32"/>
          <w:szCs w:val="32"/>
        </w:rPr>
        <w:t>209.54</w:t>
      </w:r>
      <w:r>
        <w:rPr>
          <w:rFonts w:hint="eastAsia" w:ascii="仿宋_GB2312" w:hAnsi="宋体" w:eastAsia="仿宋_GB2312"/>
          <w:kern w:val="0"/>
          <w:sz w:val="32"/>
          <w:szCs w:val="32"/>
        </w:rPr>
        <w:t>万元，2080505机关事业单位基本养老保险缴费支出</w:t>
      </w:r>
      <w:r>
        <w:rPr>
          <w:rFonts w:ascii="仿宋_GB2312" w:hAnsi="宋体" w:eastAsia="仿宋_GB2312"/>
          <w:kern w:val="0"/>
          <w:sz w:val="32"/>
          <w:szCs w:val="32"/>
        </w:rPr>
        <w:t>88.68</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收入全部为一般公共预算拨款，无政府性基金预算拨款。</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支出预算包括：一般公共服务支出</w:t>
      </w:r>
      <w:r>
        <w:rPr>
          <w:rFonts w:ascii="仿宋_GB2312" w:hAnsi="宋体" w:eastAsia="仿宋_GB2312"/>
          <w:kern w:val="0"/>
          <w:sz w:val="32"/>
          <w:szCs w:val="32"/>
        </w:rPr>
        <w:t>812.45</w:t>
      </w:r>
      <w:r>
        <w:rPr>
          <w:rFonts w:hint="eastAsia" w:ascii="仿宋_GB2312" w:hAnsi="宋体" w:eastAsia="仿宋_GB2312"/>
          <w:kern w:val="0"/>
          <w:sz w:val="32"/>
          <w:szCs w:val="32"/>
        </w:rPr>
        <w:t>万元，其中2010701行政运行</w:t>
      </w:r>
      <w:r>
        <w:rPr>
          <w:rFonts w:ascii="仿宋_GB2312" w:hAnsi="宋体" w:eastAsia="仿宋_GB2312"/>
          <w:kern w:val="0"/>
          <w:sz w:val="32"/>
          <w:szCs w:val="32"/>
        </w:rPr>
        <w:t>812.45</w:t>
      </w:r>
      <w:r>
        <w:rPr>
          <w:rFonts w:hint="eastAsia" w:ascii="仿宋_GB2312" w:hAnsi="宋体" w:eastAsia="仿宋_GB2312"/>
          <w:kern w:val="0"/>
          <w:sz w:val="32"/>
          <w:szCs w:val="32"/>
        </w:rPr>
        <w:t>万元，社会保障与就业支出</w:t>
      </w:r>
      <w:r>
        <w:rPr>
          <w:rFonts w:ascii="仿宋_GB2312" w:hAnsi="宋体" w:eastAsia="仿宋_GB2312"/>
          <w:kern w:val="0"/>
          <w:sz w:val="32"/>
          <w:szCs w:val="32"/>
        </w:rPr>
        <w:t>298.22</w:t>
      </w:r>
      <w:r>
        <w:rPr>
          <w:rFonts w:hint="eastAsia" w:ascii="仿宋_GB2312" w:hAnsi="宋体" w:eastAsia="仿宋_GB2312"/>
          <w:kern w:val="0"/>
          <w:sz w:val="32"/>
          <w:szCs w:val="32"/>
        </w:rPr>
        <w:t>万元，其中2080504未归口管理的行政单位离退休</w:t>
      </w:r>
      <w:r>
        <w:rPr>
          <w:rFonts w:ascii="仿宋_GB2312" w:hAnsi="宋体" w:eastAsia="仿宋_GB2312"/>
          <w:kern w:val="0"/>
          <w:sz w:val="32"/>
          <w:szCs w:val="32"/>
        </w:rPr>
        <w:t>209.54</w:t>
      </w:r>
      <w:r>
        <w:rPr>
          <w:rFonts w:hint="eastAsia" w:ascii="仿宋_GB2312" w:hAnsi="宋体" w:eastAsia="仿宋_GB2312"/>
          <w:kern w:val="0"/>
          <w:sz w:val="32"/>
          <w:szCs w:val="32"/>
        </w:rPr>
        <w:t>万元，2080505机关事业单位基本养老保险缴费支出</w:t>
      </w:r>
      <w:r>
        <w:rPr>
          <w:rFonts w:ascii="仿宋_GB2312" w:hAnsi="宋体" w:eastAsia="仿宋_GB2312"/>
          <w:kern w:val="0"/>
          <w:sz w:val="32"/>
          <w:szCs w:val="32"/>
        </w:rPr>
        <w:t>88.68</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主要用于发放按照国家政策执行属地标准的工资项目，如规范津贴补贴、乡镇工作补贴、奖励性补贴、改革性补贴等，上述工资项目涉及的养老保险缴费、医疗保险缴费、住房公积金等单位按照规定缴存部分；按照国家政策执行地方标准的丧葬费、遗属补助等。</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五、关于国家税务总局石河子税务局机关2019年一般公共预算当年拨款情况说明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国家税务总局石河子税务局机关2019年一般公共预算拨款基本支出</w:t>
      </w:r>
      <w:r>
        <w:rPr>
          <w:rFonts w:ascii="仿宋_GB2312" w:hAnsi="宋体" w:eastAsia="仿宋_GB2312"/>
          <w:kern w:val="0"/>
          <w:sz w:val="32"/>
          <w:szCs w:val="32"/>
        </w:rPr>
        <w:t>1110.67</w:t>
      </w:r>
      <w:r>
        <w:rPr>
          <w:rFonts w:hint="eastAsia" w:ascii="仿宋_GB2312" w:hAnsi="宋体" w:eastAsia="仿宋_GB2312"/>
          <w:kern w:val="0"/>
          <w:sz w:val="32"/>
          <w:szCs w:val="32"/>
        </w:rPr>
        <w:t xml:space="preserve">万元，2018年国地税征管体制改革，经费保障模式改变，自治区财政保障范围为按照国家政策执行属地标准的工资项目，及其涉及的养老保险缴费、医疗保险缴费、住房公积金等单位按照规定缴存部分；按照国家政策执行地方标准的丧葬费、遗属补助等。    </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1.一般公共服务（类）</w:t>
      </w:r>
      <w:r>
        <w:rPr>
          <w:rFonts w:ascii="仿宋_GB2312" w:hAnsi="宋体" w:eastAsia="仿宋_GB2312"/>
          <w:kern w:val="0"/>
          <w:sz w:val="32"/>
          <w:szCs w:val="32"/>
        </w:rPr>
        <w:t>812.45</w:t>
      </w:r>
      <w:r>
        <w:rPr>
          <w:rFonts w:hint="eastAsia" w:ascii="仿宋_GB2312" w:hAnsi="宋体" w:eastAsia="仿宋_GB2312"/>
          <w:kern w:val="0"/>
          <w:sz w:val="32"/>
          <w:szCs w:val="32"/>
        </w:rPr>
        <w:t>万元，占7</w:t>
      </w:r>
      <w:r>
        <w:rPr>
          <w:rFonts w:ascii="仿宋_GB2312" w:hAnsi="宋体" w:eastAsia="仿宋_GB2312"/>
          <w:kern w:val="0"/>
          <w:sz w:val="32"/>
          <w:szCs w:val="32"/>
        </w:rPr>
        <w:t>3.15</w:t>
      </w:r>
      <w:r>
        <w:rPr>
          <w:rFonts w:hint="eastAsia" w:ascii="仿宋_GB2312" w:hAnsi="宋体" w:eastAsia="仿宋_GB2312"/>
          <w:kern w:val="0"/>
          <w:sz w:val="32"/>
          <w:szCs w:val="32"/>
        </w:rPr>
        <w:t>%。其中2010701行政运行</w:t>
      </w:r>
      <w:r>
        <w:rPr>
          <w:rFonts w:ascii="仿宋_GB2312" w:hAnsi="宋体" w:eastAsia="仿宋_GB2312"/>
          <w:kern w:val="0"/>
          <w:sz w:val="32"/>
          <w:szCs w:val="32"/>
        </w:rPr>
        <w:t>812.45</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 社会保障与就业支出</w:t>
      </w:r>
      <w:r>
        <w:rPr>
          <w:rFonts w:ascii="仿宋_GB2312" w:hAnsi="宋体" w:eastAsia="仿宋_GB2312"/>
          <w:kern w:val="0"/>
          <w:sz w:val="32"/>
          <w:szCs w:val="32"/>
        </w:rPr>
        <w:t>298.22</w:t>
      </w:r>
      <w:r>
        <w:rPr>
          <w:rFonts w:hint="eastAsia" w:ascii="仿宋_GB2312" w:hAnsi="宋体" w:eastAsia="仿宋_GB2312"/>
          <w:kern w:val="0"/>
          <w:sz w:val="32"/>
          <w:szCs w:val="32"/>
        </w:rPr>
        <w:t>万元，占2</w:t>
      </w:r>
      <w:r>
        <w:rPr>
          <w:rFonts w:ascii="仿宋_GB2312" w:hAnsi="宋体" w:eastAsia="仿宋_GB2312"/>
          <w:kern w:val="0"/>
          <w:sz w:val="32"/>
          <w:szCs w:val="32"/>
        </w:rPr>
        <w:t>6.85</w:t>
      </w:r>
      <w:r>
        <w:rPr>
          <w:rFonts w:hint="eastAsia" w:ascii="仿宋_GB2312" w:hAnsi="宋体" w:eastAsia="仿宋_GB2312"/>
          <w:kern w:val="0"/>
          <w:sz w:val="32"/>
          <w:szCs w:val="32"/>
        </w:rPr>
        <w:t>％。其中2080504未归口管理的行政单位离退休2</w:t>
      </w:r>
      <w:r>
        <w:rPr>
          <w:rFonts w:ascii="仿宋_GB2312" w:hAnsi="宋体" w:eastAsia="仿宋_GB2312"/>
          <w:kern w:val="0"/>
          <w:sz w:val="32"/>
          <w:szCs w:val="32"/>
        </w:rPr>
        <w:t>98.22</w:t>
      </w:r>
      <w:r>
        <w:rPr>
          <w:rFonts w:hint="eastAsia" w:ascii="仿宋_GB2312" w:hAnsi="宋体" w:eastAsia="仿宋_GB2312"/>
          <w:kern w:val="0"/>
          <w:sz w:val="32"/>
          <w:szCs w:val="32"/>
        </w:rPr>
        <w:t>万元，2080505机关事业单位基本养老保险缴费支出</w:t>
      </w:r>
      <w:r>
        <w:rPr>
          <w:rFonts w:ascii="仿宋_GB2312" w:hAnsi="宋体" w:eastAsia="仿宋_GB2312"/>
          <w:kern w:val="0"/>
          <w:sz w:val="32"/>
          <w:szCs w:val="32"/>
        </w:rPr>
        <w:t>88.68</w:t>
      </w:r>
      <w:r>
        <w:rPr>
          <w:rFonts w:hint="eastAsia" w:ascii="仿宋_GB2312" w:hAnsi="宋体" w:eastAsia="仿宋_GB2312"/>
          <w:kern w:val="0"/>
          <w:sz w:val="32"/>
          <w:szCs w:val="32"/>
        </w:rPr>
        <w:t>万元。</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07</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02</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年预算数为812.45万元，</w:t>
      </w:r>
      <w:r>
        <w:rPr>
          <w:rFonts w:hint="eastAsia" w:ascii="仿宋_GB2312" w:hAnsi="宋体" w:eastAsia="仿宋_GB2312" w:cs="宋体"/>
          <w:kern w:val="0"/>
          <w:sz w:val="32"/>
          <w:szCs w:val="32"/>
        </w:rPr>
        <w:t>因国地税机构改革，财政保障体制变化，此资金为自治区财政保障范围负担的人员经费。</w:t>
      </w:r>
    </w:p>
    <w:p>
      <w:pPr>
        <w:adjustRightInd w:val="0"/>
        <w:snapToGrid w:val="0"/>
        <w:spacing w:line="600" w:lineRule="exact"/>
        <w:ind w:firstLine="64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208</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05</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未归口管理的行政单位离退休04（项）：2019年预算数为</w:t>
      </w:r>
      <w:r>
        <w:rPr>
          <w:rFonts w:ascii="仿宋_GB2312" w:hAnsi="宋体" w:eastAsia="仿宋_GB2312" w:cs="宋体"/>
          <w:kern w:val="0"/>
          <w:sz w:val="32"/>
          <w:szCs w:val="32"/>
        </w:rPr>
        <w:t>298.22</w:t>
      </w:r>
      <w:r>
        <w:rPr>
          <w:rFonts w:hint="eastAsia" w:ascii="仿宋_GB2312" w:hAnsi="宋体" w:eastAsia="仿宋_GB2312" w:cs="宋体"/>
          <w:kern w:val="0"/>
          <w:sz w:val="32"/>
          <w:szCs w:val="32"/>
        </w:rPr>
        <w:t>万元，支付退休人员生活补助、医疗费、其他对个人和家庭的补助支出等。</w:t>
      </w:r>
    </w:p>
    <w:p>
      <w:pPr>
        <w:adjustRightInd w:val="0"/>
        <w:snapToGrid w:val="0"/>
        <w:spacing w:line="600" w:lineRule="exact"/>
        <w:ind w:firstLine="640"/>
        <w:rPr>
          <w:rFonts w:ascii="仿宋_GB2312" w:hAnsi="宋体" w:eastAsia="仿宋_GB2312" w:cs="宋体"/>
          <w:kern w:val="0"/>
          <w:sz w:val="32"/>
          <w:szCs w:val="32"/>
        </w:rPr>
      </w:pPr>
      <w:r>
        <w:rPr>
          <w:rFonts w:hint="eastAsia" w:ascii="仿宋" w:hAnsi="仿宋" w:eastAsia="仿宋"/>
          <w:sz w:val="32"/>
          <w:szCs w:val="32"/>
        </w:rPr>
        <w:t>3.</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208</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05</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机关事业单位基本养老保险缴费支出05（项）：2019年预算数为</w:t>
      </w:r>
      <w:r>
        <w:rPr>
          <w:rFonts w:ascii="仿宋_GB2312" w:hAnsi="宋体" w:eastAsia="仿宋_GB2312" w:cs="宋体"/>
          <w:kern w:val="0"/>
          <w:sz w:val="32"/>
          <w:szCs w:val="32"/>
        </w:rPr>
        <w:t>88.68</w:t>
      </w:r>
      <w:r>
        <w:rPr>
          <w:rFonts w:hint="eastAsia" w:ascii="仿宋_GB2312" w:hAnsi="宋体" w:eastAsia="仿宋_GB2312" w:cs="宋体"/>
          <w:kern w:val="0"/>
          <w:sz w:val="32"/>
          <w:szCs w:val="32"/>
        </w:rPr>
        <w:t>万元，主要是自治区财政经费保障范围变化，按照保障范围和标准计提的养老金。</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六、关于国家税务总局石河子税务局机关2019年一般公共预算基本支出情况说明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国家税务总局石河子税务局机关2019年</w:t>
      </w:r>
      <w:r>
        <w:rPr>
          <w:rFonts w:hint="eastAsia" w:ascii="仿宋_GB2312" w:hAnsi="宋体" w:eastAsia="仿宋_GB2312" w:cs="宋体"/>
          <w:kern w:val="0"/>
          <w:sz w:val="32"/>
          <w:szCs w:val="32"/>
        </w:rPr>
        <w:t>一般公共预算基本支出</w:t>
      </w:r>
      <w:r>
        <w:rPr>
          <w:rFonts w:ascii="仿宋_GB2312" w:hAnsi="宋体" w:eastAsia="仿宋_GB2312" w:cs="宋体"/>
          <w:kern w:val="0"/>
          <w:sz w:val="32"/>
          <w:szCs w:val="32"/>
        </w:rPr>
        <w:t>1110.67</w:t>
      </w:r>
      <w:r>
        <w:rPr>
          <w:rFonts w:hint="eastAsia" w:ascii="仿宋_GB2312" w:hAnsi="宋体" w:eastAsia="仿宋_GB2312" w:cs="宋体"/>
          <w:kern w:val="0"/>
          <w:sz w:val="32"/>
          <w:szCs w:val="32"/>
        </w:rPr>
        <w:t>万元， 其中：</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w:t>
      </w:r>
      <w:r>
        <w:rPr>
          <w:rFonts w:ascii="仿宋_GB2312" w:hAnsi="宋体" w:eastAsia="仿宋_GB2312" w:cs="宋体"/>
          <w:kern w:val="0"/>
          <w:sz w:val="32"/>
          <w:szCs w:val="32"/>
        </w:rPr>
        <w:t>090.08</w:t>
      </w:r>
      <w:r>
        <w:rPr>
          <w:rFonts w:hint="eastAsia" w:ascii="仿宋_GB2312" w:hAnsi="宋体" w:eastAsia="仿宋_GB2312" w:cs="宋体"/>
          <w:kern w:val="0"/>
          <w:sz w:val="32"/>
          <w:szCs w:val="32"/>
        </w:rPr>
        <w:t>万元，主要包括：规范性津贴补贴、机关事业单位基本养老保险缴费、职业年金缴费、职工基本医疗保险缴费、公务员医疗补助缴费、其他社会保障缴费、住房公积金、医疗费、其他工资福利支出、离休费、退休费、医疗费补助、奖励金、其他对个人和家庭的补助等。</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20.59</w:t>
      </w:r>
      <w:r>
        <w:rPr>
          <w:rFonts w:hint="eastAsia" w:ascii="仿宋_GB2312" w:hAnsi="宋体" w:eastAsia="仿宋_GB2312" w:cs="宋体"/>
          <w:kern w:val="0"/>
          <w:sz w:val="32"/>
          <w:szCs w:val="32"/>
        </w:rPr>
        <w:t>万元，是职工取暖补助。</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七、关于国家税务总局石河子税务局机关2019年项目支出情况说明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国家税务总局石河子税务局机关2019年未安排项目支出，项目支出情况表为空表。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八、关于国家税务总局石河子税务局机关2019年一般公共预算“三公”经费预算情况说明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国家税务总局石河子税务局机关2019年未安排“三公”经费预算，一般公共预算“三公”经费支出情况表为空表。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九、关于国家税务总局石河子税务局机关2019年政府性基金预算拨款情况说明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国家税务总局石河子税务局机关2019年</w:t>
      </w:r>
      <w:r>
        <w:rPr>
          <w:rFonts w:hint="eastAsia" w:ascii="仿宋_GB2312" w:hAnsi="宋体" w:eastAsia="仿宋_GB2312" w:cs="宋体"/>
          <w:kern w:val="0"/>
          <w:sz w:val="32"/>
          <w:szCs w:val="32"/>
        </w:rPr>
        <w:t>没有使用政府性基金预算拨款安排的支出，政府性基金预算支出情况表为空表。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十、其他重要事项的情况说明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2019年，未安排国家税务总局石河子税务局机关的机关运行经费财政拨款预算。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adjustRightInd w:val="0"/>
        <w:snapToGrid w:val="0"/>
        <w:spacing w:line="600" w:lineRule="exact"/>
        <w:ind w:firstLine="642"/>
        <w:jc w:val="left"/>
        <w:rPr>
          <w:rFonts w:ascii="仿宋_GB2312" w:hAnsi="宋体" w:eastAsia="仿宋_GB2312"/>
          <w:kern w:val="0"/>
          <w:sz w:val="32"/>
          <w:szCs w:val="32"/>
        </w:rPr>
      </w:pPr>
      <w:r>
        <w:rPr>
          <w:rFonts w:hint="eastAsia" w:ascii="仿宋_GB2312" w:hAnsi="宋体" w:eastAsia="仿宋_GB2312"/>
          <w:kern w:val="0"/>
          <w:sz w:val="32"/>
          <w:szCs w:val="32"/>
        </w:rPr>
        <w:t>2019年，未安排国家税务总局石河子税务局机关政府采购预算。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kern w:val="0"/>
          <w:sz w:val="32"/>
          <w:szCs w:val="32"/>
        </w:rPr>
        <w:t>国家税务总局石河子税务局机关</w:t>
      </w:r>
      <w:r>
        <w:rPr>
          <w:rFonts w:hint="eastAsia" w:ascii="仿宋_GB2312" w:hAnsi="宋体" w:eastAsia="仿宋_GB2312" w:cs="宋体"/>
          <w:kern w:val="0"/>
          <w:sz w:val="32"/>
          <w:szCs w:val="32"/>
        </w:rPr>
        <w:t>占用使用国有资产总体情况为</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1.房屋46101.05平方米，价值11912.50万元。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2.车辆46辆，价值1046.66万元；其中：执法执勤用车38辆，价值740.14万元；其他车辆8辆，价值306.52万元。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3.其他资产价值</w:t>
      </w:r>
      <w:r>
        <w:rPr>
          <w:rFonts w:hint="eastAsia" w:ascii="仿宋_GB2312" w:hAnsi="宋体" w:eastAsia="仿宋_GB2312" w:cs="宋体"/>
          <w:kern w:val="0"/>
          <w:sz w:val="32"/>
          <w:szCs w:val="32"/>
          <w:lang w:val="en-US" w:eastAsia="zh-CN"/>
        </w:rPr>
        <w:t>1479.38</w:t>
      </w:r>
      <w:bookmarkStart w:id="0" w:name="_GoBack"/>
      <w:bookmarkEnd w:id="0"/>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无单位价值50万元以上大型设备及单位价值100万元以上大型设备。</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2019年部门预算未安排购置车辆经费、50万元以上大型设备及单位价值100万元以上大型设备经费。</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rPr>
        <w:t>2019年，未安排</w:t>
      </w:r>
      <w:r>
        <w:rPr>
          <w:rFonts w:hint="eastAsia" w:ascii="仿宋_GB2312" w:hAnsi="宋体" w:eastAsia="仿宋_GB2312"/>
          <w:kern w:val="0"/>
          <w:sz w:val="32"/>
          <w:szCs w:val="32"/>
        </w:rPr>
        <w:t>国家税务总局石河子税务局机关项目支出预算。</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第四部分  名词解释</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指由一般公共预算安排的财政拨款数。</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指公共财政拨款资金。</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adjustRightInd w:val="0"/>
        <w:snapToGrid w:val="0"/>
        <w:spacing w:line="600" w:lineRule="exact"/>
        <w:ind w:firstLine="642"/>
        <w:rPr>
          <w:rFonts w:ascii="仿宋_GB2312" w:eastAsia="仿宋_GB2312"/>
          <w:sz w:val="32"/>
          <w:szCs w:val="32"/>
        </w:rPr>
      </w:pPr>
    </w:p>
    <w:p>
      <w:pPr>
        <w:adjustRightInd w:val="0"/>
        <w:snapToGrid w:val="0"/>
        <w:spacing w:line="600" w:lineRule="exact"/>
        <w:ind w:firstLine="3840" w:firstLineChars="1200"/>
        <w:rPr>
          <w:rFonts w:ascii="仿宋_GB2312" w:hAnsi="宋体" w:eastAsia="仿宋_GB2312"/>
          <w:kern w:val="0"/>
          <w:sz w:val="32"/>
          <w:szCs w:val="32"/>
        </w:rPr>
      </w:pPr>
      <w:r>
        <w:rPr>
          <w:rFonts w:hint="eastAsia" w:ascii="仿宋_GB2312" w:hAnsi="宋体" w:eastAsia="仿宋_GB2312"/>
          <w:kern w:val="0"/>
          <w:sz w:val="32"/>
          <w:szCs w:val="32"/>
        </w:rPr>
        <w:t>国家税务总局石河子税务局</w:t>
      </w:r>
    </w:p>
    <w:p>
      <w:pPr>
        <w:adjustRightInd w:val="0"/>
        <w:snapToGrid w:val="0"/>
        <w:spacing w:line="600" w:lineRule="exact"/>
        <w:ind w:firstLine="4480" w:firstLineChars="1400"/>
        <w:rPr>
          <w:rFonts w:ascii="仿宋_GB2312" w:eastAsia="仿宋_GB2312"/>
          <w:sz w:val="32"/>
          <w:szCs w:val="32"/>
        </w:rPr>
      </w:pPr>
      <w:r>
        <w:rPr>
          <w:rFonts w:hint="eastAsia" w:ascii="仿宋_GB2312" w:eastAsia="仿宋_GB2312"/>
          <w:sz w:val="32"/>
          <w:szCs w:val="32"/>
        </w:rPr>
        <w:t>2019年2月2</w:t>
      </w:r>
      <w:r>
        <w:rPr>
          <w:rFonts w:ascii="仿宋_GB2312" w:eastAsia="仿宋_GB2312"/>
          <w:sz w:val="32"/>
          <w:szCs w:val="32"/>
        </w:rPr>
        <w:t>1</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A00002EF" w:usb1="4000204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77"/>
    <w:rsid w:val="000901AD"/>
    <w:rsid w:val="00160545"/>
    <w:rsid w:val="001919BC"/>
    <w:rsid w:val="001C790D"/>
    <w:rsid w:val="001F1D6C"/>
    <w:rsid w:val="00202563"/>
    <w:rsid w:val="002427FF"/>
    <w:rsid w:val="00271B97"/>
    <w:rsid w:val="0027338D"/>
    <w:rsid w:val="00277A4E"/>
    <w:rsid w:val="00285827"/>
    <w:rsid w:val="002C098C"/>
    <w:rsid w:val="002F504F"/>
    <w:rsid w:val="00301A77"/>
    <w:rsid w:val="003152D2"/>
    <w:rsid w:val="00324BA7"/>
    <w:rsid w:val="00356F5D"/>
    <w:rsid w:val="003A41F5"/>
    <w:rsid w:val="003F6C8D"/>
    <w:rsid w:val="00420B4B"/>
    <w:rsid w:val="004356CF"/>
    <w:rsid w:val="004A62A8"/>
    <w:rsid w:val="0059735A"/>
    <w:rsid w:val="005B1030"/>
    <w:rsid w:val="00681525"/>
    <w:rsid w:val="006B615C"/>
    <w:rsid w:val="00743B3A"/>
    <w:rsid w:val="00753E51"/>
    <w:rsid w:val="007C12AD"/>
    <w:rsid w:val="00870819"/>
    <w:rsid w:val="00894CFA"/>
    <w:rsid w:val="008B2FA1"/>
    <w:rsid w:val="008C3038"/>
    <w:rsid w:val="008D110D"/>
    <w:rsid w:val="008E0D54"/>
    <w:rsid w:val="00971F01"/>
    <w:rsid w:val="009A4351"/>
    <w:rsid w:val="00A01061"/>
    <w:rsid w:val="00B367FC"/>
    <w:rsid w:val="00B565C7"/>
    <w:rsid w:val="00BE7C40"/>
    <w:rsid w:val="00C650B4"/>
    <w:rsid w:val="00CD15C5"/>
    <w:rsid w:val="00CD77C4"/>
    <w:rsid w:val="00D0203C"/>
    <w:rsid w:val="00D175B3"/>
    <w:rsid w:val="00D36535"/>
    <w:rsid w:val="00D41CCB"/>
    <w:rsid w:val="00D4339A"/>
    <w:rsid w:val="00D446C2"/>
    <w:rsid w:val="00D46F49"/>
    <w:rsid w:val="00E03CB3"/>
    <w:rsid w:val="00E066A9"/>
    <w:rsid w:val="00E22877"/>
    <w:rsid w:val="00EA1288"/>
    <w:rsid w:val="00F02945"/>
    <w:rsid w:val="00F4245A"/>
    <w:rsid w:val="00F5745B"/>
    <w:rsid w:val="00F7774A"/>
    <w:rsid w:val="00FC3AE6"/>
    <w:rsid w:val="00FE045D"/>
    <w:rsid w:val="028E72C6"/>
    <w:rsid w:val="03935104"/>
    <w:rsid w:val="054A3332"/>
    <w:rsid w:val="0649014C"/>
    <w:rsid w:val="09176EB3"/>
    <w:rsid w:val="09E330AB"/>
    <w:rsid w:val="0A2E3A17"/>
    <w:rsid w:val="0D7C114C"/>
    <w:rsid w:val="0F4909FB"/>
    <w:rsid w:val="10265DEB"/>
    <w:rsid w:val="1137310B"/>
    <w:rsid w:val="133F61DC"/>
    <w:rsid w:val="13886E76"/>
    <w:rsid w:val="139C083F"/>
    <w:rsid w:val="1C012DF1"/>
    <w:rsid w:val="1C7356AA"/>
    <w:rsid w:val="1CA00883"/>
    <w:rsid w:val="1EF27C3A"/>
    <w:rsid w:val="1F14452B"/>
    <w:rsid w:val="25B31088"/>
    <w:rsid w:val="25FE2AD0"/>
    <w:rsid w:val="29182B98"/>
    <w:rsid w:val="2A015F76"/>
    <w:rsid w:val="2B2718FC"/>
    <w:rsid w:val="2C5315F6"/>
    <w:rsid w:val="2D54308D"/>
    <w:rsid w:val="2DA37CC4"/>
    <w:rsid w:val="2EBB1349"/>
    <w:rsid w:val="2EDF5816"/>
    <w:rsid w:val="2F452536"/>
    <w:rsid w:val="306A2FB6"/>
    <w:rsid w:val="32D12880"/>
    <w:rsid w:val="330B127F"/>
    <w:rsid w:val="35070776"/>
    <w:rsid w:val="36F32182"/>
    <w:rsid w:val="39360466"/>
    <w:rsid w:val="3C0402DC"/>
    <w:rsid w:val="3F6A21BD"/>
    <w:rsid w:val="411F7478"/>
    <w:rsid w:val="43C41B18"/>
    <w:rsid w:val="46F911DE"/>
    <w:rsid w:val="471D6B47"/>
    <w:rsid w:val="472D20B3"/>
    <w:rsid w:val="48E65D67"/>
    <w:rsid w:val="49873663"/>
    <w:rsid w:val="4BD7377F"/>
    <w:rsid w:val="4D237B7D"/>
    <w:rsid w:val="4E052B39"/>
    <w:rsid w:val="537A40DD"/>
    <w:rsid w:val="55434C1A"/>
    <w:rsid w:val="55CC197E"/>
    <w:rsid w:val="59C31D59"/>
    <w:rsid w:val="5ADC5785"/>
    <w:rsid w:val="5CEF70B7"/>
    <w:rsid w:val="5DCC35AD"/>
    <w:rsid w:val="605E5E8D"/>
    <w:rsid w:val="606F714B"/>
    <w:rsid w:val="621F171D"/>
    <w:rsid w:val="6377248C"/>
    <w:rsid w:val="64AD5860"/>
    <w:rsid w:val="66720FB3"/>
    <w:rsid w:val="671E2A4D"/>
    <w:rsid w:val="672707CA"/>
    <w:rsid w:val="6E681078"/>
    <w:rsid w:val="70CF23A5"/>
    <w:rsid w:val="72344B07"/>
    <w:rsid w:val="742C52D6"/>
    <w:rsid w:val="746F5C50"/>
    <w:rsid w:val="750D328C"/>
    <w:rsid w:val="76E00554"/>
    <w:rsid w:val="76EA7474"/>
    <w:rsid w:val="79E06FE6"/>
    <w:rsid w:val="7B176F89"/>
    <w:rsid w:val="7C532890"/>
    <w:rsid w:val="7F82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0"/>
    <w:semiHidden/>
    <w:qFormat/>
    <w:uiPriority w:val="0"/>
    <w:rPr>
      <w:sz w:val="18"/>
      <w:szCs w:val="18"/>
    </w:rPr>
  </w:style>
  <w:style w:type="paragraph" w:styleId="3">
    <w:name w:val="footer"/>
    <w:basedOn w:val="1"/>
    <w:link w:val="18"/>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2"/>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character" w:styleId="10">
    <w:name w:val="FollowedHyperlink"/>
    <w:basedOn w:val="7"/>
    <w:semiHidden/>
    <w:unhideWhenUsed/>
    <w:qFormat/>
    <w:uiPriority w:val="99"/>
    <w:rPr>
      <w:color w:val="000000"/>
      <w:u w:val="none"/>
    </w:rPr>
  </w:style>
  <w:style w:type="character" w:styleId="11">
    <w:name w:val="HTML Definition"/>
    <w:basedOn w:val="7"/>
    <w:semiHidden/>
    <w:unhideWhenUsed/>
    <w:uiPriority w:val="99"/>
    <w:rPr>
      <w:i/>
    </w:rPr>
  </w:style>
  <w:style w:type="character" w:styleId="12">
    <w:name w:val="Hyperlink"/>
    <w:basedOn w:val="7"/>
    <w:semiHidden/>
    <w:unhideWhenUsed/>
    <w:qFormat/>
    <w:uiPriority w:val="99"/>
    <w:rPr>
      <w:color w:val="000000"/>
      <w:u w:val="none"/>
    </w:rPr>
  </w:style>
  <w:style w:type="character" w:styleId="13">
    <w:name w:val="HTML Code"/>
    <w:basedOn w:val="7"/>
    <w:semiHidden/>
    <w:unhideWhenUsed/>
    <w:uiPriority w:val="99"/>
    <w:rPr>
      <w:rFonts w:ascii="Consolas" w:hAnsi="Consolas" w:eastAsia="Consolas" w:cs="Consolas"/>
      <w:color w:val="C7254E"/>
      <w:sz w:val="21"/>
      <w:szCs w:val="21"/>
      <w:shd w:val="clear" w:color="auto" w:fill="F9F2F4"/>
    </w:rPr>
  </w:style>
  <w:style w:type="character" w:styleId="14">
    <w:name w:val="HTML Keyboard"/>
    <w:basedOn w:val="7"/>
    <w:semiHidden/>
    <w:unhideWhenUsed/>
    <w:uiPriority w:val="99"/>
    <w:rPr>
      <w:rFonts w:hint="default" w:ascii="Consolas" w:hAnsi="Consolas" w:eastAsia="Consolas" w:cs="Consolas"/>
      <w:color w:val="FFFFFF"/>
      <w:sz w:val="21"/>
      <w:szCs w:val="21"/>
      <w:shd w:val="clear" w:color="auto" w:fill="333333"/>
    </w:rPr>
  </w:style>
  <w:style w:type="character" w:styleId="15">
    <w:name w:val="HTML Sample"/>
    <w:basedOn w:val="7"/>
    <w:semiHidden/>
    <w:unhideWhenUsed/>
    <w:uiPriority w:val="99"/>
    <w:rPr>
      <w:rFonts w:hint="default" w:ascii="Consolas" w:hAnsi="Consolas" w:eastAsia="Consolas" w:cs="Consolas"/>
      <w:sz w:val="21"/>
      <w:szCs w:val="21"/>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0">
    <w:name w:val="批注框文本 Char"/>
    <w:basedOn w:val="7"/>
    <w:link w:val="2"/>
    <w:semiHidden/>
    <w:qFormat/>
    <w:uiPriority w:val="0"/>
    <w:rPr>
      <w:rFonts w:ascii="Times New Roman" w:hAnsi="Times New Roman" w:eastAsia="宋体" w:cs="Times New Roman"/>
      <w:sz w:val="18"/>
      <w:szCs w:val="18"/>
    </w:rPr>
  </w:style>
  <w:style w:type="character" w:customStyle="1" w:styleId="21">
    <w:name w:val="页眉 Char"/>
    <w:basedOn w:val="7"/>
    <w:link w:val="4"/>
    <w:qFormat/>
    <w:uiPriority w:val="0"/>
    <w:rPr>
      <w:rFonts w:ascii="Times New Roman" w:hAnsi="Times New Roman" w:eastAsia="宋体" w:cs="Times New Roman"/>
      <w:sz w:val="18"/>
      <w:szCs w:val="18"/>
    </w:rPr>
  </w:style>
  <w:style w:type="character" w:customStyle="1" w:styleId="22">
    <w:name w:val="正文文本缩进 3 Char"/>
    <w:basedOn w:val="7"/>
    <w:link w:val="5"/>
    <w:qFormat/>
    <w:uiPriority w:val="0"/>
    <w:rPr>
      <w:rFonts w:ascii="Times New Roman" w:hAnsi="Times New Roman" w:eastAsia="仿宋_GB2312" w:cs="Times New Roman"/>
      <w:sz w:val="32"/>
      <w:szCs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qFormat/>
    <w:uiPriority w:val="0"/>
    <w:rPr>
      <w:rFonts w:ascii="Calibri" w:hAnsi="Calibri" w:cs="黑体"/>
      <w:sz w:val="24"/>
    </w:rPr>
  </w:style>
  <w:style w:type="paragraph" w:customStyle="1" w:styleId="25">
    <w:name w:val="普通(网站)2"/>
    <w:basedOn w:val="1"/>
    <w:qFormat/>
    <w:uiPriority w:val="0"/>
    <w:rPr>
      <w:rFonts w:ascii="Calibri" w:hAnsi="Calibri" w:cs="黑体"/>
      <w:sz w:val="24"/>
    </w:rPr>
  </w:style>
  <w:style w:type="paragraph" w:customStyle="1" w:styleId="26">
    <w:name w:val="普通(网站)3"/>
    <w:basedOn w:val="1"/>
    <w:qFormat/>
    <w:uiPriority w:val="0"/>
    <w:rPr>
      <w:rFonts w:ascii="Calibri" w:hAnsi="Calibri" w:cs="黑体"/>
      <w:sz w:val="24"/>
    </w:rPr>
  </w:style>
  <w:style w:type="paragraph" w:customStyle="1" w:styleId="2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28">
    <w:name w:val="font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2">
    <w:name w:val="xl82"/>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3">
    <w:name w:val="xl83"/>
    <w:basedOn w:val="1"/>
    <w:qFormat/>
    <w:uiPriority w:val="0"/>
    <w:pPr>
      <w:widowControl/>
      <w:pBdr>
        <w:top w:val="single" w:color="auto"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4"/>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8">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9">
    <w:name w:val="xl8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1">
    <w:name w:val="xl9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1">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3">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54">
    <w:name w:val="hover15"/>
    <w:basedOn w:val="7"/>
    <w:uiPriority w:val="0"/>
  </w:style>
  <w:style w:type="character" w:customStyle="1" w:styleId="55">
    <w:name w:val="hover16"/>
    <w:basedOn w:val="7"/>
    <w:uiPriority w:val="0"/>
  </w:style>
  <w:style w:type="character" w:customStyle="1" w:styleId="56">
    <w:name w:val="layui-this"/>
    <w:basedOn w:val="7"/>
    <w:uiPriority w:val="0"/>
    <w:rPr>
      <w:bdr w:val="single" w:color="EEEEEE" w:sz="6" w:space="0"/>
      <w:shd w:val="clear" w:color="auto" w:fill="FFFFFF"/>
    </w:rPr>
  </w:style>
  <w:style w:type="character" w:customStyle="1" w:styleId="57">
    <w:name w:val="first-child"/>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B8822-7233-4023-9F33-907CE3BFB9D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1440</Words>
  <Characters>8214</Characters>
  <Lines>68</Lines>
  <Paragraphs>19</Paragraphs>
  <TotalTime>10</TotalTime>
  <ScaleCrop>false</ScaleCrop>
  <LinksUpToDate>false</LinksUpToDate>
  <CharactersWithSpaces>9635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2019-02-21T03:40:00Z</dcterms:created>
  <dc:creator>唐琛</dc:creator>
  <cp:lastModifiedBy>wh</cp:lastModifiedBy>
  <cp:lastPrinted>2019-01-28T08:19:00Z</cp:lastPrinted>
  <dcterms:modified xsi:type="dcterms:W3CDTF">2019-02-22T11:00:10Z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