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640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40" w:lineRule="exact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="100" w:beforeAutospacing="1" w:after="100" w:afterAutospacing="1" w:line="640" w:lineRule="exact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="100" w:beforeAutospacing="1" w:after="100" w:afterAutospacing="1" w:line="640" w:lineRule="exact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="100" w:beforeAutospacing="1" w:after="100" w:afterAutospacing="1" w:line="640" w:lineRule="exact"/>
        <w:jc w:val="center"/>
        <w:outlineLvl w:val="1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="100" w:beforeAutospacing="1" w:after="100" w:afterAutospacing="1" w:line="640" w:lineRule="exact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  <w:t>双河税务局</w:t>
      </w:r>
      <w:r>
        <w:rPr>
          <w:rFonts w:hint="eastAsia" w:ascii="方正小标宋_GBK" w:hAnsi="宋体" w:eastAsia="方正小标宋_GBK"/>
          <w:kern w:val="0"/>
          <w:sz w:val="44"/>
          <w:szCs w:val="44"/>
          <w:lang w:val="en-US" w:eastAsia="zh-CN"/>
        </w:rPr>
        <w:t>2019</w:t>
      </w:r>
      <w:r>
        <w:rPr>
          <w:rFonts w:hint="eastAsia" w:ascii="方正小标宋_GBK" w:hAnsi="宋体" w:eastAsia="方正小标宋_GBK"/>
          <w:kern w:val="0"/>
          <w:sz w:val="44"/>
          <w:szCs w:val="44"/>
        </w:rPr>
        <w:t>年部门预算公开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="100" w:beforeAutospacing="1" w:after="100" w:afterAutospacing="1" w:line="64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="100" w:beforeAutospacing="1" w:after="100" w:afterAutospacing="1" w:line="64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="100" w:beforeAutospacing="1" w:after="100" w:afterAutospacing="1" w:line="64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="100" w:beforeAutospacing="1" w:after="100" w:afterAutospacing="1" w:line="64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="100" w:beforeAutospacing="1" w:after="100" w:afterAutospacing="1" w:line="64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="100" w:beforeAutospacing="1" w:after="100" w:afterAutospacing="1" w:line="64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="100" w:beforeAutospacing="1" w:after="100" w:afterAutospacing="1" w:line="64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="100" w:beforeAutospacing="1" w:after="100" w:afterAutospacing="1" w:line="64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="100" w:beforeAutospacing="1" w:after="100" w:afterAutospacing="1" w:line="640" w:lineRule="exact"/>
        <w:jc w:val="both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640" w:lineRule="exact"/>
        <w:jc w:val="center"/>
        <w:outlineLvl w:val="1"/>
        <w:rPr>
          <w:rFonts w:hint="eastAsia"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目录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640" w:lineRule="exact"/>
        <w:jc w:val="center"/>
        <w:outlineLvl w:val="1"/>
        <w:rPr>
          <w:rFonts w:hint="eastAsia" w:ascii="黑体" w:hAnsi="黑体" w:eastAsia="黑体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64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第一部分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双河税务局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单位概况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64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64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64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第二部分  </w:t>
      </w:r>
      <w:r>
        <w:rPr>
          <w:rFonts w:hint="eastAsia" w:ascii="宋体" w:hAnsi="宋体" w:eastAsia="仿宋_GB2312"/>
          <w:b/>
          <w:kern w:val="0"/>
          <w:sz w:val="32"/>
          <w:szCs w:val="32"/>
          <w:lang w:eastAsia="zh-CN"/>
        </w:rPr>
        <w:t>2019年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部门预算公开表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64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64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64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64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64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64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64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64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64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64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第三部分  </w:t>
      </w:r>
      <w:r>
        <w:rPr>
          <w:rFonts w:hint="eastAsia" w:ascii="宋体" w:hAnsi="宋体" w:eastAsia="仿宋_GB2312"/>
          <w:b/>
          <w:kern w:val="0"/>
          <w:sz w:val="32"/>
          <w:szCs w:val="32"/>
          <w:lang w:eastAsia="zh-CN"/>
        </w:rPr>
        <w:t>2019年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部门预算情况说明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64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双河税务局2019年</w:t>
      </w:r>
      <w:r>
        <w:rPr>
          <w:rFonts w:hint="eastAsia" w:ascii="仿宋_GB2312" w:hAnsi="宋体" w:eastAsia="仿宋_GB2312"/>
          <w:kern w:val="0"/>
          <w:sz w:val="32"/>
          <w:szCs w:val="32"/>
        </w:rPr>
        <w:t>收支预算情况的总体说明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64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双河税务局2019年</w:t>
      </w:r>
      <w:r>
        <w:rPr>
          <w:rFonts w:hint="eastAsia" w:ascii="仿宋_GB2312" w:hAnsi="宋体" w:eastAsia="仿宋_GB2312"/>
          <w:kern w:val="0"/>
          <w:sz w:val="32"/>
          <w:szCs w:val="32"/>
        </w:rPr>
        <w:t>收入预算情况说明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64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双河税务局2019年</w:t>
      </w:r>
      <w:r>
        <w:rPr>
          <w:rFonts w:hint="eastAsia" w:ascii="仿宋_GB2312" w:hAnsi="宋体" w:eastAsia="仿宋_GB2312"/>
          <w:kern w:val="0"/>
          <w:sz w:val="32"/>
          <w:szCs w:val="32"/>
        </w:rPr>
        <w:t>支出预算情况说明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640" w:lineRule="exact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bCs/>
          <w:kern w:val="0"/>
          <w:sz w:val="32"/>
          <w:szCs w:val="32"/>
          <w:lang w:eastAsia="zh-CN"/>
        </w:rPr>
        <w:t>双河税务局2019年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财政拨款收支预算情况的总体说明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64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双河税务局2019年</w:t>
      </w:r>
      <w:r>
        <w:rPr>
          <w:rFonts w:hint="eastAsia" w:ascii="仿宋_GB2312" w:hAnsi="宋体" w:eastAsia="仿宋_GB2312"/>
          <w:kern w:val="0"/>
          <w:sz w:val="32"/>
          <w:szCs w:val="32"/>
        </w:rPr>
        <w:t>一般公共预算当年拨款情况说明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64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双河税务局2019年</w:t>
      </w:r>
      <w:r>
        <w:rPr>
          <w:rFonts w:hint="eastAsia" w:ascii="仿宋_GB2312" w:hAnsi="宋体" w:eastAsia="仿宋_GB2312"/>
          <w:kern w:val="0"/>
          <w:sz w:val="32"/>
          <w:szCs w:val="32"/>
        </w:rPr>
        <w:t>一般公共预算基本支出情况说明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64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双河税务局2019年</w:t>
      </w:r>
      <w:r>
        <w:rPr>
          <w:rFonts w:hint="eastAsia" w:ascii="仿宋_GB2312" w:hAnsi="宋体" w:eastAsia="仿宋_GB2312"/>
          <w:kern w:val="0"/>
          <w:sz w:val="32"/>
          <w:szCs w:val="32"/>
        </w:rPr>
        <w:t>项目支出情况说明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64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双河税务局2019年</w:t>
      </w:r>
      <w:r>
        <w:rPr>
          <w:rFonts w:hint="eastAsia" w:ascii="仿宋_GB2312" w:hAnsi="宋体" w:eastAsia="仿宋_GB2312"/>
          <w:kern w:val="0"/>
          <w:sz w:val="32"/>
          <w:szCs w:val="32"/>
        </w:rPr>
        <w:t>一般公共预算“三公”经费预算情况说明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64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双河税务局2019年</w:t>
      </w:r>
      <w:r>
        <w:rPr>
          <w:rFonts w:hint="eastAsia" w:ascii="仿宋_GB2312" w:hAnsi="宋体" w:eastAsia="仿宋_GB2312"/>
          <w:kern w:val="0"/>
          <w:sz w:val="32"/>
          <w:szCs w:val="32"/>
        </w:rPr>
        <w:t>政府性基金预算拨款情况说明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64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64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64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64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第一部分   双河税务局概况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640" w:lineRule="exact"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64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6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负责贯彻执行党的路线、方针、政策，加强党的全面领导，履行全面从严治党责任，负责党的建设和思想政治建设工作。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6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负责贯彻执行税收、保社会保险费和有关非税收入法律、法规、规章和规范性文件，研究制定具体实施办法。组织落实国家规定的税收优惠政策。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6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负责研究拟定本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hAnsi="宋体" w:eastAsia="仿宋_GB2312"/>
          <w:kern w:val="0"/>
          <w:sz w:val="32"/>
          <w:szCs w:val="32"/>
        </w:rPr>
        <w:t>税收、社会保险费和有关非税收入中长期规划，参与拟定税收、社会保险费和有关非税收入预算目标并依法组织实施。负责本系统税收、社会保险费和有关非税收入的会统核算工作。组织开展收入分析预测。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6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负责开展税收经济分析和税收政策效应分析，为国家税务总局和自治区党委、政府提供决策参考。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6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负责所辖区域内各项税收、社会保险费和有关非税收入征收管理。组织实施税（费）源监控和风险管理，加强大企业和自然人税收管理。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6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负责组织实施税收、社会保险费和有关非税收入服务体系建设。组织开展纳税服务、税收宣传工作，保护纳税人、缴费人合法权益。承担涉及税收、社会保险费和有关非税收入的行政处罚听证、行政复议和行政诉讼事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6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负责所辖区域内国际税收和进出口税收管理工作，组织反避税调查和出口退税事项办理。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6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负责组织实施所辖区域内税务稽查和社会保险费、有关非税收入检查工作。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6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负责增值税专用发票、普通发票和其他各类发票管理。负责税收、社会保险费和有关非税收入票证管理。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6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负责组织实施本系统各项税收、社会保险费和有关非税收入征管信息化建设和数据治理工作。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6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负责内部控制机制建设工作，开展对本系统贯彻执行党中央、国务院重大决策及上级工作部署情况的督查督办，组织实施税收执行法督察。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6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负责基层建设和队伍建设工作，加强领导班子和后备干部队伍建设，承担税务人才培养和干部教育培训工作。负责本系统绩效管理和干部考核工作。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6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负责机构、编制、经费和资产管理工作。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6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完成国家税务总局新疆维吾尔自治区税务局和地方党委、政府交办的其他工作。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64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40" w:lineRule="exact"/>
        <w:ind w:firstLine="640" w:firstLineChars="200"/>
        <w:rPr>
          <w:rFonts w:hint="eastAsia"/>
          <w:b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国家税务局总局双河税务局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  <w:highlight w:val="none"/>
        </w:rPr>
        <w:t>设</w:t>
      </w:r>
      <w:r>
        <w:rPr>
          <w:rFonts w:hint="eastAsia"/>
          <w:sz w:val="32"/>
          <w:szCs w:val="32"/>
          <w:highlight w:val="none"/>
          <w:lang w:val="en-US" w:eastAsia="zh-CN"/>
        </w:rPr>
        <w:t>9</w:t>
      </w:r>
      <w:r>
        <w:rPr>
          <w:rFonts w:hint="eastAsia"/>
          <w:sz w:val="32"/>
          <w:szCs w:val="32"/>
          <w:highlight w:val="none"/>
        </w:rPr>
        <w:t>个内设机构、</w:t>
      </w:r>
      <w:r>
        <w:rPr>
          <w:rFonts w:hint="eastAsia"/>
          <w:sz w:val="32"/>
          <w:szCs w:val="32"/>
          <w:highlight w:val="none"/>
          <w:lang w:val="en-US" w:eastAsia="zh-CN"/>
        </w:rPr>
        <w:t>1</w:t>
      </w:r>
      <w:r>
        <w:rPr>
          <w:rFonts w:hint="eastAsia"/>
          <w:sz w:val="32"/>
          <w:szCs w:val="32"/>
          <w:highlight w:val="none"/>
        </w:rPr>
        <w:t>个派出机构，</w:t>
      </w:r>
      <w:r>
        <w:rPr>
          <w:rFonts w:hint="eastAsia"/>
          <w:sz w:val="32"/>
          <w:szCs w:val="32"/>
          <w:highlight w:val="none"/>
          <w:lang w:val="en-US" w:eastAsia="zh-CN"/>
        </w:rPr>
        <w:t>1个事业单位，</w:t>
      </w:r>
      <w:r>
        <w:rPr>
          <w:rFonts w:hint="eastAsia"/>
          <w:sz w:val="32"/>
          <w:szCs w:val="32"/>
          <w:highlight w:val="none"/>
        </w:rPr>
        <w:t>级别均为正</w:t>
      </w:r>
      <w:r>
        <w:rPr>
          <w:rFonts w:hint="eastAsia"/>
          <w:sz w:val="32"/>
          <w:szCs w:val="32"/>
          <w:highlight w:val="none"/>
          <w:lang w:eastAsia="zh-CN"/>
        </w:rPr>
        <w:t>科</w:t>
      </w:r>
      <w:r>
        <w:rPr>
          <w:rFonts w:hint="eastAsia"/>
          <w:sz w:val="32"/>
          <w:szCs w:val="32"/>
          <w:highlight w:val="none"/>
        </w:rPr>
        <w:t>级。</w:t>
      </w: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40" w:lineRule="exact"/>
        <w:ind w:firstLine="643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</w:rPr>
        <w:t>（一）内设机构</w:t>
      </w:r>
      <w:r>
        <w:rPr>
          <w:rFonts w:hint="eastAsia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办公室、法制科、社会保险费和非税收入科、纳税服务科（办税服务厅）、征收管理科、收入核算科、税源管理科、风险管理科、人事教育科</w:t>
      </w:r>
      <w:r>
        <w:rPr>
          <w:rFonts w:hint="eastAsia" w:hAnsi="宋体" w:cs="宋体"/>
          <w:kern w:val="0"/>
          <w:sz w:val="32"/>
          <w:szCs w:val="32"/>
          <w:lang w:eastAsia="zh-CN"/>
        </w:rPr>
        <w:t>。</w:t>
      </w: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40" w:lineRule="exact"/>
        <w:ind w:firstLine="643" w:firstLineChars="200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（二）派出机构</w:t>
      </w:r>
      <w:r>
        <w:rPr>
          <w:rFonts w:hint="eastAsia"/>
          <w:sz w:val="32"/>
          <w:szCs w:val="32"/>
        </w:rPr>
        <w:t>：稽查局。</w:t>
      </w: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40" w:lineRule="exact"/>
        <w:ind w:firstLine="643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/>
          <w:b/>
          <w:sz w:val="32"/>
          <w:szCs w:val="32"/>
        </w:rPr>
        <w:t>（三）事业单位</w:t>
      </w:r>
      <w:r>
        <w:rPr>
          <w:rFonts w:hint="eastAsia"/>
          <w:sz w:val="32"/>
          <w:szCs w:val="32"/>
        </w:rPr>
        <w:t>：信息中心。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64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lang w:eastAsia="zh-CN"/>
        </w:rPr>
        <w:t>国家税务局总局双河税务局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</w:rPr>
        <w:t>人员编制与实有人数均按合并后规模统计。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双河税务局编制数43，实有人数35人，其中：在职35人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退休2人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64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64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Lines="50" w:line="64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第二部分  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2019年</w:t>
      </w:r>
      <w:r>
        <w:rPr>
          <w:rFonts w:hint="eastAsia" w:ascii="黑体" w:hAnsi="黑体" w:eastAsia="黑体"/>
          <w:kern w:val="0"/>
          <w:sz w:val="32"/>
          <w:szCs w:val="32"/>
        </w:rPr>
        <w:t>部门预算公开表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64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tbl>
      <w:tblPr>
        <w:tblStyle w:val="10"/>
        <w:tblW w:w="81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2"/>
        <w:gridCol w:w="1200"/>
        <w:gridCol w:w="2700"/>
        <w:gridCol w:w="1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                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                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    目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  <w:r>
              <w:rPr>
                <w:rStyle w:val="22"/>
                <w:lang w:val="en-US" w:eastAsia="zh-CN" w:bidi="ar"/>
              </w:rPr>
              <w:t>9年预算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  <w:r>
              <w:rPr>
                <w:rStyle w:val="22"/>
                <w:lang w:val="en-US" w:eastAsia="zh-CN" w:bidi="ar"/>
              </w:rPr>
              <w:t>9年预算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财政拨款（补助）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234.05</w:t>
            </w: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 一般公共服务支出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一般公共预算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234.05</w:t>
            </w: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 外交支出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政府性基金预算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 国防支出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财政专户管理资金（教育收费）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 公共安全支出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 教育支出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事业单位经营收入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 科学技术支出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 文化旅游体育与传媒支出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用事业基金弥补收支差额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 社会保障和就业支出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 社会保险基金支出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 卫生健康支出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 节能环保支出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 城乡社区支出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 农林水支出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 交通运输支出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 资源勘探信息等支出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 商业服务业等支出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 金融支出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 援助其他地区支出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 自然资源海洋气象等支出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 住房保障支出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 粮油物资储备支出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 国有资本经营预算支出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 灾害防治及应急管理支出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 预备费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 其他支出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 债务还本支出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 债务付息支出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 债务发行费支出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           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234.05</w:t>
            </w: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           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单位上年结余（不包括国库集中支付额度结余）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 转移性支出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  入  总  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234.05</w:t>
            </w: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  出  合  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234.05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64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64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tbl>
      <w:tblPr>
        <w:tblStyle w:val="10"/>
        <w:tblW w:w="81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0"/>
        <w:gridCol w:w="410"/>
        <w:gridCol w:w="410"/>
        <w:gridCol w:w="1566"/>
        <w:gridCol w:w="1171"/>
        <w:gridCol w:w="1078"/>
        <w:gridCol w:w="437"/>
        <w:gridCol w:w="440"/>
        <w:gridCol w:w="435"/>
        <w:gridCol w:w="437"/>
        <w:gridCol w:w="437"/>
        <w:gridCol w:w="435"/>
        <w:gridCol w:w="4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2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功能分类科目编码</w:t>
            </w:r>
          </w:p>
        </w:tc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功能分类科目名称</w:t>
            </w:r>
          </w:p>
        </w:tc>
        <w:tc>
          <w:tcPr>
            <w:tcW w:w="11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  计</w:t>
            </w:r>
          </w:p>
        </w:tc>
        <w:tc>
          <w:tcPr>
            <w:tcW w:w="1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44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财政专户管理资金（教育收费）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事业单位经营收入</w:t>
            </w:r>
          </w:p>
        </w:tc>
        <w:tc>
          <w:tcPr>
            <w:tcW w:w="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用事业基金弥补收支差额</w:t>
            </w:r>
          </w:p>
        </w:tc>
        <w:tc>
          <w:tcPr>
            <w:tcW w:w="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单位上年结余（不包括国库集中支付额度结余）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234.05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234.05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国家税务局总局双河税务局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234.05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234.05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一般公共服务支出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税收事务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201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07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社会保障和就业支出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行政事业单位离退休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208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05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未归口管理的行政单位离退休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208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05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机关事业单位基本养老保险缴费支出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22.95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22.95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64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64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tbl>
      <w:tblPr>
        <w:tblStyle w:val="10"/>
        <w:tblW w:w="81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521"/>
        <w:gridCol w:w="521"/>
        <w:gridCol w:w="3431"/>
        <w:gridCol w:w="1027"/>
        <w:gridCol w:w="1028"/>
        <w:gridCol w:w="10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支出预算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功能分类科目编码</w:t>
            </w:r>
          </w:p>
        </w:tc>
        <w:tc>
          <w:tcPr>
            <w:tcW w:w="343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功能分类科目名称</w:t>
            </w:r>
          </w:p>
        </w:tc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      计</w:t>
            </w:r>
          </w:p>
        </w:tc>
        <w:tc>
          <w:tcPr>
            <w:tcW w:w="10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0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</w:p>
        </w:tc>
        <w:tc>
          <w:tcPr>
            <w:tcW w:w="52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</w:t>
            </w:r>
          </w:p>
        </w:tc>
        <w:tc>
          <w:tcPr>
            <w:tcW w:w="52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343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3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234.05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234.05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国家税务局总局双河税务局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234.05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234.05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一般公共服务支出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税收事务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07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社会保障和就业支出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行政事业单位离退休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未归口管理的行政单位离退休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机关事业单位基本养老保险缴费支出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22.95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22.95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64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64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tbl>
      <w:tblPr>
        <w:tblStyle w:val="10"/>
        <w:tblW w:w="81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2"/>
        <w:gridCol w:w="912"/>
        <w:gridCol w:w="2597"/>
        <w:gridCol w:w="943"/>
        <w:gridCol w:w="943"/>
        <w:gridCol w:w="9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      入</w:t>
            </w:r>
          </w:p>
        </w:tc>
        <w:tc>
          <w:tcPr>
            <w:tcW w:w="54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           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 计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  能  分  类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  般  公  共  预  算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财政拨款（补助）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234.05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 一般公共服务支出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一般公共预算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234.05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 外交支出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政府性基金预算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 国防支出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 公共安全支出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 教育支出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 科学技术支出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 文化旅游体育与传媒支出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 社会保障和就业支出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 社会保险基金支出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 卫生健康支出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 节能环保支出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 城乡社区支出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 农林水支出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 交通运输支出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 资源勘探信息等支出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 商业服务业等支出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 金融支出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 援助其他地区支出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 自然资源海洋气象等支出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 住房保障支出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 粮油物资储备支出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 国有资本经营预算支出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 灾害防治及应急管理支出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 预备费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 其他支出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 债务还本支出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 债务付息支出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 债务发行费支出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           计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234.05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           计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234.05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234.05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 转移性支出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  入  总  计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234.05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  出  合  计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234.05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234.05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64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64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tbl>
      <w:tblPr>
        <w:tblStyle w:val="10"/>
        <w:tblW w:w="81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0"/>
        <w:gridCol w:w="490"/>
        <w:gridCol w:w="492"/>
        <w:gridCol w:w="3540"/>
        <w:gridCol w:w="1155"/>
        <w:gridCol w:w="1155"/>
        <w:gridCol w:w="8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一般公共预算支出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功能分类科目编码</w:t>
            </w:r>
          </w:p>
        </w:tc>
        <w:tc>
          <w:tcPr>
            <w:tcW w:w="354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功能分类科目名称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      计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</w:p>
        </w:tc>
        <w:tc>
          <w:tcPr>
            <w:tcW w:w="49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</w:t>
            </w:r>
          </w:p>
        </w:tc>
        <w:tc>
          <w:tcPr>
            <w:tcW w:w="49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35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234.05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234.05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国家税务局总局双河税务局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234.05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234.05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一般公共服务支出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税收事务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201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07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社会保障和就业支出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行政事业单位离退休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208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05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未归口管理的行政单位离退休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208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05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机关事业单位基本养老保险缴费支出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22.95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22.95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64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64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tbl>
      <w:tblPr>
        <w:tblStyle w:val="10"/>
        <w:tblW w:w="82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717"/>
        <w:gridCol w:w="3004"/>
        <w:gridCol w:w="1312"/>
        <w:gridCol w:w="1311"/>
        <w:gridCol w:w="13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经济分类科目编码</w:t>
            </w:r>
          </w:p>
        </w:tc>
        <w:tc>
          <w:tcPr>
            <w:tcW w:w="300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经济分类科目名称</w:t>
            </w:r>
          </w:p>
        </w:tc>
        <w:tc>
          <w:tcPr>
            <w:tcW w:w="13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   计</w:t>
            </w:r>
          </w:p>
        </w:tc>
        <w:tc>
          <w:tcPr>
            <w:tcW w:w="131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3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公用经费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</w:t>
            </w:r>
          </w:p>
        </w:tc>
        <w:tc>
          <w:tcPr>
            <w:tcW w:w="300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131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1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1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234.05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230.82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国家税务局总局双河税务局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234.05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230.82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工资福利支出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228.72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228.72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津贴补贴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157.95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157.95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机关事业单位基本养老保险缴费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22.95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22.95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职工基本医疗保险缴费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14.22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14.22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公务员医疗补助缴费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11.06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11.06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其他社会保障缴费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0.15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18.95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18.95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其他工资福利支出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3.44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3.44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商品和服务支出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3.23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取暖费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3.23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对个人和家庭的补助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2.10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离休费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生活补助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0.84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0.84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医疗费补助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1.13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1.13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其他对个人和家庭的补助支出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64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64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tbl>
      <w:tblPr>
        <w:tblStyle w:val="10"/>
        <w:tblW w:w="85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557"/>
        <w:gridCol w:w="557"/>
        <w:gridCol w:w="963"/>
        <w:gridCol w:w="522"/>
        <w:gridCol w:w="535"/>
        <w:gridCol w:w="595"/>
        <w:gridCol w:w="522"/>
        <w:gridCol w:w="478"/>
        <w:gridCol w:w="580"/>
        <w:gridCol w:w="521"/>
        <w:gridCol w:w="464"/>
        <w:gridCol w:w="478"/>
        <w:gridCol w:w="392"/>
        <w:gridCol w:w="492"/>
        <w:gridCol w:w="3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5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4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对个人和家庭的补助支出</w:t>
            </w:r>
          </w:p>
        </w:tc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4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3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类</w:t>
            </w:r>
          </w:p>
        </w:tc>
        <w:tc>
          <w:tcPr>
            <w:tcW w:w="55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款</w:t>
            </w:r>
          </w:p>
        </w:tc>
        <w:tc>
          <w:tcPr>
            <w:tcW w:w="5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</w:t>
            </w:r>
          </w:p>
        </w:tc>
        <w:tc>
          <w:tcPr>
            <w:tcW w:w="96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7" w:hRule="atLeast"/>
        </w:trPr>
        <w:tc>
          <w:tcPr>
            <w:tcW w:w="5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55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640" w:lineRule="exact"/>
        <w:outlineLvl w:val="1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根据国家财政部、税务总局制定的《税务部门经费保障实施办法》，2019年自治区财政仅安排由财政保障的人员预算，故本表为空表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64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64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tbl>
      <w:tblPr>
        <w:tblStyle w:val="10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1286"/>
        <w:gridCol w:w="924"/>
        <w:gridCol w:w="934"/>
        <w:gridCol w:w="934"/>
        <w:gridCol w:w="934"/>
        <w:gridCol w:w="11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单  位 </w:t>
            </w:r>
          </w:p>
        </w:tc>
        <w:tc>
          <w:tcPr>
            <w:tcW w:w="12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因公出国（境）费</w:t>
            </w:r>
          </w:p>
        </w:tc>
        <w:tc>
          <w:tcPr>
            <w:tcW w:w="2802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公务用车购置及运行费</w:t>
            </w: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公务接待费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2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小计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公务用车购置费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公务用车运行费</w:t>
            </w: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9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640" w:lineRule="exact"/>
        <w:outlineLvl w:val="1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根据国家财政部、税务总局制定的《税务部门经费保障实施办法》，2019年自治区财政仅安排由财政保障的人员预算，故本表为空表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64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64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tbl>
      <w:tblPr>
        <w:tblStyle w:val="10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576"/>
        <w:gridCol w:w="576"/>
        <w:gridCol w:w="2596"/>
        <w:gridCol w:w="1836"/>
        <w:gridCol w:w="1181"/>
        <w:gridCol w:w="1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政府性基金预算支出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9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8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      计</w:t>
            </w:r>
          </w:p>
        </w:tc>
        <w:tc>
          <w:tcPr>
            <w:tcW w:w="11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1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类</w:t>
            </w:r>
          </w:p>
        </w:tc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款</w:t>
            </w:r>
          </w:p>
        </w:tc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</w:t>
            </w:r>
          </w:p>
        </w:tc>
        <w:tc>
          <w:tcPr>
            <w:tcW w:w="25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64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国家税务总局双河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税务局没有政府性基金，本表为空表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64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640" w:lineRule="exact"/>
        <w:jc w:val="center"/>
        <w:outlineLvl w:val="1"/>
        <w:rPr>
          <w:rFonts w:ascii="黑体" w:hAnsi="黑体" w:eastAsia="黑体"/>
          <w:b/>
          <w:kern w:val="0"/>
          <w:sz w:val="32"/>
          <w:szCs w:val="32"/>
        </w:rPr>
      </w:pPr>
      <w:r>
        <w:rPr>
          <w:rFonts w:hint="eastAsia" w:ascii="黑体" w:hAnsi="黑体" w:eastAsia="黑体"/>
          <w:b/>
          <w:kern w:val="0"/>
          <w:sz w:val="32"/>
          <w:szCs w:val="32"/>
        </w:rPr>
        <w:t>第三部分  2019年部门预算情况说明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64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一、关于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国家税务总局双河</w:t>
      </w:r>
      <w:r>
        <w:rPr>
          <w:rFonts w:hint="eastAsia" w:ascii="黑体" w:hAnsi="黑体" w:eastAsia="黑体"/>
          <w:kern w:val="0"/>
          <w:sz w:val="32"/>
          <w:szCs w:val="32"/>
        </w:rPr>
        <w:t>税务局2019年收支预算情况的总体说明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4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国家税务总局双河税务局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>2019年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所有收入和支出均纳入部门预算管理。收支总预算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234.05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64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64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支出预算包括：一般公共服务支出、社会保障和就业支出。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64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二、关于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国家税务总局双河税务局</w:t>
      </w:r>
      <w:r>
        <w:rPr>
          <w:rFonts w:hint="eastAsia" w:ascii="黑体" w:hAnsi="黑体" w:eastAsia="黑体"/>
          <w:kern w:val="0"/>
          <w:sz w:val="32"/>
          <w:szCs w:val="32"/>
        </w:rPr>
        <w:t>2019年收入预算情况说明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64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国家税务总局双河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234.05</w:t>
      </w:r>
      <w:r>
        <w:rPr>
          <w:rFonts w:hint="eastAsia" w:ascii="仿宋_GB2312" w:hAnsi="宋体" w:eastAsia="仿宋_GB2312"/>
          <w:kern w:val="0"/>
          <w:sz w:val="32"/>
          <w:szCs w:val="32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元，其中：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40" w:lineRule="exact"/>
        <w:ind w:firstLine="640" w:firstLineChars="200"/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234.05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万元，占100 %，比上年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41.12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是2018年国地税征管改革，原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双河</w:t>
      </w:r>
      <w:r>
        <w:rPr>
          <w:rFonts w:hint="eastAsia" w:ascii="仿宋_GB2312" w:hAnsi="宋体" w:eastAsia="仿宋_GB2312"/>
          <w:kern w:val="0"/>
          <w:sz w:val="32"/>
          <w:szCs w:val="32"/>
        </w:rPr>
        <w:t>地方税务局与原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双河</w:t>
      </w:r>
      <w:r>
        <w:rPr>
          <w:rFonts w:hint="eastAsia" w:ascii="仿宋_GB2312" w:hAnsi="宋体" w:eastAsia="仿宋_GB2312"/>
          <w:kern w:val="0"/>
          <w:sz w:val="32"/>
          <w:szCs w:val="32"/>
        </w:rPr>
        <w:t>国税局合并为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国家税务总局双河税务局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>，经费保障体制随之发生变化，自治区财政保障范围为按照国家政策执行属地标准的工资项目，及其涉及的养老保险缴费、医疗保险缴费、住房公积金等单位按照规定缴存部分；按照国家政策执行地方标准的丧葬费、遗属补助等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；二是国地税征管体制改革后人员增加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28人。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640" w:lineRule="exact"/>
        <w:ind w:firstLine="640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政府性基金预算未安排。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64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三、关于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国家税务局总局双河税务局</w:t>
      </w:r>
      <w:r>
        <w:rPr>
          <w:rFonts w:hint="eastAsia" w:ascii="黑体" w:hAnsi="黑体" w:eastAsia="黑体"/>
          <w:kern w:val="0"/>
          <w:sz w:val="32"/>
          <w:szCs w:val="32"/>
        </w:rPr>
        <w:t>2019年支出预算情况说明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64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国家税务总局双河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lang w:val="en-US" w:eastAsia="zh-CN"/>
        </w:rPr>
        <w:t>234.05</w:t>
      </w:r>
      <w:r>
        <w:rPr>
          <w:rFonts w:hint="eastAsia" w:ascii="仿宋_GB2312" w:hAnsi="宋体" w:eastAsia="仿宋_GB2312"/>
          <w:kern w:val="0"/>
          <w:sz w:val="32"/>
          <w:szCs w:val="32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元，其中：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4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234.05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万元，占100%，比上年增加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93.22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万元，原因是合并后人员增加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人，其中在职增加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人，离退休增加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人。项目支出预算未安排。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640" w:lineRule="exact"/>
        <w:ind w:firstLine="640" w:firstLineChars="200"/>
        <w:outlineLvl w:val="1"/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四、关于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国家税务局总局双河税务局</w:t>
      </w:r>
      <w:r>
        <w:rPr>
          <w:rFonts w:hint="eastAsia" w:ascii="黑体" w:hAnsi="黑体" w:eastAsia="黑体"/>
          <w:kern w:val="0"/>
          <w:sz w:val="32"/>
          <w:szCs w:val="32"/>
        </w:rPr>
        <w:t>2019年</w:t>
      </w:r>
      <w:r>
        <w:rPr>
          <w:rFonts w:hint="eastAsia" w:ascii="黑体" w:hAnsi="黑体" w:eastAsia="黑体"/>
          <w:bCs/>
          <w:kern w:val="0"/>
          <w:sz w:val="32"/>
          <w:szCs w:val="32"/>
        </w:rPr>
        <w:t>财政拨款收支预算情况的总体说明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40" w:lineRule="exact"/>
        <w:ind w:firstLine="64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宋体" w:eastAsia="仿宋_GB2312"/>
          <w:kern w:val="0"/>
          <w:sz w:val="32"/>
          <w:szCs w:val="32"/>
        </w:rPr>
        <w:t>019年财政拨款收支总预算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234.05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万元，其中2010701行政运行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209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万元，2080504未归口管理的行政单位离退休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2.10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万元，2080505机关事业单位基本养老保险缴费支出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22.95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4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收入全部为一般公共预算拨款，无政府性基金预算拨款。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4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支出预算包括：一般公共服务支出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209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万元，其中2010701行政运行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209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万元；社会保障与就业支出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25.05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万元，其中2080504未归口管理的行政单位离退休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2.10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万元，2080505机关事业单位基本养老保险缴费支出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22.95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4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主要用于发放按照国家政策执行属地标准的工资项目，如规范津贴补贴、乡镇工作补贴、奖励性补贴、改革性补贴等，上述工资项目涉及的养老保险缴费、医疗保险缴费、住房公积金等单位按照规定缴存部分；按照国家政策执行地方标准的丧葬费、遗属补助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64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五、关于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国家税务局总局双河税务局</w:t>
      </w:r>
      <w:r>
        <w:rPr>
          <w:rFonts w:hint="eastAsia" w:ascii="黑体" w:hAnsi="黑体" w:eastAsia="黑体"/>
          <w:kern w:val="0"/>
          <w:sz w:val="32"/>
          <w:szCs w:val="32"/>
        </w:rPr>
        <w:t>2019年一般公共预算当年拨款情况说明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64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4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国家税务局总局双河税务局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>2019年一般公共预算拨款基本支出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234.05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比上年执行数增加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lang w:val="en-US" w:eastAsia="zh-CN"/>
        </w:rPr>
        <w:t>41.12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万元，增长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lang w:val="en-US" w:eastAsia="zh-CN"/>
        </w:rPr>
        <w:t>21.31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%。</w:t>
      </w:r>
      <w:r>
        <w:rPr>
          <w:rFonts w:hint="eastAsia" w:ascii="仿宋_GB2312" w:hAnsi="宋体" w:eastAsia="仿宋_GB2312"/>
          <w:kern w:val="0"/>
          <w:sz w:val="32"/>
          <w:szCs w:val="32"/>
        </w:rPr>
        <w:t>主要原因一是国地税征管体制改革，经费保障模式改变；二是合并后人员增加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28</w:t>
      </w:r>
      <w:r>
        <w:rPr>
          <w:rFonts w:hint="eastAsia" w:ascii="仿宋_GB2312" w:hAnsi="宋体" w:eastAsia="仿宋_GB2312"/>
          <w:kern w:val="0"/>
          <w:sz w:val="32"/>
          <w:szCs w:val="32"/>
        </w:rPr>
        <w:t>人，其中在职增加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27</w:t>
      </w:r>
      <w:r>
        <w:rPr>
          <w:rFonts w:hint="eastAsia" w:ascii="仿宋_GB2312" w:hAnsi="宋体" w:eastAsia="仿宋_GB2312"/>
          <w:kern w:val="0"/>
          <w:sz w:val="32"/>
          <w:szCs w:val="32"/>
        </w:rPr>
        <w:t>人，离退休增加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人。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64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40" w:lineRule="exact"/>
        <w:ind w:firstLine="640" w:firstLineChars="200"/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1.一般公共服务（类）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209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89.30</w:t>
      </w:r>
      <w:r>
        <w:rPr>
          <w:rFonts w:hint="eastAsia" w:ascii="仿宋_GB2312" w:hAnsi="宋体" w:eastAsia="仿宋_GB2312"/>
          <w:kern w:val="0"/>
          <w:sz w:val="32"/>
          <w:szCs w:val="32"/>
        </w:rPr>
        <w:t>%。其中2010701行政运行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209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4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2. 社会保障与就业支出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25.05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10.7</w:t>
      </w:r>
      <w:r>
        <w:rPr>
          <w:rFonts w:hint="eastAsia" w:ascii="仿宋_GB2312" w:hAnsi="宋体" w:eastAsia="仿宋_GB2312"/>
          <w:kern w:val="0"/>
          <w:sz w:val="32"/>
          <w:szCs w:val="32"/>
        </w:rPr>
        <w:t>％。其中2080504未归口管理的行政单位离退休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2.10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万元，2080505机关事业单位基本养老保险缴费支出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22.95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64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64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1.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一般公共服务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201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（类）财政事务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07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（款）行政运行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02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（项）: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2019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209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比上年执行数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81.65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增幅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64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%，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主要原因是国地税征管体制改革，经费保障模式改变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40" w:lineRule="exact"/>
        <w:ind w:firstLine="64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.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 xml:space="preserve"> 一般公共服务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208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（类）财政事务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05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（款）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未归口管理的行政单位离退休04（项）：2019年预算数为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2.10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万元，比上年执行数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2.10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％。主要原因是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离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退休人数较合并前增加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40" w:lineRule="exact"/>
        <w:ind w:firstLine="64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highlight w:val="none"/>
        </w:rPr>
        <w:t>.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 xml:space="preserve"> 一般公共服务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208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（类）财政事务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05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（款）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机关事业单位基本养老保险缴费05（项）：2019年预算数为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22.95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万元，比上年执行数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9.47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70.25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％。主要原因是自治区财政经费保障范围变化，养老金提取基数降低。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64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六、关于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国家税务局总局双河税务局</w:t>
      </w:r>
      <w:r>
        <w:rPr>
          <w:rFonts w:hint="eastAsia" w:ascii="黑体" w:hAnsi="黑体" w:eastAsia="黑体"/>
          <w:kern w:val="0"/>
          <w:sz w:val="32"/>
          <w:szCs w:val="32"/>
        </w:rPr>
        <w:t>2019年一般公共预算基本支出情况说明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64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国家税务局总局双河税务局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>2019年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一般公共预算基本支出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234.05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 其中：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64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230.82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规范性津贴补贴、机关事业单位基本养老保险缴费、职业年金缴费、职工基本医疗保险缴费、公务员医疗补助缴费、其他社会保障缴费、住房公积金、医疗费、其他工资福利支出、离休费、退休费、医疗费补助、奖励金、其他对个人和家庭的补助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4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3.23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万元，是职工取暖补助。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64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七、关于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国家税务局总局双河税务局</w:t>
      </w:r>
      <w:r>
        <w:rPr>
          <w:rFonts w:hint="eastAsia" w:ascii="黑体" w:hAnsi="黑体" w:eastAsia="黑体"/>
          <w:kern w:val="0"/>
          <w:sz w:val="32"/>
          <w:szCs w:val="32"/>
        </w:rPr>
        <w:t>2019年项目支出情况说明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6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国家税务局总局双河税务局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>2019年未安排项目支出，项目支出情况表为空表。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64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八、关于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国家税务局总局双河税务局</w:t>
      </w:r>
      <w:r>
        <w:rPr>
          <w:rFonts w:hint="eastAsia" w:ascii="黑体" w:hAnsi="黑体" w:eastAsia="黑体"/>
          <w:kern w:val="0"/>
          <w:sz w:val="32"/>
          <w:szCs w:val="32"/>
        </w:rPr>
        <w:t>2019年一般公共预算“三公”经费预算情况说明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6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国家税务局总局双河税务局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>2019年未安排“三公”经费预算，一般公共预算“三公”经费支出情况表为空表。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64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九、关于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国家税务局总局双河税务局</w:t>
      </w:r>
      <w:r>
        <w:rPr>
          <w:rFonts w:hint="eastAsia" w:ascii="黑体" w:hAnsi="黑体" w:eastAsia="黑体"/>
          <w:kern w:val="0"/>
          <w:sz w:val="32"/>
          <w:szCs w:val="32"/>
        </w:rPr>
        <w:t>2019年政府性基金预算拨款情况说明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64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国家税务局总局双河税务局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>2019年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没有使用政府性基金预算拨款安排的支出，政府性基金预算支出情况表为空表。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64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十、其他重要事项的情况说明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64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6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2019年，未安排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国家税务局总局双河税务局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>及1家事业单位的机关运行经费财政拨款预算。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64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640" w:lineRule="exact"/>
        <w:ind w:firstLine="642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2019年，未安排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国家税务局总局双河税务局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>政府采购预算。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64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  <w:highlight w:val="none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  <w:highlight w:val="none"/>
        </w:rPr>
        <w:t>（三）国有资产占用使用情况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64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截至2018年底，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国家税务局总局双河税务局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占用使用国有资产总体情况为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64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.车辆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124.13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万元；其中：执法执勤用车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辆，价值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85.96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元；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机要通信用车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辆，价值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38.17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64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.办公家具价值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58.04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64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.其他资产价值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204.42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64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64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2019年部门预算未安排购置车辆经费、50万元以上大型设备及单位价值100万元以上大型设备经费。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64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64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2019年，未安排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国家税务局总局双河税务局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>项目支出预算。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64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640" w:lineRule="exact"/>
        <w:jc w:val="center"/>
        <w:outlineLvl w:val="1"/>
        <w:rPr>
          <w:rFonts w:ascii="黑体" w:hAnsi="黑体" w:eastAsia="黑体"/>
          <w:b/>
          <w:kern w:val="0"/>
          <w:sz w:val="32"/>
          <w:szCs w:val="32"/>
        </w:rPr>
      </w:pPr>
      <w:r>
        <w:rPr>
          <w:rFonts w:hint="eastAsia" w:ascii="黑体" w:hAnsi="黑体" w:eastAsia="黑体"/>
          <w:b/>
          <w:kern w:val="0"/>
          <w:sz w:val="32"/>
          <w:szCs w:val="32"/>
        </w:rPr>
        <w:t>第四部分  名词解释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4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指由一般公共预算安排的财政拨款数。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4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z w:val="32"/>
          <w:szCs w:val="32"/>
        </w:rPr>
        <w:t>指公共财政拨款资金。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4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40" w:lineRule="exact"/>
        <w:ind w:firstLine="642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40" w:lineRule="exact"/>
        <w:ind w:firstLine="642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40" w:lineRule="exact"/>
        <w:ind w:firstLine="3840" w:firstLineChars="1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国家税务局总局双河税务局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40" w:lineRule="exact"/>
        <w:ind w:firstLine="4640" w:firstLineChars="14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40" w:lineRule="exact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14 -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9701E"/>
    <w:rsid w:val="00004B54"/>
    <w:rsid w:val="00034850"/>
    <w:rsid w:val="000400E4"/>
    <w:rsid w:val="00061661"/>
    <w:rsid w:val="000630C2"/>
    <w:rsid w:val="00081989"/>
    <w:rsid w:val="0008678A"/>
    <w:rsid w:val="00087F5F"/>
    <w:rsid w:val="000E0690"/>
    <w:rsid w:val="000E79B7"/>
    <w:rsid w:val="000F0488"/>
    <w:rsid w:val="00101FDB"/>
    <w:rsid w:val="00104CD0"/>
    <w:rsid w:val="00125215"/>
    <w:rsid w:val="0015732F"/>
    <w:rsid w:val="001C582F"/>
    <w:rsid w:val="001E7745"/>
    <w:rsid w:val="001F39CE"/>
    <w:rsid w:val="00204101"/>
    <w:rsid w:val="00222572"/>
    <w:rsid w:val="00231C3D"/>
    <w:rsid w:val="0023522E"/>
    <w:rsid w:val="00296AD9"/>
    <w:rsid w:val="002C1114"/>
    <w:rsid w:val="002D6441"/>
    <w:rsid w:val="002E0F2C"/>
    <w:rsid w:val="00316CE6"/>
    <w:rsid w:val="0031759A"/>
    <w:rsid w:val="00320AB7"/>
    <w:rsid w:val="00325B17"/>
    <w:rsid w:val="00325E7E"/>
    <w:rsid w:val="00327AF0"/>
    <w:rsid w:val="0035290E"/>
    <w:rsid w:val="003730BA"/>
    <w:rsid w:val="00374ADB"/>
    <w:rsid w:val="003758C0"/>
    <w:rsid w:val="003D7896"/>
    <w:rsid w:val="003F2E29"/>
    <w:rsid w:val="00403522"/>
    <w:rsid w:val="00407C14"/>
    <w:rsid w:val="00411FEC"/>
    <w:rsid w:val="0045074B"/>
    <w:rsid w:val="00463E0C"/>
    <w:rsid w:val="00466918"/>
    <w:rsid w:val="00487618"/>
    <w:rsid w:val="004A1685"/>
    <w:rsid w:val="004B4B6F"/>
    <w:rsid w:val="004E0483"/>
    <w:rsid w:val="00513076"/>
    <w:rsid w:val="005134B3"/>
    <w:rsid w:val="00527287"/>
    <w:rsid w:val="005339F3"/>
    <w:rsid w:val="00563B56"/>
    <w:rsid w:val="005B1010"/>
    <w:rsid w:val="005B3758"/>
    <w:rsid w:val="005B5332"/>
    <w:rsid w:val="005D420B"/>
    <w:rsid w:val="005E561E"/>
    <w:rsid w:val="005E6799"/>
    <w:rsid w:val="00617846"/>
    <w:rsid w:val="00665882"/>
    <w:rsid w:val="00672ADE"/>
    <w:rsid w:val="006961DF"/>
    <w:rsid w:val="006A414D"/>
    <w:rsid w:val="006E51A4"/>
    <w:rsid w:val="006E6D64"/>
    <w:rsid w:val="006F0305"/>
    <w:rsid w:val="0070379E"/>
    <w:rsid w:val="00711D25"/>
    <w:rsid w:val="00723D5C"/>
    <w:rsid w:val="00776AED"/>
    <w:rsid w:val="0079208C"/>
    <w:rsid w:val="007C5528"/>
    <w:rsid w:val="007D5E4D"/>
    <w:rsid w:val="007F789E"/>
    <w:rsid w:val="00817B0E"/>
    <w:rsid w:val="008220C9"/>
    <w:rsid w:val="008234EF"/>
    <w:rsid w:val="00833218"/>
    <w:rsid w:val="00844F84"/>
    <w:rsid w:val="008817FC"/>
    <w:rsid w:val="008919CD"/>
    <w:rsid w:val="00895AC9"/>
    <w:rsid w:val="008A7438"/>
    <w:rsid w:val="008B0C74"/>
    <w:rsid w:val="008E3578"/>
    <w:rsid w:val="00914381"/>
    <w:rsid w:val="00917814"/>
    <w:rsid w:val="00942945"/>
    <w:rsid w:val="00967638"/>
    <w:rsid w:val="00975B91"/>
    <w:rsid w:val="00976449"/>
    <w:rsid w:val="00992012"/>
    <w:rsid w:val="009A4AF1"/>
    <w:rsid w:val="009A4CB8"/>
    <w:rsid w:val="009B621F"/>
    <w:rsid w:val="009D13C4"/>
    <w:rsid w:val="00A31849"/>
    <w:rsid w:val="00A35ED2"/>
    <w:rsid w:val="00A41A6B"/>
    <w:rsid w:val="00A43084"/>
    <w:rsid w:val="00A44F57"/>
    <w:rsid w:val="00A4538A"/>
    <w:rsid w:val="00A50856"/>
    <w:rsid w:val="00A72BFC"/>
    <w:rsid w:val="00A96BF4"/>
    <w:rsid w:val="00AE04CD"/>
    <w:rsid w:val="00B0485A"/>
    <w:rsid w:val="00B16C7F"/>
    <w:rsid w:val="00B36C06"/>
    <w:rsid w:val="00B81834"/>
    <w:rsid w:val="00B82EF5"/>
    <w:rsid w:val="00BA4DF4"/>
    <w:rsid w:val="00BF0829"/>
    <w:rsid w:val="00C01894"/>
    <w:rsid w:val="00C1137C"/>
    <w:rsid w:val="00C154C4"/>
    <w:rsid w:val="00C93D7D"/>
    <w:rsid w:val="00CC7817"/>
    <w:rsid w:val="00CE646E"/>
    <w:rsid w:val="00D01EF5"/>
    <w:rsid w:val="00D24B7A"/>
    <w:rsid w:val="00D50020"/>
    <w:rsid w:val="00D62E90"/>
    <w:rsid w:val="00D74A16"/>
    <w:rsid w:val="00D75D01"/>
    <w:rsid w:val="00D76DC6"/>
    <w:rsid w:val="00D80748"/>
    <w:rsid w:val="00DA24A7"/>
    <w:rsid w:val="00DA6195"/>
    <w:rsid w:val="00DA6C62"/>
    <w:rsid w:val="00DF1636"/>
    <w:rsid w:val="00E02D1F"/>
    <w:rsid w:val="00E1543E"/>
    <w:rsid w:val="00E92B4D"/>
    <w:rsid w:val="00EA4AC2"/>
    <w:rsid w:val="00EB57DA"/>
    <w:rsid w:val="00EC08CB"/>
    <w:rsid w:val="00EC5463"/>
    <w:rsid w:val="00EF0BB7"/>
    <w:rsid w:val="00F0777C"/>
    <w:rsid w:val="00F31D93"/>
    <w:rsid w:val="00F66CDF"/>
    <w:rsid w:val="00F919F9"/>
    <w:rsid w:val="00F9701E"/>
    <w:rsid w:val="00FB2DBE"/>
    <w:rsid w:val="00FC1C63"/>
    <w:rsid w:val="00FC4491"/>
    <w:rsid w:val="00FE5560"/>
    <w:rsid w:val="03AA20A7"/>
    <w:rsid w:val="0F623AE4"/>
    <w:rsid w:val="14C86ECF"/>
    <w:rsid w:val="163E0F9F"/>
    <w:rsid w:val="179E3BAB"/>
    <w:rsid w:val="1C57432A"/>
    <w:rsid w:val="2612044D"/>
    <w:rsid w:val="2AE153ED"/>
    <w:rsid w:val="2B2A63BC"/>
    <w:rsid w:val="33BD430C"/>
    <w:rsid w:val="33FE6D82"/>
    <w:rsid w:val="357F2CC6"/>
    <w:rsid w:val="37FB7988"/>
    <w:rsid w:val="38194264"/>
    <w:rsid w:val="3C546B4E"/>
    <w:rsid w:val="3C577060"/>
    <w:rsid w:val="4127675A"/>
    <w:rsid w:val="429C35CB"/>
    <w:rsid w:val="490055CF"/>
    <w:rsid w:val="4CB20245"/>
    <w:rsid w:val="4DE44258"/>
    <w:rsid w:val="618A1926"/>
    <w:rsid w:val="659D165A"/>
    <w:rsid w:val="6BFF0F1C"/>
    <w:rsid w:val="73847DAB"/>
    <w:rsid w:val="753B6F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6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0"/>
    <w:rPr>
      <w:rFonts w:cs="Times New Roman"/>
      <w:b/>
      <w:bCs/>
    </w:rPr>
  </w:style>
  <w:style w:type="character" w:styleId="9">
    <w:name w:val="page number"/>
    <w:basedOn w:val="7"/>
    <w:qFormat/>
    <w:uiPriority w:val="0"/>
  </w:style>
  <w:style w:type="table" w:styleId="11">
    <w:name w:val="Table Grid"/>
    <w:basedOn w:val="10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脚 Char"/>
    <w:basedOn w:val="7"/>
    <w:link w:val="3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paragraph" w:customStyle="1" w:styleId="13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4">
    <w:name w:val="批注框文本 Char"/>
    <w:basedOn w:val="7"/>
    <w:link w:val="2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缩进 3 Char"/>
    <w:basedOn w:val="7"/>
    <w:link w:val="5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8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19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20">
    <w:name w:val="普通(网站)3"/>
    <w:basedOn w:val="1"/>
    <w:qFormat/>
    <w:uiPriority w:val="0"/>
    <w:rPr>
      <w:rFonts w:ascii="Calibri" w:hAnsi="Calibri" w:cs="黑体"/>
      <w:sz w:val="24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22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34</Pages>
  <Words>2307</Words>
  <Characters>13153</Characters>
  <Lines>109</Lines>
  <Paragraphs>30</Paragraphs>
  <TotalTime>9</TotalTime>
  <ScaleCrop>false</ScaleCrop>
  <LinksUpToDate>false</LinksUpToDate>
  <CharactersWithSpaces>15430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2019-01-22T02:01:00Z</dcterms:created>
  <dc:creator>王怡</dc:creator>
  <cp:lastModifiedBy>kembat</cp:lastModifiedBy>
  <cp:lastPrinted>2019-01-15T04:36:00Z</cp:lastPrinted>
  <dcterms:modified xsi:type="dcterms:W3CDTF">2019-03-25T05:49:57Z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