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国家税务总</w:t>
      </w:r>
      <w:r>
        <w:rPr>
          <w:rFonts w:hint="eastAsia" w:ascii="方正小标宋_GBK" w:hAnsi="宋体" w:eastAsia="方正小标宋_GBK"/>
          <w:sz w:val="44"/>
          <w:szCs w:val="44"/>
          <w:lang w:eastAsia="zh-CN"/>
        </w:rPr>
        <w:t>局阿克陶县</w:t>
      </w:r>
      <w:r>
        <w:rPr>
          <w:rFonts w:hint="eastAsia" w:ascii="方正小标宋_GBK" w:hAnsi="宋体" w:eastAsia="方正小标宋_GBK"/>
          <w:sz w:val="44"/>
          <w:szCs w:val="44"/>
        </w:rPr>
        <w:t>税务局关于原</w:t>
      </w:r>
    </w:p>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lang w:eastAsia="zh-CN"/>
        </w:rPr>
        <w:t>阿克陶县</w:t>
      </w:r>
      <w:r>
        <w:rPr>
          <w:rFonts w:hint="eastAsia" w:ascii="方正小标宋_GBK" w:hAnsi="宋体" w:eastAsia="方正小标宋_GBK"/>
          <w:sz w:val="44"/>
          <w:szCs w:val="44"/>
        </w:rPr>
        <w:t>地方税务局</w:t>
      </w:r>
      <w:r>
        <w:rPr>
          <w:rFonts w:ascii="方正小标宋_GBK" w:hAnsi="宋体" w:eastAsia="方正小标宋_GBK"/>
          <w:sz w:val="44"/>
          <w:szCs w:val="44"/>
        </w:rPr>
        <w:t>2017</w:t>
      </w:r>
      <w:r>
        <w:rPr>
          <w:rFonts w:hint="eastAsia" w:ascii="方正小标宋_GBK" w:hAnsi="宋体" w:eastAsia="方正小标宋_GBK"/>
          <w:sz w:val="44"/>
          <w:szCs w:val="44"/>
        </w:rPr>
        <w:t>年度</w:t>
      </w: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部门决算的公开说明</w:t>
      </w:r>
    </w:p>
    <w:p>
      <w:pPr>
        <w:spacing w:line="580" w:lineRule="exact"/>
        <w:ind w:firstLine="31680" w:firstLineChars="800"/>
        <w:rPr>
          <w:rFonts w:hint="eastAsia" w:ascii="华文中宋" w:hAnsi="华文中宋" w:eastAsia="华文中宋"/>
          <w:b/>
          <w:kern w:val="0"/>
          <w:sz w:val="32"/>
          <w:szCs w:val="32"/>
        </w:rPr>
      </w:pPr>
    </w:p>
    <w:p>
      <w:pPr>
        <w:spacing w:line="580" w:lineRule="exact"/>
        <w:ind w:firstLine="31680" w:firstLineChars="800"/>
        <w:rPr>
          <w:rFonts w:ascii="华文中宋" w:hAnsi="华文中宋" w:eastAsia="华文中宋"/>
          <w:b/>
          <w:kern w:val="0"/>
          <w:sz w:val="32"/>
          <w:szCs w:val="32"/>
        </w:rPr>
      </w:pPr>
      <w:r>
        <w:rPr>
          <w:rFonts w:hint="eastAsia" w:ascii="华文中宋" w:hAnsi="华文中宋" w:eastAsia="华文中宋"/>
          <w:b/>
          <w:kern w:val="0"/>
          <w:sz w:val="32"/>
          <w:szCs w:val="32"/>
          <w:lang w:val="en-US" w:eastAsia="zh-CN"/>
        </w:rPr>
        <w:t xml:space="preserve">      </w:t>
      </w:r>
      <w:r>
        <w:rPr>
          <w:rFonts w:hint="eastAsia" w:ascii="华文中宋" w:hAnsi="华文中宋" w:eastAsia="华文中宋"/>
          <w:b/>
          <w:kern w:val="0"/>
          <w:sz w:val="32"/>
          <w:szCs w:val="32"/>
        </w:rPr>
        <w:t>目</w:t>
      </w:r>
      <w:r>
        <w:rPr>
          <w:rFonts w:ascii="华文中宋" w:hAnsi="华文中宋" w:eastAsia="华文中宋"/>
          <w:b/>
          <w:kern w:val="0"/>
          <w:sz w:val="32"/>
          <w:szCs w:val="32"/>
        </w:rPr>
        <w:t xml:space="preserve">  </w:t>
      </w:r>
      <w:r>
        <w:rPr>
          <w:rFonts w:hint="eastAsia" w:ascii="华文中宋" w:hAnsi="华文中宋" w:eastAsia="华文中宋"/>
          <w:b/>
          <w:kern w:val="0"/>
          <w:sz w:val="32"/>
          <w:szCs w:val="32"/>
        </w:rPr>
        <w:t>录</w:t>
      </w:r>
    </w:p>
    <w:p>
      <w:pPr>
        <w:spacing w:line="580" w:lineRule="exact"/>
        <w:ind w:firstLine="31680" w:firstLineChars="200"/>
        <w:rPr>
          <w:rFonts w:ascii="仿宋_GB2312" w:hAnsi="宋体" w:eastAsia="仿宋_GB2312"/>
          <w:b/>
          <w:kern w:val="0"/>
          <w:sz w:val="32"/>
          <w:szCs w:val="32"/>
        </w:rPr>
      </w:pP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sz w:val="32"/>
          <w:szCs w:val="32"/>
          <w:lang w:eastAsia="zh-CN"/>
        </w:rPr>
        <w:t>阿克陶县</w:t>
      </w:r>
      <w:r>
        <w:rPr>
          <w:rFonts w:hint="eastAsia" w:ascii="黑体" w:hAnsi="黑体" w:eastAsia="黑体"/>
          <w:sz w:val="32"/>
          <w:szCs w:val="32"/>
        </w:rPr>
        <w:t>地方税务局</w:t>
      </w:r>
      <w:r>
        <w:rPr>
          <w:rFonts w:hint="eastAsia" w:ascii="黑体" w:hAnsi="黑体" w:eastAsia="黑体"/>
          <w:kern w:val="0"/>
          <w:sz w:val="32"/>
          <w:szCs w:val="32"/>
        </w:rPr>
        <w:t>单位概况</w:t>
      </w:r>
    </w:p>
    <w:p>
      <w:pPr>
        <w:spacing w:line="580" w:lineRule="exact"/>
        <w:ind w:firstLine="3168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一、主要职能、机构设置及人员情况</w:t>
      </w:r>
    </w:p>
    <w:p>
      <w:pPr>
        <w:spacing w:line="580" w:lineRule="exact"/>
        <w:ind w:firstLine="3168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部门决算单位构成</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w:t>
      </w:r>
      <w:r>
        <w:rPr>
          <w:rFonts w:hint="eastAsia" w:ascii="黑体" w:hAnsi="黑体" w:eastAsia="黑体"/>
          <w:kern w:val="0"/>
          <w:sz w:val="32"/>
          <w:szCs w:val="32"/>
        </w:rPr>
        <w:t>部门决算情况说明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w:t>
      </w:r>
      <w:r>
        <w:rPr>
          <w:rFonts w:hint="eastAsia" w:ascii="黑体" w:hAnsi="黑体" w:eastAsia="黑体"/>
          <w:kern w:val="0"/>
          <w:sz w:val="32"/>
          <w:szCs w:val="32"/>
        </w:rPr>
        <w:t>专业名词解释</w:t>
      </w:r>
    </w:p>
    <w:p>
      <w:pPr>
        <w:spacing w:line="580" w:lineRule="exact"/>
        <w:ind w:firstLine="31680" w:firstLineChars="200"/>
        <w:rPr>
          <w:rFonts w:ascii="黑体" w:hAnsi="黑体" w:eastAsia="黑体"/>
          <w:kern w:val="0"/>
          <w:sz w:val="32"/>
          <w:szCs w:val="32"/>
        </w:rPr>
      </w:pPr>
      <w:r>
        <w:rPr>
          <w:rFonts w:hint="eastAsia" w:ascii="黑体" w:hAnsi="黑体" w:eastAsia="黑体"/>
          <w:kern w:val="0"/>
          <w:sz w:val="32"/>
          <w:szCs w:val="32"/>
        </w:rPr>
        <w:t>第四部分</w:t>
      </w:r>
      <w:r>
        <w:rPr>
          <w:rFonts w:ascii="黑体" w:hAnsi="黑体" w:eastAsia="黑体"/>
          <w:kern w:val="0"/>
          <w:sz w:val="32"/>
          <w:szCs w:val="32"/>
        </w:rPr>
        <w:t xml:space="preserve"> </w:t>
      </w:r>
      <w:r>
        <w:rPr>
          <w:rFonts w:hint="eastAsia" w:ascii="黑体" w:hAnsi="黑体" w:eastAsia="黑体"/>
          <w:kern w:val="0"/>
          <w:sz w:val="32"/>
          <w:szCs w:val="32"/>
        </w:rPr>
        <w:t>部门决算报表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一、报表封面</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二、部门收支总体情况（</w:t>
      </w:r>
      <w:r>
        <w:rPr>
          <w:rFonts w:ascii="仿宋_GB2312" w:eastAsia="仿宋_GB2312"/>
          <w:sz w:val="32"/>
          <w:szCs w:val="32"/>
        </w:rPr>
        <w:t>11</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三、财政拨款收支情况（</w:t>
      </w:r>
      <w:r>
        <w:rPr>
          <w:rFonts w:ascii="仿宋_GB2312" w:eastAsia="仿宋_GB2312"/>
          <w:sz w:val="32"/>
          <w:szCs w:val="32"/>
        </w:rPr>
        <w:t>9</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四、单位资产负责情况（</w:t>
      </w:r>
      <w:r>
        <w:rPr>
          <w:rFonts w:ascii="仿宋_GB2312" w:eastAsia="仿宋_GB2312"/>
          <w:sz w:val="32"/>
          <w:szCs w:val="32"/>
        </w:rPr>
        <w:t>1</w:t>
      </w:r>
      <w:r>
        <w:rPr>
          <w:rFonts w:hint="eastAsia" w:ascii="仿宋_GB2312" w:eastAsia="仿宋_GB2312"/>
          <w:sz w:val="32"/>
          <w:szCs w:val="32"/>
        </w:rPr>
        <w:t>张）：《资产负债简表》</w:t>
      </w:r>
    </w:p>
    <w:p>
      <w:pPr>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五、部门决算附表（</w:t>
      </w:r>
      <w:r>
        <w:rPr>
          <w:rFonts w:ascii="仿宋_GB2312" w:eastAsia="仿宋_GB2312"/>
          <w:sz w:val="32"/>
          <w:szCs w:val="32"/>
        </w:rPr>
        <w:t>5</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六、填报说明附表（</w:t>
      </w:r>
      <w:r>
        <w:rPr>
          <w:rFonts w:ascii="仿宋_GB2312" w:eastAsia="仿宋_GB2312"/>
          <w:sz w:val="32"/>
          <w:szCs w:val="32"/>
        </w:rPr>
        <w:t>2</w:t>
      </w:r>
      <w:r>
        <w:rPr>
          <w:rFonts w:hint="eastAsia" w:ascii="仿宋_GB2312" w:eastAsia="仿宋_GB2312"/>
          <w:sz w:val="32"/>
          <w:szCs w:val="32"/>
        </w:rPr>
        <w:t>张）</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七、“三公”经费支出情况</w:t>
      </w:r>
      <w:r>
        <w:rPr>
          <w:rFonts w:ascii="仿宋_GB2312" w:eastAsia="仿宋_GB2312"/>
          <w:sz w:val="32"/>
          <w:szCs w:val="32"/>
        </w:rPr>
        <w:t>(1</w:t>
      </w:r>
      <w:r>
        <w:rPr>
          <w:rFonts w:hint="eastAsia" w:ascii="仿宋_GB2312" w:eastAsia="仿宋_GB2312"/>
          <w:sz w:val="32"/>
          <w:szCs w:val="32"/>
        </w:rPr>
        <w:t>张</w:t>
      </w:r>
      <w:r>
        <w:rPr>
          <w:rFonts w:ascii="仿宋_GB2312" w:eastAsia="仿宋_GB2312"/>
          <w:sz w:val="32"/>
          <w:szCs w:val="32"/>
        </w:rPr>
        <w:t>)</w:t>
      </w:r>
      <w:r>
        <w:rPr>
          <w:rFonts w:hint="eastAsia" w:ascii="仿宋_GB2312" w:eastAsia="仿宋_GB2312"/>
          <w:sz w:val="32"/>
          <w:szCs w:val="32"/>
        </w:rPr>
        <w:t>：</w:t>
      </w:r>
    </w:p>
    <w:p>
      <w:pPr>
        <w:spacing w:line="580" w:lineRule="exact"/>
        <w:ind w:firstLine="3168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p>
    <w:p>
      <w:pPr>
        <w:spacing w:line="500" w:lineRule="exact"/>
        <w:jc w:val="center"/>
        <w:outlineLvl w:val="0"/>
        <w:rPr>
          <w:rFonts w:ascii="黑体" w:hAnsi="黑体" w:eastAsia="黑体"/>
          <w:sz w:val="32"/>
          <w:szCs w:val="32"/>
        </w:rPr>
      </w:pPr>
      <w:r>
        <w:rPr>
          <w:rFonts w:hint="eastAsia" w:ascii="黑体" w:hAnsi="黑体" w:eastAsia="黑体"/>
          <w:sz w:val="32"/>
          <w:szCs w:val="32"/>
        </w:rPr>
        <w:t>第一部分  第一部分</w:t>
      </w:r>
      <w:r>
        <w:rPr>
          <w:rFonts w:ascii="黑体" w:hAnsi="黑体" w:eastAsia="黑体"/>
          <w:sz w:val="32"/>
          <w:szCs w:val="32"/>
        </w:rPr>
        <w:t xml:space="preserve"> </w:t>
      </w:r>
      <w:r>
        <w:rPr>
          <w:rFonts w:hint="eastAsia" w:ascii="黑体" w:hAnsi="黑体" w:eastAsia="黑体"/>
          <w:sz w:val="32"/>
          <w:szCs w:val="32"/>
        </w:rPr>
        <w:t>部门单位概况</w:t>
      </w:r>
    </w:p>
    <w:p>
      <w:pPr>
        <w:spacing w:line="500" w:lineRule="exact"/>
        <w:jc w:val="center"/>
        <w:outlineLvl w:val="0"/>
        <w:rPr>
          <w:rFonts w:hint="eastAsia" w:ascii="黑体" w:hAnsi="黑体" w:eastAsia="黑体"/>
          <w:sz w:val="32"/>
          <w:szCs w:val="32"/>
        </w:rPr>
      </w:pP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一、部门基本情况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（一）主要职能</w:t>
      </w:r>
    </w:p>
    <w:p>
      <w:pPr>
        <w:spacing w:line="600" w:lineRule="exact"/>
        <w:ind w:firstLine="641"/>
        <w:rPr>
          <w:rFonts w:hint="eastAsia" w:ascii="仿宋_GB2312" w:hAnsi="仿宋" w:eastAsia="仿宋_GB2312"/>
          <w:color w:val="000000"/>
          <w:sz w:val="32"/>
          <w:szCs w:val="32"/>
        </w:rPr>
      </w:pPr>
      <w:r>
        <w:rPr>
          <w:rFonts w:hint="eastAsia" w:ascii="仿宋_GB2312" w:hAnsi="仿宋" w:eastAsia="仿宋_GB2312"/>
          <w:color w:val="000000"/>
          <w:sz w:val="32"/>
          <w:szCs w:val="32"/>
        </w:rPr>
        <w:t>1.贯彻执行国家有关地方税收工作的方针、政策、法规、规章及规范性文件，在政府及上级主管部门的领导下，负责</w:t>
      </w:r>
      <w:r>
        <w:rPr>
          <w:rFonts w:hint="eastAsia" w:ascii="仿宋_GB2312" w:hAnsi="仿宋" w:eastAsia="仿宋_GB2312"/>
          <w:color w:val="000000"/>
          <w:sz w:val="32"/>
          <w:szCs w:val="32"/>
          <w:lang w:eastAsia="zh-CN"/>
        </w:rPr>
        <w:t>阿克陶</w:t>
      </w:r>
      <w:r>
        <w:rPr>
          <w:rFonts w:hint="eastAsia" w:ascii="仿宋_GB2312" w:hAnsi="仿宋" w:eastAsia="仿宋_GB2312"/>
          <w:color w:val="000000"/>
          <w:sz w:val="32"/>
          <w:szCs w:val="32"/>
        </w:rPr>
        <w:t>县地方税收的征收管理工作。贯彻执行国家税收工作的方针政策、税收法律、法规和规章；组织征收本县地方各税、教育费附加、地方教育费附加等其他各项税费；结合本县实际情况，制定实施强化税收征管的办法和措施；承办县政府和</w:t>
      </w:r>
      <w:r>
        <w:rPr>
          <w:rFonts w:hint="eastAsia" w:ascii="仿宋_GB2312" w:hAnsi="仿宋" w:eastAsia="仿宋_GB2312"/>
          <w:color w:val="000000"/>
          <w:sz w:val="32"/>
          <w:szCs w:val="32"/>
          <w:lang w:eastAsia="zh-CN"/>
        </w:rPr>
        <w:t>州</w:t>
      </w:r>
      <w:r>
        <w:rPr>
          <w:rFonts w:hint="eastAsia" w:ascii="仿宋_GB2312" w:hAnsi="仿宋" w:eastAsia="仿宋_GB2312"/>
          <w:color w:val="000000"/>
          <w:sz w:val="32"/>
          <w:szCs w:val="32"/>
        </w:rPr>
        <w:t>地税局交办的其他事项；</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2.负责组织实施纳税服务体系建设，贯彻执行纳税人权益保障制度，保护纳税人合法权益。</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3.负责本单位的税收会计、统计核算工作；负责税源调查、税收收入分析预测工作；负责组织办理税收减免等工作；负责税收宣传。</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4.负责规划和组织实施本单位税收管理信息化建设，制定税收管理信息化制度；承担推广和应用工作。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5.组织开展本单位党风廉政建设、反腐败工作及行风建设。</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6.负责本单位的思想政治工作、精神文明建设、党建工作和干部的教育培训工作。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7.承办克州人民政府、克州地方税务局、</w:t>
      </w:r>
      <w:r>
        <w:rPr>
          <w:rFonts w:hint="eastAsia" w:ascii="仿宋_GB2312" w:eastAsia="仿宋_GB2312"/>
          <w:color w:val="000000"/>
          <w:sz w:val="32"/>
          <w:szCs w:val="32"/>
          <w:lang w:eastAsia="zh-CN"/>
        </w:rPr>
        <w:t>阿克陶县政府</w:t>
      </w:r>
      <w:r>
        <w:rPr>
          <w:rFonts w:hint="eastAsia" w:ascii="仿宋_GB2312" w:eastAsia="仿宋_GB2312"/>
          <w:color w:val="000000"/>
          <w:sz w:val="32"/>
          <w:szCs w:val="32"/>
        </w:rPr>
        <w:t>交办的其他工作。</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（二）机构情况</w:t>
      </w:r>
    </w:p>
    <w:p>
      <w:pPr>
        <w:spacing w:line="57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克州</w:t>
      </w:r>
      <w:r>
        <w:rPr>
          <w:rFonts w:hint="eastAsia" w:ascii="仿宋_GB2312" w:hAnsi="仿宋" w:eastAsia="仿宋_GB2312"/>
          <w:color w:val="000000"/>
          <w:sz w:val="32"/>
          <w:szCs w:val="32"/>
          <w:lang w:eastAsia="zh-CN"/>
        </w:rPr>
        <w:t>阿克陶县</w:t>
      </w:r>
      <w:r>
        <w:rPr>
          <w:rFonts w:hint="eastAsia" w:ascii="仿宋_GB2312" w:hAnsi="仿宋" w:eastAsia="仿宋_GB2312"/>
          <w:color w:val="000000"/>
          <w:sz w:val="32"/>
          <w:szCs w:val="32"/>
        </w:rPr>
        <w:t>地方税务局是三级全额预算单位，共有行政编制</w:t>
      </w:r>
      <w:r>
        <w:rPr>
          <w:rFonts w:hint="eastAsia" w:ascii="仿宋_GB2312" w:hAnsi="仿宋" w:eastAsia="仿宋_GB2312"/>
          <w:color w:val="000000"/>
          <w:sz w:val="32"/>
          <w:szCs w:val="32"/>
          <w:lang w:val="en-US" w:eastAsia="zh-CN"/>
        </w:rPr>
        <w:t>26</w:t>
      </w:r>
      <w:r>
        <w:rPr>
          <w:rFonts w:hint="eastAsia" w:ascii="仿宋_GB2312" w:hAnsi="仿宋" w:eastAsia="仿宋_GB2312"/>
          <w:color w:val="000000"/>
          <w:sz w:val="32"/>
          <w:szCs w:val="32"/>
        </w:rPr>
        <w:t>个，201</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年底在职职工</w:t>
      </w:r>
      <w:r>
        <w:rPr>
          <w:rFonts w:hint="eastAsia" w:ascii="仿宋_GB2312" w:hAnsi="仿宋" w:eastAsia="仿宋_GB2312"/>
          <w:color w:val="000000"/>
          <w:sz w:val="32"/>
          <w:szCs w:val="32"/>
          <w:lang w:val="en-US" w:eastAsia="zh-CN"/>
        </w:rPr>
        <w:t>26</w:t>
      </w:r>
      <w:r>
        <w:rPr>
          <w:rFonts w:hint="eastAsia" w:ascii="仿宋_GB2312" w:hAnsi="仿宋" w:eastAsia="仿宋_GB2312"/>
          <w:color w:val="000000"/>
          <w:sz w:val="32"/>
          <w:szCs w:val="32"/>
        </w:rPr>
        <w:t>人，其中行政人员</w:t>
      </w:r>
      <w:r>
        <w:rPr>
          <w:rFonts w:hint="eastAsia" w:ascii="仿宋_GB2312" w:hAnsi="仿宋" w:eastAsia="仿宋_GB2312"/>
          <w:color w:val="000000"/>
          <w:sz w:val="32"/>
          <w:szCs w:val="32"/>
          <w:lang w:val="en-US" w:eastAsia="zh-CN"/>
        </w:rPr>
        <w:t>26</w:t>
      </w:r>
      <w:r>
        <w:rPr>
          <w:rFonts w:hint="eastAsia" w:ascii="仿宋_GB2312" w:hAnsi="仿宋" w:eastAsia="仿宋_GB2312"/>
          <w:color w:val="000000"/>
          <w:sz w:val="32"/>
          <w:szCs w:val="32"/>
        </w:rPr>
        <w:t>人、退休人员</w:t>
      </w:r>
      <w:r>
        <w:rPr>
          <w:rFonts w:hint="eastAsia" w:ascii="仿宋_GB2312" w:hAnsi="仿宋" w:eastAsia="仿宋_GB2312"/>
          <w:color w:val="000000"/>
          <w:sz w:val="32"/>
          <w:szCs w:val="32"/>
          <w:lang w:val="en-US" w:eastAsia="zh-CN"/>
        </w:rPr>
        <w:t>14</w:t>
      </w:r>
      <w:r>
        <w:rPr>
          <w:rFonts w:hint="eastAsia" w:ascii="仿宋_GB2312" w:hAnsi="仿宋" w:eastAsia="仿宋_GB2312"/>
          <w:color w:val="000000"/>
          <w:sz w:val="32"/>
          <w:szCs w:val="32"/>
        </w:rPr>
        <w:t>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二、部门决算单位构成情况</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克州</w:t>
      </w:r>
      <w:r>
        <w:rPr>
          <w:rFonts w:hint="eastAsia" w:ascii="仿宋_GB2312" w:eastAsia="仿宋_GB2312"/>
          <w:color w:val="000000"/>
          <w:sz w:val="32"/>
          <w:szCs w:val="32"/>
          <w:lang w:eastAsia="zh-CN"/>
        </w:rPr>
        <w:t>阿克陶县</w:t>
      </w:r>
      <w:r>
        <w:rPr>
          <w:rFonts w:hint="eastAsia" w:ascii="仿宋_GB2312" w:eastAsia="仿宋_GB2312"/>
          <w:color w:val="000000"/>
          <w:sz w:val="32"/>
          <w:szCs w:val="32"/>
        </w:rPr>
        <w:t>地税局属第三级，由克州地方税务局主管的县（市、区）地税局，结构如下图：</w:t>
      </w:r>
    </w:p>
    <w:p>
      <w:pPr>
        <w:autoSpaceDE w:val="0"/>
        <w:autoSpaceDN w:val="0"/>
        <w:adjustRightInd w:val="0"/>
        <w:spacing w:line="360" w:lineRule="auto"/>
        <w:ind w:firstLine="640" w:firstLineChars="200"/>
        <w:jc w:val="left"/>
        <w:rPr>
          <w:rFonts w:hint="eastAsia" w:ascii="仿宋_GB2312" w:eastAsia="仿宋_GB2312"/>
          <w:color w:val="000000"/>
          <w:sz w:val="32"/>
          <w:szCs w:val="32"/>
        </w:rPr>
      </w:pPr>
      <w:r>
        <w:rPr>
          <w:rFonts w:ascii="仿宋_GB2312" w:hAnsi="Times New Roman" w:eastAsia="仿宋_GB2312" w:cs="Times New Roman"/>
          <w:color w:val="000000"/>
          <w:kern w:val="2"/>
          <w:sz w:val="32"/>
          <w:szCs w:val="32"/>
          <w:lang w:val="en-US" w:eastAsia="zh-CN" w:bidi="ar-SA"/>
        </w:rPr>
        <w:pict>
          <v:group id="Group 38" o:spid="_x0000_s1026" style="height:156pt;width:455pt;rotation:0f;" coordorigin="0,0" coordsize="7514,3112">
            <o:lock v:ext="edit" position="f" selection="f" grouping="f" rotation="f" cropping="f"/>
            <v:shape id="Picture 37" o:spid="_x0000_s1027" type="#_x0000_t75" style="position:absolute;left:0;top:0;height:3112;width:7514;rotation:0f;" o:ole="f" fillcolor="#FFFFFF" filled="f" o:preferrelative="f" stroked="f" coordorigin="0,0" coordsize="21600,21600">
              <v:fill on="f" color2="#FFFFFF" focus="0%"/>
              <v:imagedata gain="65536f" blacklevel="0f" gamma="0"/>
              <o:lock v:ext="edit" position="f" selection="f" grouping="f" rotation="f" cropping="f" text="t" aspectratio="t"/>
            </v:shape>
            <v:shape id="AutoShape 4" o:spid="_x0000_s1028" type="#_x0000_t34" style="position:absolute;left:927;top:2133;flip:x;height:1;width:389;rotation:17694720f;" o:ole="f" o:connectortype="elbow" fillcolor="#FFFFFF" filled="f" o:preferrelative="t" stroked="t" coordorigin="0,0" coordsize="21600,21600" adj="7984">
              <v:fill on="f" color2="#FFFFFF" focus="0%"/>
              <v:stroke weight="2.25pt" color="#000000" color2="#FFFFFF" miterlimit="2"/>
              <v:imagedata gain="65536f" blacklevel="0f" gamma="0"/>
              <o:lock v:ext="edit" position="f" selection="f" grouping="f" rotation="f" cropping="f" text="f" aspectratio="f"/>
            </v:shape>
            <v:shape id="AutoShape 5" o:spid="_x0000_s1029" type="#_x0000_t34" style="position:absolute;left:4866;top:-342;flip:x;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shape id="AutoShape 6" o:spid="_x0000_s1030" type="#_x0000_t32" style="position:absolute;left:3557;top:966;height:1;width:389;rotation:17694720f;" o:ole="f" o:connectortype="elbow" fillcolor="#FFFFFF" filled="f" o:preferrelative="t" stroked="t" coordorigin="0,0" coordsize="21600,21600">
              <v:fill on="f" color2="#FFFFFF" focus="0%"/>
              <v:stroke weight="2.25pt" color="#000000" color2="#FFFFFF" miterlimit="2"/>
              <v:imagedata gain="65536f" blacklevel="0f" gamma="0"/>
              <o:lock v:ext="edit" position="f" selection="f" grouping="f" rotation="f" cropping="f" text="f" aspectratio="f"/>
            </v:shape>
            <v:shape id="AutoShape 7" o:spid="_x0000_s1031" type="#_x0000_t34" style="position:absolute;left:2236;top:-342;height:2630;width:389;rotation:17694720f;" o:ole="f" o:connectortype="elbow" fillcolor="#FFFFFF" filled="f" o:preferrelative="t" stroked="t" coordorigin="0,0" coordsize="21600,21600" adj="7967">
              <v:fill on="f" color2="#FFFFFF" focus="0%"/>
              <v:stroke weight="2.25pt" color="#000000" color2="#FFFFFF" miterlimit="2"/>
              <v:imagedata gain="65536f" blacklevel="0f" gamma="0"/>
              <o:lock v:ext="edit" position="f" selection="f" grouping="f" rotation="f" cropping="f" text="f" aspectratio="f"/>
            </v:shape>
            <v:roundrect id="AutoShape 8" o:spid="_x0000_s1032" style="position:absolute;left:2630;top:0;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自治区地税局</w:t>
                    </w:r>
                  </w:p>
                </w:txbxContent>
              </v:textbox>
            </v:roundrect>
            <v:roundrect id="AutoShape 9" o:spid="_x0000_s1033" style="position:absolute;left: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各地（州、市）地税局汇总</w:t>
                    </w:r>
                  </w:p>
                </w:txbxContent>
              </v:textbox>
            </v:roundrect>
            <v:roundrect id="AutoShape 10" o:spid="_x0000_s1034" style="position:absolute;left:263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自治区地税局本级</w:t>
                    </w:r>
                  </w:p>
                </w:txbxContent>
              </v:textbox>
            </v:roundrect>
            <v:roundrect id="AutoShape 11" o:spid="_x0000_s1035" style="position:absolute;left:5260;top:1167;height:778;width:2254;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自治区直管地税局</w:t>
                    </w:r>
                  </w:p>
                </w:txbxContent>
              </v:textbox>
            </v:roundrect>
            <v:roundrect id="AutoShape 12" o:spid="_x0000_s1036" style="position:absolute;left:1;top:2334;height:778;width:2253;rotation:0f;v-text-anchor:middle;" o:ole="f" fillcolor="#BBE0E3" filled="t" o:preferrelative="t" stroked="t" coordsize="21600,21600" arcsize="16.6666666666667%">
              <v:stroke color="#000000" color2="#FFFFFF" miterlimit="2"/>
              <v:imagedata gain="65536f" blacklevel="0f" gamma="0"/>
              <o:lock v:ext="edit" position="f" selection="f" grouping="f" rotation="f" cropping="f" text="f" aspectratio="f"/>
              <v:textbox inset="0.00pt,0.00pt,0.00pt,0.00pt">
                <w:txbxContent>
                  <w:p>
                    <w:pPr>
                      <w:jc w:val="center"/>
                      <w:rPr>
                        <w:rFonts w:hint="eastAsia"/>
                      </w:rPr>
                    </w:pPr>
                    <w:r>
                      <w:rPr>
                        <w:rFonts w:hint="eastAsia"/>
                      </w:rPr>
                      <w:t>县（市、区）地税局</w:t>
                    </w:r>
                  </w:p>
                </w:txbxContent>
              </v:textbox>
            </v:roundrect>
            <w10:wrap type="none"/>
            <w10:anchorlock/>
          </v:group>
        </w:pict>
      </w:r>
    </w:p>
    <w:p>
      <w:pPr>
        <w:spacing w:line="360" w:lineRule="auto"/>
        <w:jc w:val="center"/>
        <w:rPr>
          <w:rFonts w:hint="eastAsia" w:ascii="华文中宋" w:hAnsi="华文中宋" w:eastAsia="华文中宋"/>
          <w:b/>
          <w:color w:val="000000"/>
          <w:sz w:val="32"/>
          <w:szCs w:val="32"/>
        </w:rPr>
      </w:pPr>
    </w:p>
    <w:p>
      <w:pPr>
        <w:spacing w:line="500" w:lineRule="exact"/>
        <w:ind w:firstLine="643" w:firstLineChars="200"/>
        <w:rPr>
          <w:rFonts w:ascii="仿宋_GB2312" w:eastAsia="仿宋_GB2312"/>
          <w:b/>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第二部分 部门决算情况说明</w:t>
      </w:r>
    </w:p>
    <w:p>
      <w:pPr>
        <w:spacing w:line="500" w:lineRule="exact"/>
        <w:ind w:firstLine="640" w:firstLineChars="200"/>
        <w:rPr>
          <w:rFonts w:hint="eastAsia" w:ascii="仿宋_GB2312" w:eastAsia="仿宋_GB2312"/>
          <w:sz w:val="32"/>
          <w:szCs w:val="32"/>
        </w:rPr>
      </w:pP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一、部门收支总体情况</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（一）部门收入支出决算总体情况说明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2017年度</w:t>
      </w:r>
      <w:r>
        <w:rPr>
          <w:rFonts w:hint="eastAsia" w:ascii="仿宋_GB2312" w:hAnsi="仿宋_GB2312" w:eastAsia="仿宋_GB2312" w:cs="仿宋_GB2312"/>
          <w:sz w:val="32"/>
          <w:szCs w:val="32"/>
          <w:lang w:val="zh-CN" w:eastAsia="zh-CN"/>
        </w:rPr>
        <w:t>原阿克陶县地方税务局总收入</w:t>
      </w:r>
      <w:r>
        <w:rPr>
          <w:rFonts w:hint="eastAsia" w:ascii="仿宋_GB2312" w:hAnsi="仿宋_GB2312" w:eastAsia="仿宋_GB2312" w:cs="仿宋_GB2312"/>
          <w:sz w:val="32"/>
          <w:szCs w:val="32"/>
          <w:lang w:val="en-US" w:eastAsia="zh-CN"/>
        </w:rPr>
        <w:t>824.81万元,与上年相比，减少28.75万元，降低3.36%，支出849.73万元,与上年相比，减少3.83万元，降低0.45%，结余2.30万元，与上年相比，增加0.08万元，增长3.6%。减少的主要原因为其他收入比上年减少，当地财政补助经费减少。</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与预算相比情况：2017年全年财政拨款预算收入6531500元，决算数7140500元，财政拨款追加指标609000元；其他收入（含本级横向拨款35700元）合计1,107,663.27元。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（二）部门收入总体情况说明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收入合计824.81万元，其中：财政拨款收入714.05万元，占86.57%，与上年相比增加8.75万元，增长1.24 %，其他收入110.76万元，与上年相比减少37.37万元，降低25.22%。增减变化的主要原因是：财政拨款收入增长主要原因为，人员经费增加，2016年选派南疆学前双语教育支教干部生活补助费与2016年绩效奖励金，其他收入减少主要原因为当地财政补助经费减少。</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预算相比情况：2017年全年财政拨款预算收入6531500元，预算调整收入7,140500元，决算数7140500元，财政拨款收入预决算差异率9.32%。原因是：追加了年终一次性奖金417000元；南疆支教生活补助52000元；追加三代手续费140000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（三）部门支出总体情况说明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支出合计849.73万元，其中：基本支出636.78万元，占74.93%，与上年相比减少6.41万元，降低1 %；项目支出212.95万元，占25.07%，与上年相比增加2.58万元，增长1.2 %；增减变化的主要原因是：收入减少支出也相应的减少。</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与预算相比情况：2017年支出预算653.15元，决算</w:t>
      </w:r>
      <w:r>
        <w:rPr>
          <w:rFonts w:hint="eastAsia" w:hAnsi="仿宋_GB2312" w:cs="仿宋_GB2312"/>
          <w:sz w:val="32"/>
          <w:szCs w:val="32"/>
          <w:lang w:val="en-US" w:eastAsia="zh-CN"/>
        </w:rPr>
        <w:t>数</w:t>
      </w:r>
      <w:r>
        <w:rPr>
          <w:rFonts w:hint="eastAsia" w:ascii="仿宋_GB2312" w:hAnsi="仿宋_GB2312" w:eastAsia="仿宋_GB2312" w:cs="仿宋_GB2312"/>
          <w:sz w:val="32"/>
          <w:szCs w:val="32"/>
          <w:lang w:val="en-US" w:eastAsia="zh-CN"/>
        </w:rPr>
        <w:t>为849.73元，追加了年终一次性奖金417000元；南疆支教生活补助52000元；追加三代手续费140000元。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二、部门财政拨款收支情况</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（一）财政拨款收支总体情况说明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度财政拨款收入714.05万元，与上年相比，增加8.75万元，增长1.24%。增长的主要原因是：人数增多，人员经费增加，还有追加的三代手续费和基建项目经费。财政拨款支出713.91万元，与上年相比，增加2.01万元，增长0.28%。其中：基本支出636.78万元，项目支出77.14万元。增减变化的主要原因是：收入增加支出也相应的增加。财政拨款结转结余1004万元，与上年相比，增加0.1万元。增减变化的主要原因是：有一笔过路费没支出去，财政应返还额度，去年没有此笔支出。</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与预算相比情况：</w:t>
      </w:r>
      <w:r>
        <w:rPr>
          <w:rFonts w:hint="eastAsia" w:ascii="仿宋_GB2312" w:hAnsi="仿宋_GB2312" w:eastAsia="仿宋_GB2312" w:cs="仿宋_GB2312"/>
          <w:sz w:val="32"/>
          <w:szCs w:val="32"/>
        </w:rPr>
        <w:t>追加了年终一次性奖金</w:t>
      </w:r>
      <w:r>
        <w:rPr>
          <w:rFonts w:hint="eastAsia" w:ascii="仿宋_GB2312" w:hAnsi="仿宋_GB2312" w:eastAsia="仿宋_GB2312" w:cs="仿宋_GB2312"/>
          <w:sz w:val="32"/>
          <w:szCs w:val="32"/>
          <w:lang w:val="en-US" w:eastAsia="zh-CN"/>
        </w:rPr>
        <w:t>417000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南疆支教生活补助</w:t>
      </w:r>
      <w:r>
        <w:rPr>
          <w:rFonts w:hint="eastAsia" w:ascii="仿宋_GB2312" w:hAnsi="仿宋_GB2312" w:eastAsia="仿宋_GB2312" w:cs="仿宋_GB2312"/>
          <w:sz w:val="32"/>
          <w:szCs w:val="32"/>
          <w:lang w:val="en-US" w:eastAsia="zh-CN"/>
        </w:rPr>
        <w:t>52000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追加三代手续费</w:t>
      </w:r>
      <w:r>
        <w:rPr>
          <w:rFonts w:hint="eastAsia" w:ascii="仿宋_GB2312" w:hAnsi="仿宋_GB2312" w:eastAsia="仿宋_GB2312" w:cs="仿宋_GB2312"/>
          <w:sz w:val="32"/>
          <w:szCs w:val="32"/>
          <w:lang w:val="en-US" w:eastAsia="zh-CN"/>
        </w:rPr>
        <w:t>140000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（二）一般公共预算支出决算情况说明</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年度一般公共预算财政拨款支出</w:t>
      </w:r>
      <w:r>
        <w:rPr>
          <w:rFonts w:hint="eastAsia" w:ascii="仿宋_GB2312" w:hAnsi="仿宋_GB2312" w:eastAsia="仿宋_GB2312" w:cs="仿宋_GB2312"/>
          <w:sz w:val="32"/>
          <w:szCs w:val="32"/>
          <w:lang w:val="en-US" w:eastAsia="zh-CN"/>
        </w:rPr>
        <w:t>713.91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0.28</w:t>
      </w:r>
      <w:r>
        <w:rPr>
          <w:rFonts w:hint="eastAsia" w:ascii="仿宋_GB2312" w:hAnsi="仿宋_GB2312" w:eastAsia="仿宋_GB2312" w:cs="仿宋_GB2312"/>
          <w:sz w:val="32"/>
          <w:szCs w:val="32"/>
        </w:rPr>
        <w:t>%。增减变化的主要原因是：财政拨款收入预决算差异率</w:t>
      </w:r>
      <w:r>
        <w:rPr>
          <w:rFonts w:hint="eastAsia" w:ascii="仿宋_GB2312" w:hAnsi="仿宋_GB2312" w:eastAsia="仿宋_GB2312" w:cs="仿宋_GB2312"/>
          <w:sz w:val="32"/>
          <w:szCs w:val="32"/>
          <w:lang w:val="en-US" w:eastAsia="zh-CN"/>
        </w:rPr>
        <w:t>9.32</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收入增加支出也相应的增加。</w:t>
      </w:r>
      <w:r>
        <w:rPr>
          <w:rFonts w:hint="eastAsia" w:ascii="仿宋_GB2312" w:hAnsi="仿宋_GB2312" w:eastAsia="仿宋_GB2312" w:cs="仿宋_GB2312"/>
          <w:sz w:val="32"/>
          <w:szCs w:val="32"/>
        </w:rPr>
        <w:t>其中：按功能分类科目，</w:t>
      </w:r>
      <w:r>
        <w:rPr>
          <w:rFonts w:hint="eastAsia" w:ascii="仿宋_GB2312" w:hAnsi="仿宋_GB2312" w:eastAsia="仿宋_GB2312" w:cs="仿宋_GB2312"/>
          <w:sz w:val="32"/>
          <w:szCs w:val="32"/>
          <w:lang w:eastAsia="zh-CN"/>
        </w:rPr>
        <w:t>一般公共服务</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764.71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社会保障和就业</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85.02</w:t>
      </w:r>
      <w:r>
        <w:rPr>
          <w:rFonts w:hint="eastAsia" w:ascii="仿宋_GB2312" w:hAnsi="仿宋_GB2312" w:eastAsia="仿宋_GB2312" w:cs="仿宋_GB2312"/>
          <w:sz w:val="32"/>
          <w:szCs w:val="32"/>
        </w:rPr>
        <w:t>万元。按经济分类科目，</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636.78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212.95</w:t>
      </w:r>
      <w:r>
        <w:rPr>
          <w:rFonts w:hint="eastAsia" w:ascii="仿宋_GB2312" w:hAnsi="仿宋_GB2312" w:eastAsia="仿宋_GB2312" w:cs="仿宋_GB2312"/>
          <w:sz w:val="32"/>
          <w:szCs w:val="32"/>
        </w:rPr>
        <w:t>万元。</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与预算相比情况：追加了年终一次性奖金</w:t>
      </w:r>
      <w:r>
        <w:rPr>
          <w:rFonts w:hint="eastAsia" w:ascii="仿宋_GB2312" w:hAnsi="仿宋_GB2312" w:eastAsia="仿宋_GB2312" w:cs="仿宋_GB2312"/>
          <w:sz w:val="32"/>
          <w:szCs w:val="32"/>
          <w:lang w:val="en-US" w:eastAsia="zh-CN"/>
        </w:rPr>
        <w:t>417000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南疆支教生活补助</w:t>
      </w:r>
      <w:r>
        <w:rPr>
          <w:rFonts w:hint="eastAsia" w:ascii="仿宋_GB2312" w:hAnsi="仿宋_GB2312" w:eastAsia="仿宋_GB2312" w:cs="仿宋_GB2312"/>
          <w:sz w:val="32"/>
          <w:szCs w:val="32"/>
          <w:lang w:val="en-US" w:eastAsia="zh-CN"/>
        </w:rPr>
        <w:t>52000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追加三代手续费</w:t>
      </w:r>
      <w:r>
        <w:rPr>
          <w:rFonts w:hint="eastAsia" w:ascii="仿宋_GB2312" w:hAnsi="仿宋_GB2312" w:eastAsia="仿宋_GB2312" w:cs="仿宋_GB2312"/>
          <w:sz w:val="32"/>
          <w:szCs w:val="32"/>
          <w:lang w:val="en-US" w:eastAsia="zh-CN"/>
        </w:rPr>
        <w:t>140000</w:t>
      </w:r>
      <w:r>
        <w:rPr>
          <w:rFonts w:hint="eastAsia" w:ascii="仿宋_GB2312" w:hAnsi="仿宋_GB2312" w:eastAsia="仿宋_GB2312" w:cs="仿宋_GB2312"/>
          <w:sz w:val="32"/>
          <w:szCs w:val="32"/>
        </w:rPr>
        <w:t>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（三）政府性基金预算收支决算情况说明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本单位无此项资金。</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政府性基金预算支出决算情况说明</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本单位无此项资金。</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三、部门结转结余情况</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年末结转结余2.30万元，与上年相比，增加0.08万元，增长3.6%。其中财政拨款结转结余1004万元，与上年相比，增加0.1万元。</w:t>
      </w:r>
    </w:p>
    <w:p>
      <w:pPr>
        <w:pStyle w:val="6"/>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四、一般公共预算“三公”经费支出情况</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年度一般公共预算“三公”经费支出决算18.12万元，比上年减少0.93万元，降低4.88%，减少原因是公务用车运行维护费比上年减少0.99万元。其中，无因公出国（境）费支出，公务用车购置及运行维护费支出17.66万元，占96.92%，比上年减少0.99万元，降低5.3%，减少车辆维护</w:t>
      </w:r>
      <w:r>
        <w:rPr>
          <w:rFonts w:hint="eastAsia" w:ascii="仿宋_GB2312" w:hAnsi="仿宋_GB2312" w:eastAsia="仿宋_GB2312" w:cs="仿宋_GB2312"/>
          <w:sz w:val="32"/>
          <w:szCs w:val="32"/>
          <w:lang w:eastAsia="zh-CN"/>
        </w:rPr>
        <w:t>等费用</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0.05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%，增加原因</w:t>
      </w:r>
      <w:r>
        <w:rPr>
          <w:rFonts w:hint="eastAsia" w:ascii="仿宋_GB2312" w:hAnsi="仿宋_GB2312" w:eastAsia="仿宋_GB2312" w:cs="仿宋_GB2312"/>
          <w:sz w:val="32"/>
          <w:szCs w:val="32"/>
          <w:lang w:val="en-US" w:eastAsia="zh-CN"/>
        </w:rPr>
        <w:t>2017年公务接待比上年多（主要是法治示范基地验收）</w:t>
      </w:r>
      <w:r>
        <w:rPr>
          <w:rFonts w:hint="eastAsia" w:ascii="仿宋_GB2312" w:hAnsi="仿宋_GB2312" w:eastAsia="仿宋_GB2312" w:cs="仿宋_GB2312"/>
          <w:sz w:val="32"/>
          <w:szCs w:val="32"/>
        </w:rPr>
        <w:t>。具体情况如下：</w:t>
      </w:r>
    </w:p>
    <w:p>
      <w:pPr>
        <w:pStyle w:val="6"/>
        <w:ind w:firstLine="640"/>
        <w:rPr>
          <w:rFonts w:hint="eastAsia" w:hAnsi="仿宋_GB2312" w:cs="仿宋_GB2312"/>
          <w:sz w:val="32"/>
          <w:szCs w:val="32"/>
          <w:lang w:eastAsia="zh-CN"/>
        </w:rPr>
      </w:pPr>
      <w:r>
        <w:rPr>
          <w:rFonts w:hint="eastAsia" w:ascii="仿宋_GB2312" w:hAnsi="仿宋_GB2312" w:eastAsia="仿宋_GB2312" w:cs="仿宋_GB2312"/>
          <w:sz w:val="32"/>
          <w:szCs w:val="32"/>
        </w:rPr>
        <w:t>公务用车购置及运行维护费</w:t>
      </w:r>
      <w:r>
        <w:rPr>
          <w:rFonts w:hint="eastAsia" w:ascii="仿宋_GB2312" w:hAnsi="仿宋_GB2312" w:eastAsia="仿宋_GB2312" w:cs="仿宋_GB2312"/>
          <w:sz w:val="32"/>
          <w:szCs w:val="32"/>
          <w:lang w:val="en-US" w:eastAsia="zh-CN"/>
        </w:rPr>
        <w:t>17.66</w:t>
      </w:r>
      <w:r>
        <w:rPr>
          <w:rFonts w:hint="eastAsia" w:ascii="仿宋_GB2312" w:hAnsi="仿宋_GB2312" w:eastAsia="仿宋_GB2312" w:cs="仿宋_GB2312"/>
          <w:sz w:val="32"/>
          <w:szCs w:val="32"/>
        </w:rPr>
        <w:t>万元,其中，公务用车购置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17.66</w:t>
      </w:r>
      <w:r>
        <w:rPr>
          <w:rFonts w:hint="eastAsia" w:ascii="仿宋_GB2312" w:hAnsi="仿宋_GB2312" w:eastAsia="仿宋_GB2312" w:cs="仿宋_GB2312"/>
          <w:sz w:val="32"/>
          <w:szCs w:val="32"/>
        </w:rPr>
        <w:t>万元。主要用</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公车的养护、维修等等。年公务接待费</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万元。具体是：公务接待支出</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万元，全年接待人次</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人，平均每人伙食费标准为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元</w:t>
      </w:r>
      <w:r>
        <w:rPr>
          <w:rFonts w:hint="eastAsia" w:hAnsi="仿宋_GB2312" w:cs="仿宋_GB2312"/>
          <w:sz w:val="32"/>
          <w:szCs w:val="32"/>
          <w:lang w:eastAsia="zh-CN"/>
        </w:rPr>
        <w:t>。</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五、机关运行经费支出情况</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原阿克陶县地方税务局</w:t>
      </w:r>
      <w:r>
        <w:rPr>
          <w:rFonts w:hint="eastAsia" w:ascii="仿宋_GB2312" w:hAnsi="仿宋_GB2312" w:eastAsia="仿宋_GB2312" w:cs="仿宋_GB2312"/>
          <w:sz w:val="32"/>
          <w:szCs w:val="32"/>
        </w:rPr>
        <w:t>单位机关运行经费支出</w:t>
      </w:r>
      <w:r>
        <w:rPr>
          <w:rFonts w:hint="eastAsia" w:ascii="仿宋_GB2312" w:hAnsi="仿宋_GB2312" w:eastAsia="仿宋_GB2312" w:cs="仿宋_GB2312"/>
          <w:sz w:val="32"/>
          <w:szCs w:val="32"/>
          <w:lang w:val="en-US" w:eastAsia="zh-CN"/>
        </w:rPr>
        <w:t>43.87</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7.58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20.88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人员增加</w:t>
      </w:r>
      <w:r>
        <w:rPr>
          <w:rFonts w:hint="eastAsia" w:hAnsi="仿宋_GB2312" w:cs="仿宋_GB2312"/>
          <w:sz w:val="32"/>
          <w:szCs w:val="32"/>
          <w:lang w:eastAsia="zh-CN"/>
        </w:rPr>
        <w:t>（外聘人员）</w:t>
      </w:r>
      <w:r>
        <w:rPr>
          <w:rFonts w:hint="eastAsia" w:ascii="仿宋_GB2312" w:hAnsi="仿宋_GB2312" w:eastAsia="仿宋_GB2312" w:cs="仿宋_GB2312"/>
          <w:sz w:val="32"/>
          <w:szCs w:val="32"/>
          <w:lang w:eastAsia="zh-CN"/>
        </w:rPr>
        <w:t>办公费增加</w:t>
      </w:r>
      <w:r>
        <w:rPr>
          <w:rFonts w:hint="eastAsia" w:ascii="仿宋_GB2312" w:hAnsi="仿宋_GB2312" w:eastAsia="仿宋_GB2312" w:cs="仿宋_GB2312"/>
          <w:sz w:val="32"/>
          <w:szCs w:val="32"/>
        </w:rPr>
        <w:t>。</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六、政府采购情况</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单位政府采购计划</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万元；实际采购</w:t>
      </w:r>
      <w:r>
        <w:rPr>
          <w:rFonts w:hint="eastAsia" w:ascii="仿宋_GB2312" w:hAnsi="仿宋_GB2312" w:eastAsia="仿宋_GB2312" w:cs="仿宋_GB2312"/>
          <w:sz w:val="32"/>
          <w:szCs w:val="32"/>
          <w:lang w:val="en-US" w:eastAsia="zh-CN"/>
        </w:rPr>
        <w:t>35.75</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35.75</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七、其他重要事项的情况</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（一）国有资产占用情况说明</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年12月31日，资产总计</w:t>
      </w:r>
      <w:r>
        <w:rPr>
          <w:rFonts w:hint="eastAsia" w:ascii="仿宋_GB2312" w:hAnsi="仿宋_GB2312" w:eastAsia="仿宋_GB2312" w:cs="仿宋_GB2312"/>
          <w:sz w:val="32"/>
          <w:szCs w:val="32"/>
          <w:lang w:val="en-US" w:eastAsia="zh-CN"/>
        </w:rPr>
        <w:t>986.56</w:t>
      </w:r>
      <w:r>
        <w:rPr>
          <w:rFonts w:hint="eastAsia" w:ascii="仿宋_GB2312" w:hAnsi="仿宋_GB2312" w:eastAsia="仿宋_GB2312" w:cs="仿宋_GB2312"/>
          <w:sz w:val="32"/>
          <w:szCs w:val="32"/>
        </w:rPr>
        <w:t>万元，其中：流动资产</w:t>
      </w:r>
      <w:r>
        <w:rPr>
          <w:rFonts w:hint="eastAsia" w:ascii="仿宋_GB2312" w:hAnsi="仿宋_GB2312" w:eastAsia="仿宋_GB2312" w:cs="仿宋_GB2312"/>
          <w:sz w:val="32"/>
          <w:szCs w:val="32"/>
          <w:lang w:val="en-US" w:eastAsia="zh-CN"/>
        </w:rPr>
        <w:t>9.83</w:t>
      </w:r>
      <w:r>
        <w:rPr>
          <w:rFonts w:hint="eastAsia" w:ascii="仿宋_GB2312" w:hAnsi="仿宋_GB2312" w:eastAsia="仿宋_GB2312" w:cs="仿宋_GB2312"/>
          <w:sz w:val="32"/>
          <w:szCs w:val="32"/>
        </w:rPr>
        <w:t>万元，固定资产</w:t>
      </w:r>
      <w:r>
        <w:rPr>
          <w:rFonts w:hint="eastAsia" w:ascii="仿宋_GB2312" w:hAnsi="仿宋_GB2312" w:eastAsia="仿宋_GB2312" w:cs="仿宋_GB2312"/>
          <w:sz w:val="32"/>
          <w:szCs w:val="32"/>
          <w:lang w:val="en-US" w:eastAsia="zh-CN"/>
        </w:rPr>
        <w:t>976.73</w:t>
      </w:r>
      <w:r>
        <w:rPr>
          <w:rFonts w:hint="eastAsia" w:ascii="仿宋_GB2312" w:hAnsi="仿宋_GB2312" w:eastAsia="仿宋_GB2312" w:cs="仿宋_GB2312"/>
          <w:sz w:val="32"/>
          <w:szCs w:val="32"/>
        </w:rPr>
        <w:t>万元，其中：房屋</w:t>
      </w:r>
      <w:r>
        <w:rPr>
          <w:rFonts w:hint="eastAsia" w:ascii="仿宋_GB2312" w:hAnsi="仿宋_GB2312" w:eastAsia="仿宋_GB2312" w:cs="仿宋_GB2312"/>
          <w:sz w:val="32"/>
          <w:szCs w:val="32"/>
          <w:lang w:val="en-US" w:eastAsia="zh-CN"/>
        </w:rPr>
        <w:t>3675.66</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622.50</w:t>
      </w:r>
      <w:r>
        <w:rPr>
          <w:rFonts w:hint="eastAsia" w:ascii="仿宋_GB2312" w:hAnsi="仿宋_GB2312" w:eastAsia="仿宋_GB2312" w:cs="仿宋_GB2312"/>
          <w:sz w:val="32"/>
          <w:szCs w:val="32"/>
        </w:rPr>
        <w:t>万元，共有车辆</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126.66</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轿车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eastAsia="zh-CN"/>
        </w:rPr>
        <w:t>越野车</w:t>
      </w:r>
      <w:r>
        <w:rPr>
          <w:rFonts w:hint="eastAsia" w:ascii="仿宋_GB2312" w:hAnsi="仿宋_GB2312" w:eastAsia="仿宋_GB2312" w:cs="仿宋_GB2312"/>
          <w:sz w:val="32"/>
          <w:szCs w:val="32"/>
          <w:lang w:val="en-US" w:eastAsia="zh-CN"/>
        </w:rPr>
        <w:t>3辆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小型载客汽车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辆、其他固定资产价值</w:t>
      </w:r>
      <w:r>
        <w:rPr>
          <w:rFonts w:hint="eastAsia" w:ascii="仿宋_GB2312" w:hAnsi="仿宋_GB2312" w:eastAsia="仿宋_GB2312" w:cs="仿宋_GB2312"/>
          <w:sz w:val="32"/>
          <w:szCs w:val="32"/>
          <w:lang w:val="en-US" w:eastAsia="zh-CN"/>
        </w:rPr>
        <w:t>227.56</w:t>
      </w:r>
      <w:r>
        <w:rPr>
          <w:rFonts w:hint="eastAsia" w:ascii="仿宋_GB2312" w:hAnsi="仿宋_GB2312" w:eastAsia="仿宋_GB2312" w:cs="仿宋_GB2312"/>
          <w:sz w:val="32"/>
          <w:szCs w:val="32"/>
        </w:rPr>
        <w:t>万元。</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（二）国有资产收益征缴情况说明</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年12月31日，</w:t>
      </w:r>
      <w:r>
        <w:rPr>
          <w:rFonts w:hint="eastAsia" w:ascii="仿宋_GB2312" w:hAnsi="仿宋_GB2312" w:eastAsia="仿宋_GB2312" w:cs="仿宋_GB2312"/>
          <w:sz w:val="32"/>
          <w:szCs w:val="32"/>
          <w:lang w:eastAsia="zh-CN"/>
        </w:rPr>
        <w:t>原阿克陶县地方税务局</w:t>
      </w:r>
      <w:r>
        <w:rPr>
          <w:rFonts w:hint="eastAsia" w:ascii="仿宋_GB2312" w:hAnsi="仿宋_GB2312" w:eastAsia="仿宋_GB2312" w:cs="仿宋_GB2312"/>
          <w:sz w:val="32"/>
          <w:szCs w:val="32"/>
        </w:rPr>
        <w:t>资产有偿使用收入合计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万元，资产处置收入合计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万元。其中：已缴国库</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万元，已缴财政专户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万元，应缴未缴</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万元，单位留用</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（三）部门项目支出情况和项目绩效评价情况说明</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年度，本部门单位实行绩效管理的项目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个，涉及预算</w:t>
      </w:r>
      <w:r>
        <w:rPr>
          <w:rFonts w:hint="eastAsia" w:ascii="仿宋_GB2312" w:hAnsi="仿宋_GB2312" w:eastAsia="仿宋_GB2312" w:cs="仿宋_GB2312"/>
          <w:sz w:val="32"/>
          <w:szCs w:val="32"/>
          <w:lang w:val="en-US" w:eastAsia="zh-CN"/>
        </w:rPr>
        <w:t>212.95</w:t>
      </w:r>
      <w:r>
        <w:rPr>
          <w:rFonts w:hint="eastAsia" w:ascii="仿宋_GB2312" w:hAnsi="仿宋_GB2312" w:eastAsia="仿宋_GB2312" w:cs="仿宋_GB2312"/>
          <w:sz w:val="32"/>
          <w:szCs w:val="32"/>
        </w:rPr>
        <w:t>万元，项目支出决算</w:t>
      </w:r>
      <w:r>
        <w:rPr>
          <w:rFonts w:hint="eastAsia" w:ascii="仿宋_GB2312" w:hAnsi="仿宋_GB2312" w:eastAsia="仿宋_GB2312" w:cs="仿宋_GB2312"/>
          <w:sz w:val="32"/>
          <w:szCs w:val="32"/>
          <w:lang w:val="en-US" w:eastAsia="zh-CN"/>
        </w:rPr>
        <w:t>212.95</w:t>
      </w:r>
      <w:r>
        <w:rPr>
          <w:rFonts w:hint="eastAsia" w:ascii="仿宋_GB2312" w:hAnsi="仿宋_GB2312" w:eastAsia="仿宋_GB2312" w:cs="仿宋_GB2312"/>
          <w:sz w:val="32"/>
          <w:szCs w:val="32"/>
        </w:rPr>
        <w:t>万元。年末本部门单位民生项目和重点支出项目的绩效评价开展情况及结果：</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1.税务宣传项目</w:t>
      </w:r>
    </w:p>
    <w:p>
      <w:pPr>
        <w:pStyle w:val="6"/>
        <w:ind w:firstLine="640"/>
        <w:rPr>
          <w:rFonts w:ascii="仿宋_GB2312" w:hAnsi="仿宋" w:eastAsia="仿宋_GB2312"/>
          <w:sz w:val="32"/>
          <w:szCs w:val="32"/>
        </w:rPr>
      </w:pPr>
      <w:r>
        <w:rPr>
          <w:rFonts w:hint="eastAsia" w:ascii="仿宋_GB2312" w:hAnsi="仿宋_GB2312" w:eastAsia="仿宋_GB2312" w:cs="仿宋_GB2312"/>
          <w:sz w:val="32"/>
          <w:szCs w:val="32"/>
        </w:rPr>
        <w:t>我局的税务宣传费主要用于向纳税人宣传法律知识、宣传税收政策变化情况，为纳税人提供纳税咨询服务，税</w:t>
      </w:r>
      <w:r>
        <w:rPr>
          <w:rFonts w:hint="eastAsia" w:ascii="仿宋_GB2312" w:hAnsi="仿宋" w:eastAsia="仿宋_GB2312"/>
          <w:sz w:val="32"/>
          <w:szCs w:val="32"/>
        </w:rPr>
        <w:t>务“春风行动”。</w:t>
      </w:r>
      <w:r>
        <w:rPr>
          <w:rFonts w:hint="eastAsia" w:ascii="仿宋_GB2312" w:hAnsi="仿宋" w:eastAsia="仿宋_GB2312" w:cs="仿宋"/>
          <w:sz w:val="32"/>
          <w:szCs w:val="32"/>
        </w:rPr>
        <w:t>日常工作中，通过税企座谈、下企业、走个体等方式，更加深入地加强宣传工作，使得纳税人能及时准确了解掌握国家税收相关法律法规，进一步普及税收知识，优化纳税环境，征纳关系更加和谐。</w:t>
      </w:r>
    </w:p>
    <w:p>
      <w:pPr>
        <w:spacing w:line="50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ascii="仿宋_GB2312" w:eastAsia="仿宋_GB2312"/>
          <w:sz w:val="32"/>
          <w:szCs w:val="32"/>
        </w:rPr>
        <w:t>2.</w:t>
      </w:r>
      <w:r>
        <w:rPr>
          <w:rFonts w:hint="eastAsia" w:ascii="仿宋_GB2312" w:eastAsia="仿宋_GB2312"/>
          <w:sz w:val="32"/>
          <w:szCs w:val="32"/>
          <w:lang w:eastAsia="zh-CN"/>
        </w:rPr>
        <w:t>基本建设</w:t>
      </w:r>
      <w:r>
        <w:rPr>
          <w:rFonts w:hint="eastAsia" w:ascii="仿宋_GB2312" w:eastAsia="仿宋_GB2312"/>
          <w:sz w:val="32"/>
          <w:szCs w:val="32"/>
        </w:rPr>
        <w:t>项目</w:t>
      </w:r>
    </w:p>
    <w:p>
      <w:pPr>
        <w:tabs>
          <w:tab w:val="left" w:pos="2100"/>
        </w:tabs>
        <w:snapToGrid w:val="0"/>
        <w:spacing w:line="360" w:lineRule="auto"/>
        <w:ind w:firstLine="640" w:firstLineChars="200"/>
        <w:rPr>
          <w:rFonts w:hint="eastAsia" w:ascii="仿宋_GB2312" w:hAnsi="宋体" w:eastAsia="仿宋_GB2312" w:cs="仿宋_GB2312"/>
          <w:sz w:val="32"/>
          <w:szCs w:val="32"/>
        </w:rPr>
      </w:pPr>
      <w:r>
        <w:rPr>
          <w:rFonts w:hint="eastAsia" w:ascii="仿宋_GB2312" w:hAnsi="仿宋" w:eastAsia="仿宋_GB2312"/>
          <w:sz w:val="32"/>
          <w:lang w:eastAsia="zh-CN"/>
        </w:rPr>
        <w:t>为</w:t>
      </w:r>
      <w:r>
        <w:rPr>
          <w:rFonts w:hint="eastAsia" w:ascii="仿宋_GB2312" w:hAnsi="仿宋" w:eastAsia="仿宋_GB2312"/>
          <w:sz w:val="32"/>
        </w:rPr>
        <w:t>响应自治区地税局优化纳税服务，“一窗式办税窗口”，创建文明单位，改善干部职工工作生活环境</w:t>
      </w:r>
      <w:r>
        <w:rPr>
          <w:rFonts w:hint="eastAsia" w:ascii="仿宋_GB2312" w:hAnsi="仿宋" w:eastAsia="仿宋_GB2312"/>
          <w:sz w:val="32"/>
          <w:lang w:val="en-US" w:eastAsia="zh-CN"/>
        </w:rPr>
        <w:t>,</w:t>
      </w:r>
      <w:r>
        <w:rPr>
          <w:rFonts w:hint="eastAsia" w:ascii="仿宋_GB2312" w:hAnsi="仿宋" w:eastAsia="仿宋_GB2312"/>
          <w:sz w:val="32"/>
        </w:rPr>
        <w:t>口岸地税局地处高寒地区，但办税大厅与办公楼陈旧，办公楼常年受大风侵害，不能抵抗严寒，口岸地税局需要对大楼加装保温层，对原塑钢窗进行更换，屋面防水重设等，</w:t>
      </w:r>
      <w:r>
        <w:rPr>
          <w:rFonts w:hint="eastAsia" w:ascii="仿宋_GB2312" w:hAnsi="宋体" w:eastAsia="仿宋_GB2312" w:cs="仿宋_GB2312"/>
          <w:sz w:val="32"/>
          <w:szCs w:val="32"/>
        </w:rPr>
        <w:t>通过基础设施的改造，</w:t>
      </w:r>
      <w:r>
        <w:rPr>
          <w:rFonts w:hint="eastAsia" w:ascii="仿宋_GB2312" w:hAnsi="宋体" w:eastAsia="仿宋_GB2312" w:cs="宋体"/>
          <w:sz w:val="32"/>
          <w:szCs w:val="32"/>
        </w:rPr>
        <w:t>有效消除办公楼存在的安全隐患，确保国有资产安全完整使用，进一步改善基层办公条件，降低行政成本，提升行政效能，方便服务群众，推动地税事业发展，促进税收工作规范化建设，提升地税部门外部形象。随着自治区维稳工作的推进，我局一些陈旧的基础设施已不符合安全维稳的要求，需要维修更换基础设施加强对办公区的管理，方便职工生活，排除安全隐患，</w:t>
      </w:r>
      <w:r>
        <w:rPr>
          <w:rFonts w:hint="eastAsia" w:ascii="仿宋_GB2312" w:eastAsia="仿宋_GB2312"/>
          <w:sz w:val="32"/>
          <w:szCs w:val="32"/>
        </w:rPr>
        <w:t>紧紧围绕社会稳定和长治久安的总目标，做好安全保卫工作。</w:t>
      </w:r>
      <w:r>
        <w:rPr>
          <w:rFonts w:hint="eastAsia" w:ascii="仿宋_GB2312" w:hAnsi="宋体" w:eastAsia="仿宋_GB2312" w:cs="仿宋_GB2312"/>
          <w:sz w:val="32"/>
          <w:szCs w:val="32"/>
        </w:rPr>
        <w:t xml:space="preserve"> </w:t>
      </w:r>
    </w:p>
    <w:p>
      <w:pPr>
        <w:spacing w:line="50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3.其他税务事项支出</w:t>
      </w:r>
    </w:p>
    <w:p>
      <w:pPr>
        <w:spacing w:line="600" w:lineRule="exact"/>
        <w:ind w:firstLine="645"/>
        <w:rPr>
          <w:rFonts w:hint="eastAsia" w:ascii="仿宋_GB2312" w:hAnsi="Arial" w:eastAsia="仿宋_GB2312" w:cs="Arial"/>
          <w:color w:val="auto"/>
          <w:kern w:val="0"/>
          <w:sz w:val="32"/>
          <w:szCs w:val="32"/>
          <w:highlight w:val="none"/>
          <w:shd w:val="clear" w:color="FFFFFF" w:fill="FFFFFF"/>
        </w:rPr>
      </w:pPr>
      <w:r>
        <w:rPr>
          <w:rFonts w:hint="eastAsia" w:ascii="仿宋_GB2312" w:hAnsi="仿宋" w:eastAsia="仿宋_GB2312" w:cs="仿宋"/>
          <w:sz w:val="32"/>
          <w:szCs w:val="32"/>
        </w:rPr>
        <w:t>由于我局征收面广</w:t>
      </w:r>
      <w:r>
        <w:rPr>
          <w:rFonts w:ascii="仿宋_GB2312" w:hAnsi="仿宋" w:eastAsia="仿宋_GB2312" w:cs="仿宋"/>
          <w:sz w:val="32"/>
          <w:szCs w:val="32"/>
        </w:rPr>
        <w:t>,</w:t>
      </w:r>
      <w:r>
        <w:rPr>
          <w:rFonts w:hint="eastAsia" w:ascii="仿宋_GB2312" w:hAnsi="仿宋" w:eastAsia="仿宋_GB2312" w:cs="仿宋"/>
          <w:sz w:val="32"/>
          <w:szCs w:val="32"/>
        </w:rPr>
        <w:t>为加强管理</w:t>
      </w:r>
      <w:r>
        <w:rPr>
          <w:rFonts w:ascii="仿宋_GB2312" w:hAnsi="仿宋" w:eastAsia="仿宋_GB2312" w:cs="仿宋"/>
          <w:sz w:val="32"/>
          <w:szCs w:val="32"/>
        </w:rPr>
        <w:t>,</w:t>
      </w:r>
      <w:r>
        <w:rPr>
          <w:rFonts w:hint="eastAsia" w:ascii="仿宋_GB2312" w:hAnsi="仿宋" w:eastAsia="仿宋_GB2312" w:cs="仿宋"/>
          <w:sz w:val="32"/>
          <w:szCs w:val="32"/>
        </w:rPr>
        <w:t>促增税收</w:t>
      </w:r>
      <w:r>
        <w:rPr>
          <w:rFonts w:ascii="仿宋_GB2312" w:hAnsi="仿宋" w:eastAsia="仿宋_GB2312" w:cs="仿宋"/>
          <w:sz w:val="32"/>
          <w:szCs w:val="32"/>
        </w:rPr>
        <w:t>,</w:t>
      </w:r>
      <w:r>
        <w:rPr>
          <w:rFonts w:hint="eastAsia" w:ascii="仿宋_GB2312" w:hAnsi="仿宋" w:eastAsia="仿宋_GB2312" w:cs="仿宋"/>
          <w:sz w:val="32"/>
          <w:szCs w:val="32"/>
        </w:rPr>
        <w:t>需对企业进行实地走访、税务日常检查，需要一些人力、物力的投入。随着税收政策的变化，要定期对企业财务人员开展税收政策业务培训，如企业所得税汇算清缴软件操作培训、审核企业所得税汇算清缴表培训、创业就业税收优惠政策培训等。</w:t>
      </w:r>
      <w:r>
        <w:rPr>
          <w:rFonts w:hint="eastAsia" w:ascii="仿宋_GB2312" w:hAnsi="仿宋" w:eastAsia="仿宋_GB2312" w:cs="仿宋"/>
          <w:color w:val="auto"/>
          <w:sz w:val="32"/>
          <w:szCs w:val="32"/>
          <w:highlight w:val="none"/>
        </w:rPr>
        <w:t>随着</w:t>
      </w:r>
      <w:r>
        <w:rPr>
          <w:rFonts w:hint="eastAsia" w:ascii="仿宋_GB2312" w:hAnsi="Arial" w:eastAsia="仿宋_GB2312" w:cs="Arial"/>
          <w:color w:val="auto"/>
          <w:kern w:val="0"/>
          <w:sz w:val="32"/>
          <w:szCs w:val="32"/>
          <w:highlight w:val="none"/>
          <w:shd w:val="clear" w:color="FFFFFF" w:fill="FFFFFF"/>
        </w:rPr>
        <w:t>信息化、网络等新兴媒体的快速发展，税务机关要充分利用互联网、通信、新疆媒体等多种方式为纳税人提供方便快捷的纳税服务，提高征纳服务质量，方便纳税人申报、取得信息，实现信息共享平台，需要投入硬件设备保证网络的畅通，也为日后节约一定的税收成本。</w:t>
      </w:r>
    </w:p>
    <w:p>
      <w:pPr>
        <w:spacing w:line="500" w:lineRule="exact"/>
        <w:rPr>
          <w:rFonts w:hint="eastAsia" w:ascii="仿宋_GB2312" w:hAnsi="仿宋_GB2312" w:eastAsia="仿宋_GB2312" w:cs="仿宋_GB2312"/>
          <w:b/>
          <w:sz w:val="32"/>
          <w:szCs w:val="32"/>
        </w:rPr>
      </w:pPr>
    </w:p>
    <w:p>
      <w:pPr>
        <w:spacing w:line="50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专业名词解释</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财政拨款收入：指同级财政当年拨付的资金。</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上级补助收入：指事业单位从主管部门和上级单位取得的非财政补助收入。</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事业收入：指事业单位开展专业业务活动及其辅助活动所取得的收入。</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经营收入：指事业单位在专业业务活动及其辅助活动之外开展非独立核算经营活动取得的收入。</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附属单位上缴收入：指事业单位附属的独立核算单位按有关规定上缴的收入。</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其他收入：指除上述“财政拨款收入”、“事业收入”、“经营收入”、“附属单位上缴收入”等之外取得的收入。</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结余分配：反映单位当年结余的分配情况。</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基本支出：指为保障机构正常运转、完成日常工作任务而发生的人员支出和公用支出。</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项目支出：指在基本支出之外为完成特定行政任务和事业发展目标所发生的支出。</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经营支出：指事业单位在专业业务活动及其辅助活动之外开展非独立核算经营活动发生的支出。</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对附属单位补助支出：指事业单位发生的用非财政预算资金对附属单位的补助支出。</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6"/>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本单位支出功能分类说明。</w:t>
      </w:r>
      <w:r>
        <w:rPr>
          <w:rFonts w:hint="eastAsia" w:ascii="仿宋_GB2312" w:hAnsi="仿宋_GB2312" w:eastAsia="仿宋_GB2312" w:cs="仿宋_GB2312"/>
          <w:sz w:val="32"/>
          <w:szCs w:val="32"/>
          <w:lang w:val="zh-CN"/>
        </w:rPr>
        <w:t>一般公共服务支出（类）税收事务（款）行政运行</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zh-CN"/>
        </w:rPr>
        <w:t>指基层单位用于保障单位人员经费及日常公用经费的支出，一般公共服务支出（类）税收事务（款）税务办案</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zh-CN"/>
        </w:rPr>
        <w:t>：指税务稽查机构办案和反避税办案的支出。一般公共服务支出（类）税收事务（款）税务宣传</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zh-CN"/>
        </w:rPr>
        <w:t>：指税务部门用于税务宣传、纳税服务等方面的支出。一般公共服务支出（类）税收事务（款）其他税收事务支出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zh-CN"/>
        </w:rPr>
        <w:t>：指地税部门为完成相关工作任务或事业发展目标，用于专项业务工作的支出。</w:t>
      </w:r>
    </w:p>
    <w:p>
      <w:pPr>
        <w:pStyle w:val="6"/>
        <w:ind w:firstLine="640"/>
        <w:rPr>
          <w:rFonts w:hint="eastAsia" w:ascii="仿宋_GB2312" w:hAnsi="仿宋_GB2312" w:eastAsia="仿宋_GB2312" w:cs="仿宋_GB2312"/>
          <w:sz w:val="32"/>
          <w:szCs w:val="32"/>
        </w:rPr>
      </w:pPr>
    </w:p>
    <w:p>
      <w:pPr>
        <w:pStyle w:val="6"/>
        <w:ind w:firstLine="640"/>
        <w:rPr>
          <w:rFonts w:hint="eastAsia" w:ascii="仿宋_GB2312" w:hAnsi="仿宋_GB2312" w:eastAsia="仿宋_GB2312" w:cs="仿宋_GB2312"/>
          <w:sz w:val="32"/>
          <w:szCs w:val="32"/>
        </w:rPr>
      </w:pP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部门决算报表（见附表）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一、报表封面</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二、《收入支出决算总表》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三、《收入决算表》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四、《支出决算表》</w:t>
      </w:r>
      <w:bookmarkStart w:id="0" w:name="_GoBack"/>
      <w:bookmarkEnd w:id="0"/>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七、《行政事业类项目收入支出决算表》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八、《基本建设类项目收入支出决算表》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十、《基本支出决算明细表》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十一、《项目支出决算明细表》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十二、《财政专户管理资金收入支出决算表》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十三、《财政拨款收入支出决算总表》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十四、《一般公共预算财政拨款收入支出决算表》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十五、《一般公共预算财政拨款支出决算明细表》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十六、《一般公共预算财政拨款基本支出决算明细表》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十七、《一般公共预算财政拨款项目支出决算明细表》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十八、《政府性基金预算财政拨款收入支出决算表》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十九、《政府性基金预算财政拨款支出决算明细表》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二十、《政府性基金预算财政拨款基本支出决算明细表》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二十一、《政府性基金预算财政拨款项目支出决算明细表》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二十二、《资产负债简表》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二十三、《资产情况表》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二十四、《国有资产收益征缴情况表》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二十五、《基本数字表》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二十六、《机构人员情况表》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二十七、《非税收入征缴情况表》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二十八、《部门决算相关信息统计表》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二十九、《政府采购情况表》</w:t>
      </w:r>
    </w:p>
    <w:p>
      <w:pPr>
        <w:pStyle w:val="6"/>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三十、《××年度一般公共预算“三公”经费支出情况表》</w:t>
      </w:r>
    </w:p>
    <w:p>
      <w:pPr>
        <w:pStyle w:val="6"/>
        <w:ind w:firstLine="640"/>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Calibri">
    <w:altName w:val="Century Gothic"/>
    <w:panose1 w:val="020F0502020204030204"/>
    <w:charset w:val="00"/>
    <w:family w:val="auto"/>
    <w:pitch w:val="default"/>
    <w:sig w:usb0="E00002FF" w:usb1="4000ACFF" w:usb2="00000001" w:usb3="00000000" w:csb0="0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4"/>
        <o:r id="V:Rule2" type="connector" idref="#AutoShape 5"/>
        <o:r id="V:Rule3" type="connector" idref="#AutoShape 6"/>
        <o:r id="V:Rule4" type="connector" idref="#AutoShape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 w:type="paragraph" w:customStyle="1" w:styleId="6">
    <w:name w:val="无间隔1"/>
    <w:qFormat/>
    <w:uiPriority w:val="1"/>
    <w:pPr>
      <w:widowControl w:val="0"/>
      <w:spacing w:line="660" w:lineRule="exact"/>
      <w:ind w:firstLine="560" w:firstLineChars="200"/>
    </w:pPr>
    <w:rPr>
      <w:rFonts w:ascii="仿宋_GB2312" w:hAnsi="Calibri" w:eastAsia="仿宋_GB2312"/>
      <w:kern w:val="10"/>
      <w:sz w:val="28"/>
      <w:szCs w:val="28"/>
      <w:lang w:val="en-US" w:eastAsia="zh-CN" w:bidi="en-US"/>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12</Pages>
  <Words>775</Words>
  <Characters>4420</Characters>
  <Lines>36</Lines>
  <Paragraphs>10</Paragraphs>
  <ScaleCrop>false</ScaleCrop>
  <LinksUpToDate>false</LinksUpToDate>
  <CharactersWithSpaces>0</CharactersWithSpaces>
  <Application>WPS Office 个人版_9.1.0.4793_{F1E327BC-269C-435d-A152-05C5408002CA}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2018-06-29T11:29:00Z</dcterms:created>
  <dc:creator>GXR</dc:creator>
  <cp:lastModifiedBy>Owner</cp:lastModifiedBy>
  <cp:lastPrinted>2007-01-02T09:37:00Z</cp:lastPrinted>
  <dcterms:modified xsi:type="dcterms:W3CDTF">2007-01-02T13:41:52Z</dcterms:modified>
  <dc:title>2017年度部门决算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