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68EB4">
      <w:pPr>
        <w:spacing w:line="360" w:lineRule="auto"/>
        <w:jc w:val="center"/>
        <w:rPr>
          <w:rFonts w:hint="eastAsia" w:ascii="黑体" w:hAnsi="黑体" w:eastAsia="黑体" w:cs="黑体"/>
          <w:color w:val="000000"/>
          <w:spacing w:val="-20"/>
          <w:sz w:val="44"/>
          <w:szCs w:val="44"/>
        </w:rPr>
      </w:pPr>
      <w:bookmarkStart w:id="0" w:name="_GoBack"/>
      <w:r>
        <w:rPr>
          <w:rFonts w:hint="eastAsia" w:ascii="黑体" w:hAnsi="黑体" w:eastAsia="黑体" w:cs="黑体"/>
          <w:color w:val="000000"/>
          <w:spacing w:val="-20"/>
          <w:sz w:val="44"/>
          <w:szCs w:val="44"/>
          <w:u w:val="none"/>
          <w:lang w:eastAsia="zh-CN"/>
        </w:rPr>
        <w:t>国家税务总局喀什经济开发区</w:t>
      </w:r>
      <w:r>
        <w:rPr>
          <w:rFonts w:hint="eastAsia" w:ascii="黑体" w:hAnsi="黑体" w:eastAsia="黑体" w:cs="黑体"/>
          <w:color w:val="000000"/>
          <w:spacing w:val="-20"/>
          <w:sz w:val="44"/>
          <w:szCs w:val="44"/>
          <w:u w:val="none"/>
        </w:rPr>
        <w:t>税</w:t>
      </w:r>
      <w:r>
        <w:rPr>
          <w:rFonts w:hint="eastAsia" w:ascii="黑体" w:hAnsi="黑体" w:eastAsia="黑体" w:cs="黑体"/>
          <w:color w:val="000000"/>
          <w:spacing w:val="-20"/>
          <w:sz w:val="44"/>
          <w:szCs w:val="44"/>
        </w:rPr>
        <w:t>务局（稽查局）</w:t>
      </w:r>
    </w:p>
    <w:p w14:paraId="5805F102">
      <w:pPr>
        <w:spacing w:line="360" w:lineRule="auto"/>
        <w:jc w:val="center"/>
        <w:rPr>
          <w:rFonts w:hint="eastAsia" w:ascii="黑体" w:hAnsi="黑体" w:eastAsia="黑体" w:cs="黑体"/>
          <w:color w:val="000000"/>
          <w:sz w:val="44"/>
          <w:szCs w:val="44"/>
        </w:rPr>
      </w:pPr>
      <w:r>
        <w:rPr>
          <w:rFonts w:hint="eastAsia" w:ascii="黑体" w:hAnsi="黑体" w:eastAsia="黑体" w:cs="黑体"/>
          <w:color w:val="000000"/>
          <w:sz w:val="44"/>
          <w:szCs w:val="44"/>
        </w:rPr>
        <w:t>税务行政处罚事项告知书</w:t>
      </w:r>
      <w:bookmarkEnd w:id="0"/>
    </w:p>
    <w:p w14:paraId="196EC151">
      <w:pPr>
        <w:spacing w:line="360" w:lineRule="auto"/>
        <w:jc w:val="center"/>
        <w:rPr>
          <w:rFonts w:hint="eastAsia" w:ascii="仿宋_GB2312" w:eastAsia="仿宋_GB2312"/>
          <w:color w:val="000000"/>
          <w:spacing w:val="20"/>
          <w:sz w:val="32"/>
        </w:rPr>
      </w:pPr>
      <w:r>
        <w:rPr>
          <w:rFonts w:hint="eastAsia" w:ascii="仿宋_GB2312" w:eastAsia="仿宋_GB2312"/>
          <w:color w:val="000000"/>
          <w:spacing w:val="20"/>
          <w:sz w:val="32"/>
          <w:u w:val="none"/>
        </w:rPr>
        <w:t xml:space="preserve"> </w:t>
      </w:r>
      <w:r>
        <w:rPr>
          <w:rFonts w:hint="eastAsia" w:ascii="仿宋_GB2312" w:eastAsia="仿宋_GB2312"/>
          <w:color w:val="000000"/>
          <w:spacing w:val="20"/>
          <w:sz w:val="32"/>
          <w:u w:val="none"/>
          <w:lang w:eastAsia="zh-CN"/>
        </w:rPr>
        <w:t>喀经开税稽</w:t>
      </w:r>
      <w:r>
        <w:rPr>
          <w:rFonts w:hint="eastAsia" w:ascii="仿宋_GB2312" w:eastAsia="仿宋_GB2312"/>
          <w:color w:val="000000"/>
          <w:spacing w:val="20"/>
          <w:sz w:val="32"/>
        </w:rPr>
        <w:t>罚告〔</w:t>
      </w:r>
      <w:r>
        <w:rPr>
          <w:rFonts w:hint="eastAsia" w:ascii="仿宋_GB2312" w:eastAsia="仿宋_GB2312"/>
          <w:color w:val="000000"/>
          <w:spacing w:val="20"/>
          <w:sz w:val="32"/>
          <w:lang w:val="en-US" w:eastAsia="zh-CN"/>
        </w:rPr>
        <w:t>2026</w:t>
      </w:r>
      <w:r>
        <w:rPr>
          <w:rFonts w:hint="eastAsia" w:ascii="仿宋_GB2312" w:eastAsia="仿宋_GB2312"/>
          <w:color w:val="000000"/>
          <w:spacing w:val="20"/>
          <w:sz w:val="32"/>
        </w:rPr>
        <w:t>〕</w:t>
      </w:r>
      <w:r>
        <w:rPr>
          <w:rFonts w:hint="eastAsia" w:ascii="仿宋_GB2312" w:eastAsia="仿宋_GB2312"/>
          <w:color w:val="000000" w:themeColor="text1"/>
          <w:spacing w:val="20"/>
          <w:sz w:val="32"/>
          <w:highlight w:val="none"/>
          <w:lang w:val="en-US" w:eastAsia="zh-CN"/>
          <w14:textFill>
            <w14:solidFill>
              <w14:schemeClr w14:val="tx1"/>
            </w14:solidFill>
          </w14:textFill>
        </w:rPr>
        <w:t>7</w:t>
      </w:r>
      <w:r>
        <w:rPr>
          <w:rFonts w:hint="eastAsia" w:ascii="仿宋_GB2312" w:eastAsia="仿宋_GB2312"/>
          <w:color w:val="000000"/>
          <w:spacing w:val="20"/>
          <w:sz w:val="32"/>
        </w:rPr>
        <w:t>号</w:t>
      </w:r>
    </w:p>
    <w:p w14:paraId="75D3AB68">
      <w:pPr>
        <w:spacing w:line="360" w:lineRule="auto"/>
        <w:jc w:val="left"/>
        <w:rPr>
          <w:rFonts w:hint="eastAsia" w:ascii="仿宋_GB2312" w:eastAsia="仿宋_GB2312"/>
          <w:color w:val="000000"/>
          <w:spacing w:val="20"/>
          <w:sz w:val="32"/>
          <w:u w:val="none"/>
          <w:lang w:val="en-US" w:eastAsia="zh-CN"/>
        </w:rPr>
      </w:pPr>
    </w:p>
    <w:p w14:paraId="342C85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color w:val="000000"/>
          <w:spacing w:val="20"/>
          <w:sz w:val="32"/>
          <w:u w:val="none"/>
          <w:lang w:val="en-US" w:eastAsia="zh-CN"/>
        </w:rPr>
      </w:pPr>
      <w:r>
        <w:rPr>
          <w:rFonts w:hint="eastAsia" w:ascii="仿宋_GB2312" w:eastAsia="仿宋_GB2312"/>
          <w:color w:val="000000"/>
          <w:spacing w:val="20"/>
          <w:sz w:val="32"/>
          <w:u w:val="none"/>
          <w:lang w:val="en-US" w:eastAsia="zh-CN"/>
        </w:rPr>
        <w:t>新疆嘉德亚新建设工程有限公司</w:t>
      </w:r>
      <w:r>
        <w:rPr>
          <w:rFonts w:hint="eastAsia" w:ascii="仿宋_GB2312" w:eastAsia="仿宋_GB2312"/>
          <w:color w:val="000000"/>
          <w:spacing w:val="20"/>
          <w:sz w:val="32"/>
          <w:u w:val="none"/>
          <w:lang w:eastAsia="zh-CN"/>
        </w:rPr>
        <w:t>（纳税人识别号：91653101MA777R3156）</w:t>
      </w:r>
      <w:r>
        <w:rPr>
          <w:rFonts w:hint="eastAsia" w:ascii="仿宋_GB2312" w:eastAsia="仿宋_GB2312"/>
          <w:color w:val="000000"/>
          <w:spacing w:val="20"/>
          <w:sz w:val="32"/>
          <w:u w:val="none"/>
          <w:lang w:val="en-US" w:eastAsia="zh-CN"/>
        </w:rPr>
        <w:t>:</w:t>
      </w:r>
    </w:p>
    <w:p w14:paraId="06D86262">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eastAsia="zh-CN"/>
        </w:rPr>
      </w:pPr>
      <w:r>
        <w:rPr>
          <w:rFonts w:hint="eastAsia" w:ascii="仿宋_GB2312" w:eastAsia="仿宋_GB2312"/>
          <w:color w:val="000000"/>
          <w:spacing w:val="20"/>
          <w:sz w:val="32"/>
          <w:u w:val="none"/>
          <w:lang w:eastAsia="zh-CN"/>
        </w:rPr>
        <w:t>对你（单位）（地址：新疆喀什地区喀什经济开发区深喀大道总部经济区远方财富中心10层01号）的税收违法行为拟作出行政处罚决定，根据《中华人民共和国税收征收管理法》第八条、《中华人民共和国行政处罚法》第四十四条、第六十三条、第六十四条规定，现将有关事项告知如下：</w:t>
      </w:r>
    </w:p>
    <w:p w14:paraId="3367D04B">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eastAsia="zh-CN"/>
        </w:rPr>
      </w:pPr>
      <w:r>
        <w:rPr>
          <w:rFonts w:hint="eastAsia" w:ascii="仿宋_GB2312" w:eastAsia="仿宋_GB2312"/>
          <w:color w:val="000000"/>
          <w:spacing w:val="20"/>
          <w:sz w:val="32"/>
          <w:u w:val="none"/>
          <w:lang w:eastAsia="zh-CN"/>
        </w:rPr>
        <w:t>一、行政处罚的事实依据、法律依据及拟作出的处罚决定</w:t>
      </w:r>
    </w:p>
    <w:p w14:paraId="556574F2">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eastAsia="zh-CN"/>
        </w:rPr>
      </w:pPr>
      <w:r>
        <w:rPr>
          <w:rFonts w:hint="eastAsia" w:ascii="仿宋_GB2312" w:eastAsia="仿宋_GB2312"/>
          <w:color w:val="000000"/>
          <w:spacing w:val="20"/>
          <w:sz w:val="32"/>
          <w:u w:val="none"/>
          <w:lang w:eastAsia="zh-CN"/>
        </w:rPr>
        <w:t>（一）违法事实</w:t>
      </w:r>
    </w:p>
    <w:p w14:paraId="1A6218FD">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val="en-US" w:eastAsia="zh-CN"/>
        </w:rPr>
      </w:pPr>
      <w:r>
        <w:rPr>
          <w:rFonts w:hint="eastAsia" w:ascii="仿宋_GB2312" w:eastAsia="仿宋_GB2312"/>
          <w:color w:val="000000"/>
          <w:spacing w:val="20"/>
          <w:sz w:val="32"/>
          <w:u w:val="none"/>
          <w:lang w:val="en-US" w:eastAsia="zh-CN"/>
        </w:rPr>
        <w:t>你公司2019年12月取得乌鲁木齐市生隆达石油物资有限公司生隆达加油站开具的14份合计金额为1327433.57元增值税专用发票并于当月认证抵扣，发票代码：6500192130，发票号码：05869191-05869204，开具时间：2019年12月24日，销方名称：乌鲁木齐市生隆达石油物资有限公司生隆达加油站，内容：柴油，开票金额合计：1327433.57元，税额合计：172566.43元，价税合计：1500000元。通过法人账户进行资金回流。</w:t>
      </w:r>
    </w:p>
    <w:p w14:paraId="1E350FF6">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val="en-US" w:eastAsia="zh-CN"/>
        </w:rPr>
      </w:pPr>
      <w:r>
        <w:rPr>
          <w:rFonts w:hint="eastAsia" w:ascii="仿宋_GB2312" w:eastAsia="仿宋_GB2312"/>
          <w:color w:val="000000"/>
          <w:spacing w:val="20"/>
          <w:sz w:val="32"/>
          <w:u w:val="none"/>
          <w:lang w:val="en-US" w:eastAsia="zh-CN"/>
        </w:rPr>
        <w:t>你公司在无实际业务的情况下取得以上发票并入账抵扣，且存在资金回流，根据《中华人民共和国发票管理办法》（根据2019年3月2日&lt;国务院关于修改部分行政法规的决定&gt;第二次修订）第二十二条第二款“任何单位和个人不得有下列虚开发票行为”第二项“让他人为自己开具与实际经营业务情况不符的发票”之规定，你公司取得上述14份增值税专用发票，金额1327433.57元，税额172566.43元，价税合计1500000元，入账并抵扣的行为，属于让他人为自己虚开增值税专用发票行为。</w:t>
      </w:r>
    </w:p>
    <w:p w14:paraId="6B130F0A">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eastAsia="zh-CN"/>
        </w:rPr>
      </w:pPr>
      <w:r>
        <w:rPr>
          <w:rFonts w:hint="eastAsia" w:ascii="仿宋_GB2312" w:eastAsia="仿宋_GB2312"/>
          <w:color w:val="000000"/>
          <w:spacing w:val="20"/>
          <w:sz w:val="32"/>
          <w:u w:val="none"/>
          <w:lang w:eastAsia="zh-CN"/>
        </w:rPr>
        <w:t>（二）法律依据及拟作出的处罚决定</w:t>
      </w:r>
    </w:p>
    <w:p w14:paraId="175CF706">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val="en-US" w:eastAsia="zh-CN"/>
        </w:rPr>
      </w:pPr>
      <w:r>
        <w:rPr>
          <w:rFonts w:hint="eastAsia" w:ascii="仿宋_GB2312" w:eastAsia="仿宋_GB2312"/>
          <w:color w:val="000000"/>
          <w:spacing w:val="20"/>
          <w:sz w:val="32"/>
          <w:u w:val="none"/>
          <w:lang w:val="en-US" w:eastAsia="zh-CN"/>
        </w:rPr>
        <w:t>我局认为你公司存在取得乌鲁木齐市生隆达石油物资有限公司生隆达加油站虚开增值税专用发票用于虚列成本、虚抵进项的行为，违反了《中华人民共和国发票管理办法》（根据2019年3月2日&lt;国务院关于修改部分行政法规的决定&gt;第二次修订）第二十二条第二款“任何单位和个人不得有下列虚开发票行为”第二项“让他人为自己开具与实际经营业务情况不符的发票”之规定，根据《中华人民共和国发票管理办法》（根据2019年3月2日《国务院关于修改部分行政法规的决定》第二次修订）第三十七条“违反本办法第二十二条第二款的规定虚开发票的，由税务机关没收违法所得；虚开金额在1万元以下的，可以并处5万元以下的罚款；虚开金额超过1万元的，并处5万元以上50万元以下的罚款；构成犯罪的，依法追究刑事责任。”对你公司虚开发票行为拟处5万元罚款（人民币大写伍万元整）。</w:t>
      </w:r>
    </w:p>
    <w:p w14:paraId="6D5A4CA0">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eastAsia="zh-CN"/>
        </w:rPr>
      </w:pPr>
      <w:r>
        <w:rPr>
          <w:rFonts w:hint="eastAsia" w:ascii="仿宋_GB2312" w:eastAsia="仿宋_GB2312"/>
          <w:color w:val="000000"/>
          <w:spacing w:val="20"/>
          <w:sz w:val="32"/>
          <w:u w:val="none"/>
          <w:lang w:eastAsia="zh-CN"/>
        </w:rPr>
        <w:t>二、</w:t>
      </w:r>
      <w:r>
        <w:rPr>
          <w:rFonts w:hint="eastAsia" w:ascii="仿宋_GB2312" w:eastAsia="仿宋_GB2312"/>
          <w:color w:val="000000"/>
          <w:spacing w:val="20"/>
          <w:sz w:val="32"/>
          <w:u w:val="none"/>
          <w:lang w:val="en-US" w:eastAsia="zh-CN"/>
        </w:rPr>
        <w:t>你</w:t>
      </w:r>
      <w:r>
        <w:rPr>
          <w:rFonts w:hint="eastAsia" w:ascii="仿宋_GB2312" w:eastAsia="仿宋_GB2312"/>
          <w:color w:val="000000"/>
          <w:spacing w:val="20"/>
          <w:sz w:val="32"/>
          <w:u w:val="none"/>
          <w:lang w:eastAsia="zh-CN"/>
        </w:rPr>
        <w:t>（单位）有陈述、申辩的权利。请在我局作出税务行政处罚决定之前，到我局进行陈述、申辩或自行提供陈述、申辩材料；逾期不进行陈述、申辩的，视同放弃权利。</w:t>
      </w:r>
    </w:p>
    <w:p w14:paraId="101774C3">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left"/>
        <w:textAlignment w:val="auto"/>
        <w:rPr>
          <w:rFonts w:hint="eastAsia" w:ascii="仿宋_GB2312" w:eastAsia="仿宋_GB2312"/>
          <w:color w:val="000000"/>
          <w:spacing w:val="20"/>
          <w:sz w:val="32"/>
          <w:u w:val="none"/>
          <w:lang w:eastAsia="zh-CN"/>
        </w:rPr>
      </w:pPr>
      <w:r>
        <w:rPr>
          <w:rFonts w:hint="eastAsia" w:ascii="仿宋_GB2312" w:eastAsia="仿宋_GB2312"/>
          <w:color w:val="000000"/>
          <w:spacing w:val="20"/>
          <w:sz w:val="32"/>
          <w:u w:val="none"/>
          <w:lang w:eastAsia="zh-CN"/>
        </w:rPr>
        <w:t>三、</w:t>
      </w:r>
      <w:r>
        <w:rPr>
          <w:rFonts w:hint="eastAsia" w:ascii="仿宋_GB2312" w:eastAsia="仿宋_GB2312"/>
          <w:color w:val="000000"/>
          <w:spacing w:val="20"/>
          <w:sz w:val="32"/>
          <w:u w:val="none"/>
          <w:lang w:val="en-US" w:eastAsia="zh-CN"/>
        </w:rPr>
        <w:t>你</w:t>
      </w:r>
      <w:r>
        <w:rPr>
          <w:rFonts w:hint="eastAsia" w:ascii="仿宋_GB2312" w:eastAsia="仿宋_GB2312"/>
          <w:color w:val="000000"/>
          <w:spacing w:val="20"/>
          <w:sz w:val="32"/>
          <w:u w:val="none"/>
          <w:lang w:eastAsia="zh-CN"/>
        </w:rPr>
        <w:t>（单位）</w:t>
      </w:r>
      <w:r>
        <w:rPr>
          <w:rFonts w:hint="eastAsia" w:ascii="仿宋_GB2312" w:eastAsia="仿宋_GB2312"/>
          <w:color w:val="000000"/>
          <w:spacing w:val="20"/>
          <w:sz w:val="32"/>
          <w:u w:val="none"/>
          <w:lang w:val="en-US" w:eastAsia="zh-CN"/>
        </w:rPr>
        <w:t>有要求听证的权利。</w:t>
      </w:r>
      <w:r>
        <w:rPr>
          <w:rFonts w:hint="eastAsia" w:ascii="仿宋_GB2312" w:eastAsia="仿宋_GB2312"/>
          <w:color w:val="000000"/>
          <w:spacing w:val="20"/>
          <w:sz w:val="32"/>
          <w:u w:val="none"/>
          <w:lang w:eastAsia="zh-CN"/>
        </w:rPr>
        <w:t>拟对你单位罚款10000元（含10000元）以上，或符合《中华人民共和国行政处罚法》第六十三条规定的其他情形的，你（单位）有要求听证的权利。可自收到本告知书之日起五个工作日内向我局书面提出听证申请；逾期不提出，视为放弃听证权利。</w:t>
      </w:r>
    </w:p>
    <w:p w14:paraId="0F5E64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color w:val="000000"/>
          <w:spacing w:val="20"/>
          <w:sz w:val="32"/>
          <w:u w:val="none"/>
          <w:lang w:eastAsia="zh-CN"/>
        </w:rPr>
      </w:pPr>
    </w:p>
    <w:p w14:paraId="1FBF4D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color w:val="000000"/>
          <w:spacing w:val="20"/>
          <w:sz w:val="32"/>
          <w:u w:val="none"/>
          <w:lang w:eastAsia="zh-CN"/>
        </w:rPr>
      </w:pPr>
    </w:p>
    <w:p w14:paraId="4F72EB4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color w:val="000000"/>
          <w:spacing w:val="20"/>
          <w:sz w:val="32"/>
          <w:u w:val="none"/>
          <w:lang w:eastAsia="zh-CN"/>
        </w:rPr>
      </w:pPr>
      <w:r>
        <w:rPr>
          <w:rFonts w:hint="eastAsia" w:ascii="仿宋_GB2312" w:eastAsia="仿宋_GB2312"/>
          <w:color w:val="000000"/>
          <w:spacing w:val="20"/>
          <w:sz w:val="32"/>
          <w:u w:val="none"/>
          <w:lang w:val="en-US" w:eastAsia="zh-CN"/>
        </w:rPr>
        <w:t xml:space="preserve"> </w:t>
      </w:r>
      <w:r>
        <w:rPr>
          <w:rFonts w:hint="eastAsia" w:ascii="仿宋_GB2312" w:eastAsia="仿宋_GB2312"/>
          <w:color w:val="000000"/>
          <w:spacing w:val="20"/>
          <w:sz w:val="32"/>
          <w:u w:val="none"/>
          <w:lang w:eastAsia="zh-CN"/>
        </w:rPr>
        <w:t xml:space="preserve"> </w:t>
      </w:r>
      <w:r>
        <w:rPr>
          <w:rFonts w:hint="eastAsia" w:ascii="仿宋_GB2312" w:eastAsia="仿宋_GB2312"/>
          <w:color w:val="000000"/>
          <w:spacing w:val="20"/>
          <w:sz w:val="32"/>
          <w:u w:val="none"/>
          <w:lang w:val="en-US" w:eastAsia="zh-CN"/>
        </w:rPr>
        <w:t xml:space="preserve">       </w:t>
      </w:r>
      <w:r>
        <w:rPr>
          <w:rFonts w:hint="eastAsia" w:ascii="仿宋_GB2312" w:eastAsia="仿宋_GB2312"/>
          <w:color w:val="000000"/>
          <w:spacing w:val="20"/>
          <w:sz w:val="32"/>
          <w:u w:val="none"/>
          <w:lang w:eastAsia="zh-CN"/>
        </w:rPr>
        <w:t>国家税务总局喀什经济开发区税务局稽查局</w:t>
      </w:r>
    </w:p>
    <w:p w14:paraId="09C783AF">
      <w:pPr>
        <w:keepNext w:val="0"/>
        <w:keepLines w:val="0"/>
        <w:pageBreakBefore w:val="0"/>
        <w:widowControl w:val="0"/>
        <w:kinsoku/>
        <w:wordWrap/>
        <w:overflowPunct/>
        <w:topLinePunct w:val="0"/>
        <w:autoSpaceDE/>
        <w:autoSpaceDN/>
        <w:bidi w:val="0"/>
        <w:adjustRightInd/>
        <w:snapToGrid/>
        <w:spacing w:line="560" w:lineRule="exact"/>
        <w:ind w:firstLine="4320" w:firstLineChars="1200"/>
        <w:jc w:val="left"/>
        <w:textAlignment w:val="auto"/>
        <w:rPr>
          <w:rFonts w:hint="eastAsia" w:ascii="仿宋_GB2312" w:eastAsia="仿宋_GB2312"/>
          <w:color w:val="000000"/>
          <w:spacing w:val="20"/>
          <w:sz w:val="32"/>
          <w:u w:val="none"/>
          <w:lang w:eastAsia="zh-CN"/>
        </w:rPr>
      </w:pPr>
      <w:r>
        <w:rPr>
          <w:rFonts w:hint="eastAsia" w:ascii="仿宋_GB2312" w:eastAsia="仿宋_GB2312"/>
          <w:color w:val="000000"/>
          <w:spacing w:val="20"/>
          <w:sz w:val="32"/>
          <w:u w:val="none"/>
          <w:lang w:eastAsia="zh-CN"/>
        </w:rPr>
        <w:t>20</w:t>
      </w:r>
      <w:r>
        <w:rPr>
          <w:rFonts w:hint="eastAsia" w:ascii="仿宋_GB2312" w:eastAsia="仿宋_GB2312"/>
          <w:color w:val="000000"/>
          <w:spacing w:val="20"/>
          <w:sz w:val="32"/>
          <w:u w:val="none"/>
          <w:lang w:val="en-US" w:eastAsia="zh-CN"/>
        </w:rPr>
        <w:t>26</w:t>
      </w:r>
      <w:r>
        <w:rPr>
          <w:rFonts w:hint="eastAsia" w:ascii="仿宋_GB2312" w:eastAsia="仿宋_GB2312"/>
          <w:color w:val="000000"/>
          <w:spacing w:val="20"/>
          <w:sz w:val="32"/>
          <w:u w:val="none"/>
          <w:lang w:eastAsia="zh-CN"/>
        </w:rPr>
        <w:t>年</w:t>
      </w:r>
      <w:r>
        <w:rPr>
          <w:rFonts w:hint="eastAsia" w:ascii="仿宋_GB2312" w:eastAsia="仿宋_GB2312"/>
          <w:color w:val="000000"/>
          <w:spacing w:val="20"/>
          <w:sz w:val="32"/>
          <w:u w:val="none"/>
          <w:lang w:val="en-US" w:eastAsia="zh-CN"/>
        </w:rPr>
        <w:t xml:space="preserve"> 5</w:t>
      </w:r>
      <w:r>
        <w:rPr>
          <w:rFonts w:hint="eastAsia" w:ascii="仿宋_GB2312" w:eastAsia="仿宋_GB2312"/>
          <w:color w:val="000000"/>
          <w:spacing w:val="20"/>
          <w:sz w:val="32"/>
          <w:u w:val="none"/>
          <w:lang w:eastAsia="zh-CN"/>
        </w:rPr>
        <w:t>月</w:t>
      </w:r>
      <w:r>
        <w:rPr>
          <w:rFonts w:hint="eastAsia" w:ascii="仿宋_GB2312" w:eastAsia="仿宋_GB2312"/>
          <w:color w:val="000000"/>
          <w:spacing w:val="20"/>
          <w:sz w:val="32"/>
          <w:u w:val="none"/>
          <w:lang w:val="en-US" w:eastAsia="zh-CN"/>
        </w:rPr>
        <w:t>16</w:t>
      </w:r>
      <w:r>
        <w:rPr>
          <w:rFonts w:hint="eastAsia" w:ascii="仿宋_GB2312" w:eastAsia="仿宋_GB2312"/>
          <w:color w:val="000000"/>
          <w:spacing w:val="20"/>
          <w:sz w:val="32"/>
          <w:u w:val="none"/>
          <w:lang w:eastAsia="zh-CN"/>
        </w:rPr>
        <w:t>日</w:t>
      </w:r>
    </w:p>
    <w:p w14:paraId="15B52E0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color w:val="000000"/>
          <w:spacing w:val="20"/>
          <w:sz w:val="32"/>
          <w:u w:val="none"/>
          <w:lang w:val="en-US" w:eastAsia="zh-CN"/>
        </w:rPr>
      </w:pPr>
    </w:p>
    <w:p w14:paraId="253C91E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eastAsia="仿宋_GB2312"/>
          <w:color w:val="000000"/>
          <w:spacing w:val="20"/>
          <w:sz w:val="32"/>
          <w:u w:val="none"/>
          <w:lang w:val="en-US" w:eastAsia="zh-CN"/>
        </w:rPr>
      </w:pPr>
    </w:p>
    <w:p w14:paraId="38E717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eastAsia="仿宋_GB2312"/>
          <w:color w:val="000000"/>
          <w:spacing w:val="20"/>
          <w:sz w:val="32"/>
          <w:u w:val="none"/>
          <w:lang w:val="en-US" w:eastAsia="zh-CN"/>
        </w:rPr>
      </w:pPr>
    </w:p>
    <w:p w14:paraId="1CE695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eastAsia="仿宋_GB2312"/>
          <w:color w:val="000000"/>
          <w:spacing w:val="20"/>
          <w:sz w:val="32"/>
          <w:u w:val="none"/>
          <w:lang w:eastAsia="zh-CN"/>
        </w:rPr>
      </w:pPr>
    </w:p>
    <w:sectPr>
      <w:pgSz w:w="11906" w:h="16838"/>
      <w:pgMar w:top="1701"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8433D"/>
    <w:rsid w:val="00A575B8"/>
    <w:rsid w:val="1073679A"/>
    <w:rsid w:val="17FD7AF2"/>
    <w:rsid w:val="48120FD2"/>
    <w:rsid w:val="4BCD267F"/>
    <w:rsid w:val="5098433D"/>
    <w:rsid w:val="57A72CF0"/>
    <w:rsid w:val="64A329CB"/>
    <w:rsid w:val="75C5457D"/>
    <w:rsid w:val="770566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val="0"/>
      <w:adjustRightInd/>
      <w:snapToGrid/>
      <w:spacing w:after="0"/>
      <w:ind w:firstLine="420" w:firstLineChars="200"/>
      <w:jc w:val="both"/>
    </w:pPr>
    <w:rPr>
      <w:rFonts w:ascii="Times New Roman" w:hAnsi="Times New Roman" w:eastAsia="宋体" w:cs="Times New Roman"/>
      <w:kern w:val="2"/>
      <w:sz w:val="21"/>
      <w:szCs w:val="24"/>
    </w:rPr>
  </w:style>
  <w:style w:type="paragraph" w:styleId="3">
    <w:name w:val="Body Text"/>
    <w:basedOn w:val="1"/>
    <w:next w:val="4"/>
    <w:qFormat/>
    <w:uiPriority w:val="0"/>
    <w:pPr>
      <w:spacing w:after="120"/>
    </w:pPr>
  </w:style>
  <w:style w:type="paragraph" w:styleId="4">
    <w:name w:val="toc 5"/>
    <w:basedOn w:val="1"/>
    <w:next w:val="1"/>
    <w:qFormat/>
    <w:uiPriority w:val="0"/>
    <w:pPr>
      <w:ind w:left="1680" w:leftChars="800"/>
    </w:pPr>
  </w:style>
  <w:style w:type="paragraph" w:styleId="5">
    <w:name w:val="Normal (Web)"/>
    <w:basedOn w:val="1"/>
    <w:qFormat/>
    <w:uiPriority w:val="0"/>
    <w:pPr>
      <w:widowControl/>
      <w:spacing w:before="100" w:beforeAutospacing="1" w:after="100" w:afterAutospacing="1"/>
      <w:jc w:val="left"/>
    </w:pPr>
    <w:rPr>
      <w:rFonts w:ascii="宋体" w:hAnsi="宋体" w:cs="宋体"/>
      <w:color w:val="00000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1191</Words>
  <Characters>1326</Characters>
  <Lines>0</Lines>
  <Paragraphs>0</Paragraphs>
  <TotalTime>8</TotalTime>
  <ScaleCrop>false</ScaleCrop>
  <LinksUpToDate>false</LinksUpToDate>
  <CharactersWithSpaces>1330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2026-05-16T05:35:00Z</dcterms:created>
  <dc:creator>杜雪薇</dc:creator>
  <cp:lastModifiedBy>慢慢－</cp:lastModifiedBy>
  <dcterms:modified xsi:type="dcterms:W3CDTF">2026-06-12T04:51:49Z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eyJoZGlkIjoiZjU1NjI0MzM3YzFjNzc3NTk3M2VlY2VjODBiMzZlYWMiLCJ1c2VySWQiOiIzNTU5MzM0MTQifQ==</vt:lpwstr>
  </property>
  <property fmtid="{D5CDD505-2E9C-101B-9397-08002B2CF9AE}" pid="4" name="ICV">
    <vt:lpwstr>BE4B4D1759484F4990285548921EEA63_12</vt:lpwstr>
  </property>
</Properties>
</file>