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bidi w:val="0"/>
        <w:spacing w:line="560" w:lineRule="exact"/>
        <w:rPr>
          <w:rFonts w:ascii="黑体" w:hAnsi="黑体" w:eastAsia="黑体"/>
          <w:color w:val="auto"/>
          <w:sz w:val="32"/>
          <w:szCs w:val="32"/>
          <w:highlight w:val="none"/>
          <w:shd w:val="clear" w:color="auto" w:fill="auto"/>
        </w:rPr>
      </w:pPr>
    </w:p>
    <w:p>
      <w:pPr>
        <w:keepNext w:val="0"/>
        <w:keepLines w:val="0"/>
        <w:pageBreakBefore w:val="0"/>
        <w:kinsoku/>
        <w:wordWrap/>
        <w:overflowPunct/>
        <w:topLinePunct w:val="0"/>
        <w:bidi w:val="0"/>
        <w:spacing w:line="560" w:lineRule="exact"/>
        <w:jc w:val="center"/>
        <w:rPr>
          <w:rFonts w:hint="eastAsia" w:ascii="方正小标宋_GBK" w:hAnsi="宋体" w:eastAsia="方正小标宋_GBK"/>
          <w:color w:val="auto"/>
          <w:sz w:val="44"/>
          <w:szCs w:val="44"/>
          <w:highlight w:val="none"/>
          <w:shd w:val="clear" w:color="auto" w:fill="auto"/>
        </w:rPr>
      </w:pPr>
    </w:p>
    <w:p>
      <w:pPr>
        <w:keepNext w:val="0"/>
        <w:keepLines w:val="0"/>
        <w:pageBreakBefore w:val="0"/>
        <w:kinsoku/>
        <w:wordWrap/>
        <w:overflowPunct/>
        <w:topLinePunct w:val="0"/>
        <w:bidi w:val="0"/>
        <w:spacing w:line="560" w:lineRule="exact"/>
        <w:jc w:val="center"/>
        <w:rPr>
          <w:rFonts w:hint="eastAsia" w:ascii="方正小标宋_GBK" w:hAnsi="宋体" w:eastAsia="方正小标宋_GBK"/>
          <w:color w:val="auto"/>
          <w:sz w:val="44"/>
          <w:szCs w:val="44"/>
          <w:highlight w:val="none"/>
          <w:shd w:val="clear" w:color="auto" w:fill="auto"/>
        </w:rPr>
      </w:pPr>
    </w:p>
    <w:p>
      <w:pPr>
        <w:keepNext w:val="0"/>
        <w:keepLines w:val="0"/>
        <w:pageBreakBefore w:val="0"/>
        <w:kinsoku/>
        <w:wordWrap/>
        <w:overflowPunct/>
        <w:topLinePunct w:val="0"/>
        <w:bidi w:val="0"/>
        <w:spacing w:line="560" w:lineRule="exact"/>
        <w:jc w:val="center"/>
        <w:rPr>
          <w:rFonts w:hint="eastAsia" w:ascii="方正小标宋_GBK" w:hAnsi="宋体" w:eastAsia="方正小标宋_GBK"/>
          <w:color w:val="auto"/>
          <w:sz w:val="44"/>
          <w:szCs w:val="44"/>
          <w:highlight w:val="none"/>
          <w:shd w:val="clear" w:color="auto" w:fill="auto"/>
        </w:rPr>
      </w:pPr>
    </w:p>
    <w:p>
      <w:pPr>
        <w:keepNext w:val="0"/>
        <w:keepLines w:val="0"/>
        <w:pageBreakBefore w:val="0"/>
        <w:kinsoku/>
        <w:wordWrap/>
        <w:overflowPunct/>
        <w:topLinePunct w:val="0"/>
        <w:bidi w:val="0"/>
        <w:spacing w:line="560" w:lineRule="exact"/>
        <w:jc w:val="center"/>
        <w:rPr>
          <w:rFonts w:hint="eastAsia" w:ascii="方正小标宋_GBK" w:hAnsi="宋体" w:eastAsia="方正小标宋_GBK"/>
          <w:color w:val="auto"/>
          <w:sz w:val="44"/>
          <w:szCs w:val="44"/>
          <w:highlight w:val="none"/>
          <w:shd w:val="clear" w:color="auto" w:fill="auto"/>
        </w:rPr>
      </w:pPr>
    </w:p>
    <w:p>
      <w:pPr>
        <w:keepNext w:val="0"/>
        <w:keepLines w:val="0"/>
        <w:pageBreakBefore w:val="0"/>
        <w:kinsoku/>
        <w:wordWrap/>
        <w:overflowPunct/>
        <w:topLinePunct w:val="0"/>
        <w:bidi w:val="0"/>
        <w:spacing w:line="560" w:lineRule="exact"/>
        <w:jc w:val="center"/>
        <w:rPr>
          <w:rFonts w:hint="eastAsia" w:ascii="方正小标宋_GBK" w:hAnsi="宋体" w:eastAsia="方正小标宋_GBK"/>
          <w:color w:val="auto"/>
          <w:sz w:val="44"/>
          <w:szCs w:val="44"/>
          <w:highlight w:val="none"/>
          <w:shd w:val="clear" w:color="auto" w:fill="auto"/>
        </w:rPr>
      </w:pPr>
      <w:r>
        <w:rPr>
          <w:rFonts w:hint="eastAsia" w:ascii="方正小标宋_GBK" w:hAnsi="宋体" w:eastAsia="方正小标宋_GBK"/>
          <w:color w:val="auto"/>
          <w:spacing w:val="-20"/>
          <w:sz w:val="44"/>
          <w:szCs w:val="44"/>
          <w:highlight w:val="none"/>
          <w:shd w:val="clear" w:color="auto" w:fill="auto"/>
        </w:rPr>
        <w:t>国家税务总局</w:t>
      </w:r>
      <w:r>
        <w:rPr>
          <w:rFonts w:hint="eastAsia" w:ascii="方正小标宋_GBK" w:hAnsi="宋体" w:eastAsia="方正小标宋_GBK"/>
          <w:color w:val="auto"/>
          <w:spacing w:val="-20"/>
          <w:sz w:val="44"/>
          <w:szCs w:val="44"/>
          <w:highlight w:val="none"/>
          <w:shd w:val="clear" w:color="auto" w:fill="auto"/>
          <w:lang w:val="en-US" w:eastAsia="zh-CN"/>
        </w:rPr>
        <w:t>塔什库尔干塔吉克自治县税务局</w:t>
      </w:r>
      <w:r>
        <w:rPr>
          <w:rFonts w:hint="eastAsia" w:ascii="方正小标宋_GBK" w:hAnsi="宋体" w:eastAsia="方正小标宋_GBK"/>
          <w:color w:val="auto"/>
          <w:sz w:val="44"/>
          <w:szCs w:val="44"/>
          <w:highlight w:val="none"/>
          <w:shd w:val="clear" w:color="auto" w:fill="auto"/>
        </w:rPr>
        <w:t>2019年度部门决算公开</w:t>
      </w:r>
    </w:p>
    <w:p>
      <w:pPr>
        <w:keepNext w:val="0"/>
        <w:keepLines w:val="0"/>
        <w:pageBreakBefore w:val="0"/>
        <w:kinsoku/>
        <w:wordWrap/>
        <w:overflowPunct/>
        <w:topLinePunct w:val="0"/>
        <w:bidi w:val="0"/>
        <w:spacing w:line="560" w:lineRule="exact"/>
        <w:jc w:val="center"/>
        <w:rPr>
          <w:rFonts w:hint="eastAsia" w:ascii="仿宋_GB2312" w:hAnsi="仿宋_GB2312" w:eastAsia="仿宋_GB2312" w:cs="仿宋_GB2312"/>
          <w:bCs/>
          <w:color w:val="auto"/>
          <w:kern w:val="0"/>
          <w:sz w:val="32"/>
          <w:szCs w:val="32"/>
          <w:highlight w:val="none"/>
          <w:shd w:val="clear" w:color="auto" w:fill="auto"/>
        </w:rPr>
      </w:pPr>
      <w:r>
        <w:rPr>
          <w:rFonts w:hint="eastAsia" w:ascii="方正小标宋_GBK" w:hAnsi="宋体" w:eastAsia="方正小标宋_GBK"/>
          <w:color w:val="auto"/>
          <w:sz w:val="44"/>
          <w:szCs w:val="44"/>
          <w:highlight w:val="none"/>
          <w:shd w:val="clear" w:color="auto" w:fill="auto"/>
        </w:rPr>
        <w:br w:type="page"/>
      </w:r>
      <w:r>
        <w:rPr>
          <w:rFonts w:hint="eastAsia" w:ascii="仿宋_GB2312" w:hAnsi="仿宋_GB2312" w:eastAsia="仿宋_GB2312" w:cs="仿宋_GB2312"/>
          <w:b/>
          <w:color w:val="auto"/>
          <w:kern w:val="0"/>
          <w:sz w:val="36"/>
          <w:szCs w:val="36"/>
          <w:highlight w:val="none"/>
          <w:shd w:val="clear" w:color="auto" w:fill="auto"/>
        </w:rPr>
        <w:t>目  录</w:t>
      </w:r>
    </w:p>
    <w:p>
      <w:pPr>
        <w:pStyle w:val="4"/>
        <w:keepNext w:val="0"/>
        <w:keepLines w:val="0"/>
        <w:pageBreakBefore w:val="0"/>
        <w:tabs>
          <w:tab w:val="right" w:pos="8306"/>
        </w:tabs>
        <w:kinsoku/>
        <w:wordWrap/>
        <w:overflowPunct/>
        <w:topLinePunct w:val="0"/>
        <w:bidi w:val="0"/>
        <w:spacing w:line="560" w:lineRule="exact"/>
        <w:rPr>
          <w:rFonts w:hint="eastAsia" w:ascii="仿宋_GB2312" w:hAnsi="仿宋_GB2312" w:eastAsia="仿宋_GB2312" w:cs="仿宋_GB2312"/>
          <w:b/>
          <w:bCs/>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TOC \o "1-3" \n  \h \u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
          <w:bCs/>
          <w:color w:val="auto"/>
          <w:sz w:val="32"/>
          <w:szCs w:val="32"/>
          <w:highlight w:val="none"/>
          <w:shd w:val="clear" w:color="auto" w:fill="auto"/>
        </w:rPr>
        <w:fldChar w:fldCharType="begin"/>
      </w:r>
      <w:r>
        <w:rPr>
          <w:rFonts w:hint="eastAsia" w:ascii="仿宋_GB2312" w:hAnsi="仿宋_GB2312" w:eastAsia="仿宋_GB2312" w:cs="仿宋_GB2312"/>
          <w:b/>
          <w:bCs/>
          <w:color w:val="auto"/>
          <w:sz w:val="32"/>
          <w:szCs w:val="32"/>
          <w:highlight w:val="none"/>
          <w:shd w:val="clear" w:color="auto" w:fill="auto"/>
        </w:rPr>
        <w:instrText xml:space="preserve"> HYPERLINK \l _Toc32314 </w:instrText>
      </w:r>
      <w:r>
        <w:rPr>
          <w:rFonts w:hint="eastAsia" w:ascii="仿宋_GB2312" w:hAnsi="仿宋_GB2312" w:eastAsia="仿宋_GB2312" w:cs="仿宋_GB2312"/>
          <w:b/>
          <w:bCs/>
          <w:color w:val="auto"/>
          <w:sz w:val="32"/>
          <w:szCs w:val="32"/>
          <w:highlight w:val="none"/>
          <w:shd w:val="clear" w:color="auto" w:fill="auto"/>
        </w:rPr>
        <w:fldChar w:fldCharType="separate"/>
      </w:r>
      <w:r>
        <w:rPr>
          <w:rFonts w:hint="eastAsia" w:ascii="仿宋_GB2312" w:hAnsi="仿宋_GB2312" w:eastAsia="仿宋_GB2312" w:cs="仿宋_GB2312"/>
          <w:b/>
          <w:bCs/>
          <w:color w:val="auto"/>
          <w:sz w:val="32"/>
          <w:szCs w:val="32"/>
          <w:highlight w:val="none"/>
          <w:shd w:val="clear" w:color="auto" w:fill="auto"/>
        </w:rPr>
        <w:t xml:space="preserve">第一部分 </w:t>
      </w:r>
      <w:r>
        <w:rPr>
          <w:rFonts w:hint="eastAsia" w:ascii="仿宋_GB2312" w:hAnsi="仿宋_GB2312" w:eastAsia="仿宋_GB2312" w:cs="仿宋_GB2312"/>
          <w:b/>
          <w:bCs/>
          <w:color w:val="auto"/>
          <w:sz w:val="32"/>
          <w:szCs w:val="32"/>
          <w:highlight w:val="none"/>
          <w:shd w:val="clear" w:color="auto" w:fill="auto"/>
          <w:lang w:eastAsia="zh-CN"/>
        </w:rPr>
        <w:t>部门</w:t>
      </w:r>
      <w:r>
        <w:rPr>
          <w:rFonts w:hint="eastAsia" w:ascii="仿宋_GB2312" w:hAnsi="仿宋_GB2312" w:eastAsia="仿宋_GB2312" w:cs="仿宋_GB2312"/>
          <w:b/>
          <w:bCs/>
          <w:color w:val="auto"/>
          <w:sz w:val="32"/>
          <w:szCs w:val="32"/>
          <w:highlight w:val="none"/>
          <w:shd w:val="clear" w:color="auto" w:fill="auto"/>
        </w:rPr>
        <w:t>单位概况</w:t>
      </w:r>
      <w:r>
        <w:rPr>
          <w:rFonts w:hint="eastAsia" w:ascii="仿宋_GB2312" w:hAnsi="仿宋_GB2312" w:eastAsia="仿宋_GB2312" w:cs="仿宋_GB2312"/>
          <w:b/>
          <w:bCs/>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_Toc30567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一、主要职能</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_Toc2151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二、机构设置及人员情况</w:t>
      </w:r>
      <w:r>
        <w:rPr>
          <w:rFonts w:hint="eastAsia" w:ascii="仿宋_GB2312" w:hAnsi="仿宋_GB2312" w:eastAsia="仿宋_GB2312" w:cs="仿宋_GB2312"/>
          <w:color w:val="auto"/>
          <w:sz w:val="32"/>
          <w:szCs w:val="32"/>
          <w:highlight w:val="none"/>
          <w:shd w:val="clear" w:color="auto" w:fill="auto"/>
        </w:rPr>
        <w:fldChar w:fldCharType="end"/>
      </w:r>
    </w:p>
    <w:p>
      <w:pPr>
        <w:pStyle w:val="4"/>
        <w:keepNext w:val="0"/>
        <w:keepLines w:val="0"/>
        <w:pageBreakBefore w:val="0"/>
        <w:tabs>
          <w:tab w:val="right" w:pos="8306"/>
        </w:tabs>
        <w:kinsoku/>
        <w:wordWrap/>
        <w:overflowPunct/>
        <w:topLinePunct w:val="0"/>
        <w:bidi w:val="0"/>
        <w:spacing w:line="560" w:lineRule="exact"/>
        <w:rPr>
          <w:rFonts w:hint="eastAsia" w:ascii="仿宋_GB2312" w:hAnsi="仿宋_GB2312" w:eastAsia="仿宋_GB2312" w:cs="仿宋_GB2312"/>
          <w:b/>
          <w:bCs/>
          <w:color w:val="auto"/>
          <w:sz w:val="32"/>
          <w:szCs w:val="32"/>
          <w:highlight w:val="none"/>
          <w:shd w:val="clear" w:color="auto" w:fill="auto"/>
        </w:rPr>
      </w:pPr>
      <w:r>
        <w:rPr>
          <w:rFonts w:hint="eastAsia" w:ascii="仿宋_GB2312" w:hAnsi="仿宋_GB2312" w:eastAsia="仿宋_GB2312" w:cs="仿宋_GB2312"/>
          <w:b/>
          <w:bCs/>
          <w:color w:val="auto"/>
          <w:sz w:val="32"/>
          <w:szCs w:val="32"/>
          <w:highlight w:val="none"/>
          <w:shd w:val="clear" w:color="auto" w:fill="auto"/>
        </w:rPr>
        <w:fldChar w:fldCharType="begin"/>
      </w:r>
      <w:r>
        <w:rPr>
          <w:rFonts w:hint="eastAsia" w:ascii="仿宋_GB2312" w:hAnsi="仿宋_GB2312" w:eastAsia="仿宋_GB2312" w:cs="仿宋_GB2312"/>
          <w:b/>
          <w:bCs/>
          <w:color w:val="auto"/>
          <w:sz w:val="32"/>
          <w:szCs w:val="32"/>
          <w:highlight w:val="none"/>
          <w:shd w:val="clear" w:color="auto" w:fill="auto"/>
        </w:rPr>
        <w:instrText xml:space="preserve"> HYPERLINK \l _Toc29374 </w:instrText>
      </w:r>
      <w:r>
        <w:rPr>
          <w:rFonts w:hint="eastAsia" w:ascii="仿宋_GB2312" w:hAnsi="仿宋_GB2312" w:eastAsia="仿宋_GB2312" w:cs="仿宋_GB2312"/>
          <w:b/>
          <w:bCs/>
          <w:color w:val="auto"/>
          <w:sz w:val="32"/>
          <w:szCs w:val="32"/>
          <w:highlight w:val="none"/>
          <w:shd w:val="clear" w:color="auto" w:fill="auto"/>
        </w:rPr>
        <w:fldChar w:fldCharType="separate"/>
      </w:r>
      <w:r>
        <w:rPr>
          <w:rFonts w:hint="eastAsia" w:ascii="仿宋_GB2312" w:hAnsi="仿宋_GB2312" w:eastAsia="仿宋_GB2312" w:cs="仿宋_GB2312"/>
          <w:b/>
          <w:bCs/>
          <w:color w:val="auto"/>
          <w:sz w:val="32"/>
          <w:szCs w:val="32"/>
          <w:highlight w:val="none"/>
          <w:shd w:val="clear" w:color="auto" w:fill="auto"/>
        </w:rPr>
        <w:t>第二部分 部门决算情况说明</w:t>
      </w:r>
      <w:r>
        <w:rPr>
          <w:rFonts w:hint="eastAsia" w:ascii="仿宋_GB2312" w:hAnsi="仿宋_GB2312" w:eastAsia="仿宋_GB2312" w:cs="仿宋_GB2312"/>
          <w:b/>
          <w:bCs/>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_Toc25314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一、收入支出决算总体情况说明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_Toc12142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二、收入决算情况说明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_Toc13201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三、支出决算情况说明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_Toc26564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四、财政拨款收入支出决算总体情况说明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_Toc20360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五、一般公共预算财政拨款支出决算情况说明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_Toc30870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六、一般公共预算财政拨款基本支出决算情况说明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_Toc21518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七、一般公共预算财政拨款“三公”经费支出决算情况说明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_Toc5810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八、政府性基金预算收入支出决算情况说明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_Toc1235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九、其他重要事项的情况说明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2"/>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_Toc14519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color w:val="auto"/>
          <w:sz w:val="32"/>
          <w:szCs w:val="32"/>
          <w:highlight w:val="none"/>
          <w:shd w:val="clear" w:color="auto" w:fill="auto"/>
        </w:rPr>
        <w:t>（一）机关运行经费支出情况</w:t>
      </w:r>
      <w:r>
        <w:rPr>
          <w:rFonts w:hint="eastAsia" w:ascii="仿宋_GB2312" w:hAnsi="仿宋_GB2312" w:eastAsia="仿宋_GB2312" w:cs="仿宋_GB2312"/>
          <w:color w:val="auto"/>
          <w:sz w:val="32"/>
          <w:szCs w:val="32"/>
          <w:highlight w:val="none"/>
          <w:shd w:val="clear" w:color="auto" w:fill="auto"/>
        </w:rPr>
        <w:fldChar w:fldCharType="end"/>
      </w:r>
    </w:p>
    <w:p>
      <w:pPr>
        <w:pStyle w:val="2"/>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_Toc227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color w:val="auto"/>
          <w:sz w:val="32"/>
          <w:szCs w:val="32"/>
          <w:highlight w:val="none"/>
          <w:shd w:val="clear" w:color="auto" w:fill="auto"/>
        </w:rPr>
        <w:t>（二）政府采购情况</w:t>
      </w:r>
      <w:r>
        <w:rPr>
          <w:rFonts w:hint="eastAsia" w:ascii="仿宋_GB2312" w:hAnsi="仿宋_GB2312" w:eastAsia="仿宋_GB2312" w:cs="仿宋_GB2312"/>
          <w:color w:val="auto"/>
          <w:sz w:val="32"/>
          <w:szCs w:val="32"/>
          <w:highlight w:val="none"/>
          <w:shd w:val="clear" w:color="auto" w:fill="auto"/>
        </w:rPr>
        <w:fldChar w:fldCharType="end"/>
      </w:r>
    </w:p>
    <w:p>
      <w:pPr>
        <w:pStyle w:val="2"/>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_Toc8391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color w:val="auto"/>
          <w:sz w:val="32"/>
          <w:szCs w:val="32"/>
          <w:highlight w:val="none"/>
          <w:shd w:val="clear" w:color="auto" w:fill="auto"/>
        </w:rPr>
        <w:t>（三）国有资产占用情况说明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_Toc11283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十、预算绩效的情况说明</w:t>
      </w:r>
      <w:r>
        <w:rPr>
          <w:rFonts w:hint="eastAsia" w:ascii="仿宋_GB2312" w:hAnsi="仿宋_GB2312" w:eastAsia="仿宋_GB2312" w:cs="仿宋_GB2312"/>
          <w:color w:val="auto"/>
          <w:sz w:val="32"/>
          <w:szCs w:val="32"/>
          <w:highlight w:val="none"/>
          <w:shd w:val="clear" w:color="auto" w:fill="auto"/>
        </w:rPr>
        <w:fldChar w:fldCharType="end"/>
      </w:r>
    </w:p>
    <w:p>
      <w:pPr>
        <w:pStyle w:val="4"/>
        <w:keepNext w:val="0"/>
        <w:keepLines w:val="0"/>
        <w:pageBreakBefore w:val="0"/>
        <w:tabs>
          <w:tab w:val="right" w:pos="8306"/>
        </w:tabs>
        <w:kinsoku/>
        <w:wordWrap/>
        <w:overflowPunct/>
        <w:topLinePunct w:val="0"/>
        <w:bidi w:val="0"/>
        <w:spacing w:line="560" w:lineRule="exact"/>
        <w:rPr>
          <w:rFonts w:hint="eastAsia" w:ascii="仿宋_GB2312" w:hAnsi="仿宋_GB2312" w:eastAsia="仿宋_GB2312" w:cs="仿宋_GB2312"/>
          <w:b/>
          <w:bCs/>
          <w:color w:val="auto"/>
          <w:sz w:val="32"/>
          <w:szCs w:val="32"/>
          <w:highlight w:val="none"/>
          <w:shd w:val="clear" w:color="auto" w:fill="auto"/>
        </w:rPr>
      </w:pPr>
      <w:r>
        <w:rPr>
          <w:rFonts w:hint="eastAsia" w:ascii="仿宋_GB2312" w:hAnsi="仿宋_GB2312" w:eastAsia="仿宋_GB2312" w:cs="仿宋_GB2312"/>
          <w:b/>
          <w:bCs/>
          <w:color w:val="auto"/>
          <w:sz w:val="32"/>
          <w:szCs w:val="32"/>
          <w:highlight w:val="none"/>
          <w:shd w:val="clear" w:color="auto" w:fill="auto"/>
        </w:rPr>
        <w:fldChar w:fldCharType="begin"/>
      </w:r>
      <w:r>
        <w:rPr>
          <w:rFonts w:hint="eastAsia" w:ascii="仿宋_GB2312" w:hAnsi="仿宋_GB2312" w:eastAsia="仿宋_GB2312" w:cs="仿宋_GB2312"/>
          <w:b/>
          <w:bCs/>
          <w:color w:val="auto"/>
          <w:sz w:val="32"/>
          <w:szCs w:val="32"/>
          <w:highlight w:val="none"/>
          <w:shd w:val="clear" w:color="auto" w:fill="auto"/>
        </w:rPr>
        <w:instrText xml:space="preserve"> HYPERLINK \l _Toc3250 </w:instrText>
      </w:r>
      <w:r>
        <w:rPr>
          <w:rFonts w:hint="eastAsia" w:ascii="仿宋_GB2312" w:hAnsi="仿宋_GB2312" w:eastAsia="仿宋_GB2312" w:cs="仿宋_GB2312"/>
          <w:b/>
          <w:bCs/>
          <w:color w:val="auto"/>
          <w:sz w:val="32"/>
          <w:szCs w:val="32"/>
          <w:highlight w:val="none"/>
          <w:shd w:val="clear" w:color="auto" w:fill="auto"/>
        </w:rPr>
        <w:fldChar w:fldCharType="separate"/>
      </w:r>
      <w:r>
        <w:rPr>
          <w:rFonts w:hint="eastAsia" w:ascii="仿宋_GB2312" w:hAnsi="仿宋_GB2312" w:eastAsia="仿宋_GB2312" w:cs="仿宋_GB2312"/>
          <w:b/>
          <w:bCs/>
          <w:color w:val="auto"/>
          <w:sz w:val="32"/>
          <w:szCs w:val="32"/>
          <w:highlight w:val="none"/>
          <w:shd w:val="clear" w:color="auto" w:fill="auto"/>
        </w:rPr>
        <w:t>第三部分 专业名词解释</w:t>
      </w:r>
      <w:r>
        <w:rPr>
          <w:rFonts w:hint="eastAsia" w:ascii="仿宋_GB2312" w:hAnsi="仿宋_GB2312" w:eastAsia="仿宋_GB2312" w:cs="仿宋_GB2312"/>
          <w:b/>
          <w:bCs/>
          <w:color w:val="auto"/>
          <w:sz w:val="32"/>
          <w:szCs w:val="32"/>
          <w:highlight w:val="none"/>
          <w:shd w:val="clear" w:color="auto" w:fill="auto"/>
        </w:rPr>
        <w:fldChar w:fldCharType="end"/>
      </w:r>
    </w:p>
    <w:p>
      <w:pPr>
        <w:pStyle w:val="4"/>
        <w:keepNext w:val="0"/>
        <w:keepLines w:val="0"/>
        <w:pageBreakBefore w:val="0"/>
        <w:tabs>
          <w:tab w:val="right" w:pos="8306"/>
        </w:tabs>
        <w:kinsoku/>
        <w:wordWrap/>
        <w:overflowPunct/>
        <w:topLinePunct w:val="0"/>
        <w:bidi w:val="0"/>
        <w:spacing w:line="560" w:lineRule="exact"/>
        <w:rPr>
          <w:rFonts w:hint="eastAsia" w:ascii="仿宋_GB2312" w:hAnsi="仿宋_GB2312" w:eastAsia="仿宋_GB2312" w:cs="仿宋_GB2312"/>
          <w:b/>
          <w:bCs/>
          <w:color w:val="auto"/>
          <w:sz w:val="32"/>
          <w:szCs w:val="32"/>
          <w:highlight w:val="none"/>
          <w:shd w:val="clear" w:color="auto" w:fill="auto"/>
        </w:rPr>
      </w:pPr>
      <w:r>
        <w:rPr>
          <w:rFonts w:hint="eastAsia" w:ascii="仿宋_GB2312" w:hAnsi="仿宋_GB2312" w:eastAsia="仿宋_GB2312" w:cs="仿宋_GB2312"/>
          <w:b/>
          <w:bCs/>
          <w:color w:val="auto"/>
          <w:sz w:val="32"/>
          <w:szCs w:val="32"/>
          <w:highlight w:val="none"/>
          <w:shd w:val="clear" w:color="auto" w:fill="auto"/>
        </w:rPr>
        <w:fldChar w:fldCharType="begin"/>
      </w:r>
      <w:r>
        <w:rPr>
          <w:rFonts w:hint="eastAsia" w:ascii="仿宋_GB2312" w:hAnsi="仿宋_GB2312" w:eastAsia="仿宋_GB2312" w:cs="仿宋_GB2312"/>
          <w:b/>
          <w:bCs/>
          <w:color w:val="auto"/>
          <w:sz w:val="32"/>
          <w:szCs w:val="32"/>
          <w:highlight w:val="none"/>
          <w:shd w:val="clear" w:color="auto" w:fill="auto"/>
        </w:rPr>
        <w:instrText xml:space="preserve"> HYPERLINK \l _Toc22784 </w:instrText>
      </w:r>
      <w:r>
        <w:rPr>
          <w:rFonts w:hint="eastAsia" w:ascii="仿宋_GB2312" w:hAnsi="仿宋_GB2312" w:eastAsia="仿宋_GB2312" w:cs="仿宋_GB2312"/>
          <w:b/>
          <w:bCs/>
          <w:color w:val="auto"/>
          <w:sz w:val="32"/>
          <w:szCs w:val="32"/>
          <w:highlight w:val="none"/>
          <w:shd w:val="clear" w:color="auto" w:fill="auto"/>
        </w:rPr>
        <w:fldChar w:fldCharType="separate"/>
      </w:r>
      <w:r>
        <w:rPr>
          <w:rFonts w:hint="eastAsia" w:ascii="仿宋_GB2312" w:hAnsi="仿宋_GB2312" w:eastAsia="仿宋_GB2312" w:cs="仿宋_GB2312"/>
          <w:b/>
          <w:bCs/>
          <w:color w:val="auto"/>
          <w:sz w:val="32"/>
          <w:szCs w:val="32"/>
          <w:highlight w:val="none"/>
          <w:shd w:val="clear" w:color="auto" w:fill="auto"/>
        </w:rPr>
        <w:t>第四部分 部门决算报表（见附表）</w:t>
      </w:r>
      <w:r>
        <w:rPr>
          <w:rFonts w:hint="eastAsia" w:ascii="仿宋_GB2312" w:hAnsi="仿宋_GB2312" w:eastAsia="仿宋_GB2312" w:cs="仿宋_GB2312"/>
          <w:b/>
          <w:bCs/>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_Toc2183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一、《收入支出决算总表》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_Toc24532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二、《收入决算表》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_Toc32434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三、《支出决算表》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_Toc28786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四、《财政拨款收入支出决算总表》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_Toc14869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五、《一般公共预算财政拨款支出决算表》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_Toc8884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六、《一般公共预算财政拨款基本支出决算表》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_Toc29106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七、《一般公共预算财政拨款“三公”经费支出决算表》</w:t>
      </w:r>
      <w:r>
        <w:rPr>
          <w:rFonts w:hint="eastAsia" w:ascii="仿宋_GB2312" w:hAnsi="仿宋_GB2312" w:eastAsia="仿宋_GB2312" w:cs="仿宋_GB2312"/>
          <w:color w:val="auto"/>
          <w:sz w:val="32"/>
          <w:szCs w:val="32"/>
          <w:highlight w:val="none"/>
          <w:shd w:val="clear" w:color="auto" w:fill="auto"/>
        </w:rPr>
        <w:fldChar w:fldCharType="end"/>
      </w:r>
    </w:p>
    <w:p>
      <w:pPr>
        <w:pStyle w:val="5"/>
        <w:keepNext w:val="0"/>
        <w:keepLines w:val="0"/>
        <w:pageBreakBefore w:val="0"/>
        <w:tabs>
          <w:tab w:val="right" w:pos="8306"/>
        </w:tabs>
        <w:kinsoku/>
        <w:wordWrap/>
        <w:overflowPunct/>
        <w:topLinePunct w:val="0"/>
        <w:bidi w:val="0"/>
        <w:spacing w:line="560" w:lineRule="exact"/>
        <w:ind w:left="0" w:leftChars="0"/>
        <w:rPr>
          <w:rFonts w:hint="eastAsia" w:ascii="仿宋_GB2312" w:hAnsi="仿宋_GB2312" w:eastAsia="仿宋_GB2312" w:cs="仿宋_GB2312"/>
          <w:color w:val="auto"/>
          <w:sz w:val="32"/>
          <w:szCs w:val="32"/>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begin"/>
      </w:r>
      <w:r>
        <w:rPr>
          <w:rFonts w:hint="eastAsia" w:ascii="仿宋_GB2312" w:hAnsi="仿宋_GB2312" w:eastAsia="仿宋_GB2312" w:cs="仿宋_GB2312"/>
          <w:color w:val="auto"/>
          <w:sz w:val="32"/>
          <w:szCs w:val="32"/>
          <w:highlight w:val="none"/>
          <w:shd w:val="clear" w:color="auto" w:fill="auto"/>
        </w:rPr>
        <w:instrText xml:space="preserve"> HYPERLINK \l _Toc7643 </w:instrText>
      </w:r>
      <w:r>
        <w:rPr>
          <w:rFonts w:hint="eastAsia" w:ascii="仿宋_GB2312" w:hAnsi="仿宋_GB2312" w:eastAsia="仿宋_GB2312" w:cs="仿宋_GB2312"/>
          <w:color w:val="auto"/>
          <w:sz w:val="32"/>
          <w:szCs w:val="32"/>
          <w:highlight w:val="none"/>
          <w:shd w:val="clear" w:color="auto" w:fill="auto"/>
        </w:rPr>
        <w:fldChar w:fldCharType="separate"/>
      </w:r>
      <w:r>
        <w:rPr>
          <w:rFonts w:hint="eastAsia" w:ascii="仿宋_GB2312" w:hAnsi="仿宋_GB2312" w:eastAsia="仿宋_GB2312" w:cs="仿宋_GB2312"/>
          <w:bCs/>
          <w:color w:val="auto"/>
          <w:kern w:val="0"/>
          <w:sz w:val="32"/>
          <w:szCs w:val="32"/>
          <w:highlight w:val="none"/>
          <w:shd w:val="clear" w:color="auto" w:fill="auto"/>
        </w:rPr>
        <w:t>八、《政府性基金预算财政拨款收入支出决算表》</w:t>
      </w:r>
      <w:r>
        <w:rPr>
          <w:rFonts w:hint="eastAsia" w:ascii="仿宋_GB2312" w:hAnsi="仿宋_GB2312" w:eastAsia="仿宋_GB2312" w:cs="仿宋_GB2312"/>
          <w:color w:val="auto"/>
          <w:sz w:val="32"/>
          <w:szCs w:val="32"/>
          <w:highlight w:val="none"/>
          <w:shd w:val="clear" w:color="auto" w:fill="auto"/>
        </w:rPr>
        <w:fldChar w:fldCharType="end"/>
      </w:r>
    </w:p>
    <w:p>
      <w:pPr>
        <w:keepNext w:val="0"/>
        <w:keepLines w:val="0"/>
        <w:pageBreakBefore w:val="0"/>
        <w:kinsoku/>
        <w:wordWrap/>
        <w:overflowPunct/>
        <w:topLinePunct w:val="0"/>
        <w:bidi w:val="0"/>
        <w:spacing w:line="560" w:lineRule="exact"/>
        <w:rPr>
          <w:color w:val="auto"/>
          <w:highlight w:val="none"/>
          <w:shd w:val="clear" w:color="auto" w:fill="auto"/>
        </w:rPr>
      </w:pPr>
      <w:r>
        <w:rPr>
          <w:rFonts w:hint="eastAsia" w:ascii="仿宋_GB2312" w:hAnsi="仿宋_GB2312" w:eastAsia="仿宋_GB2312" w:cs="仿宋_GB2312"/>
          <w:color w:val="auto"/>
          <w:sz w:val="32"/>
          <w:szCs w:val="32"/>
          <w:highlight w:val="none"/>
          <w:shd w:val="clear" w:color="auto" w:fill="auto"/>
        </w:rPr>
        <w:fldChar w:fldCharType="end"/>
      </w:r>
    </w:p>
    <w:p>
      <w:pPr>
        <w:keepNext w:val="0"/>
        <w:keepLines w:val="0"/>
        <w:pageBreakBefore w:val="0"/>
        <w:kinsoku/>
        <w:wordWrap/>
        <w:overflowPunct/>
        <w:topLinePunct w:val="0"/>
        <w:bidi w:val="0"/>
        <w:spacing w:line="560" w:lineRule="exact"/>
        <w:jc w:val="center"/>
        <w:outlineLvl w:val="0"/>
        <w:rPr>
          <w:rFonts w:hint="eastAsia" w:ascii="黑体" w:hAnsi="黑体" w:eastAsia="黑体"/>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br w:type="page"/>
      </w:r>
      <w:bookmarkStart w:id="0" w:name="_Toc32314"/>
      <w:bookmarkStart w:id="1" w:name="_Toc24028"/>
      <w:r>
        <w:rPr>
          <w:rFonts w:hint="eastAsia" w:ascii="黑体" w:hAnsi="黑体" w:eastAsia="黑体"/>
          <w:color w:val="auto"/>
          <w:sz w:val="32"/>
          <w:szCs w:val="32"/>
          <w:highlight w:val="none"/>
          <w:shd w:val="clear" w:color="auto" w:fill="auto"/>
        </w:rPr>
        <w:t xml:space="preserve">第一部分 </w:t>
      </w:r>
      <w:r>
        <w:rPr>
          <w:rFonts w:hint="eastAsia" w:ascii="黑体" w:hAnsi="黑体" w:eastAsia="黑体"/>
          <w:color w:val="auto"/>
          <w:sz w:val="32"/>
          <w:szCs w:val="32"/>
          <w:highlight w:val="none"/>
          <w:shd w:val="clear" w:color="auto" w:fill="auto"/>
          <w:lang w:eastAsia="zh-CN"/>
        </w:rPr>
        <w:t>部门单</w:t>
      </w:r>
      <w:r>
        <w:rPr>
          <w:rFonts w:hint="eastAsia" w:ascii="黑体" w:hAnsi="黑体" w:eastAsia="黑体"/>
          <w:color w:val="auto"/>
          <w:sz w:val="32"/>
          <w:szCs w:val="32"/>
          <w:highlight w:val="none"/>
          <w:shd w:val="clear" w:color="auto" w:fill="auto"/>
        </w:rPr>
        <w:t>位概况</w:t>
      </w:r>
      <w:bookmarkEnd w:id="0"/>
      <w:bookmarkEnd w:id="1"/>
    </w:p>
    <w:p>
      <w:pPr>
        <w:keepNext w:val="0"/>
        <w:keepLines w:val="0"/>
        <w:pageBreakBefore w:val="0"/>
        <w:kinsoku/>
        <w:wordWrap/>
        <w:overflowPunct/>
        <w:topLinePunct w:val="0"/>
        <w:bidi w:val="0"/>
        <w:spacing w:line="560" w:lineRule="exact"/>
        <w:ind w:firstLine="640" w:firstLineChars="200"/>
        <w:outlineLvl w:val="1"/>
        <w:rPr>
          <w:rFonts w:ascii="黑体" w:hAnsi="黑体" w:eastAsia="黑体" w:cs="宋体"/>
          <w:bCs/>
          <w:color w:val="auto"/>
          <w:kern w:val="0"/>
          <w:sz w:val="32"/>
          <w:szCs w:val="32"/>
          <w:highlight w:val="none"/>
          <w:shd w:val="clear" w:color="auto" w:fill="auto"/>
        </w:rPr>
      </w:pPr>
      <w:bookmarkStart w:id="2" w:name="_Toc30567"/>
      <w:bookmarkStart w:id="3" w:name="_Toc30738"/>
    </w:p>
    <w:p>
      <w:pPr>
        <w:keepNext w:val="0"/>
        <w:keepLines w:val="0"/>
        <w:pageBreakBefore w:val="0"/>
        <w:widowControl/>
        <w:numPr>
          <w:ilvl w:val="0"/>
          <w:numId w:val="1"/>
        </w:numPr>
        <w:kinsoku/>
        <w:wordWrap/>
        <w:overflowPunct/>
        <w:topLinePunct w:val="0"/>
        <w:bidi w:val="0"/>
        <w:adjustRightInd w:val="0"/>
        <w:snapToGrid w:val="0"/>
        <w:spacing w:line="560" w:lineRule="exact"/>
        <w:ind w:left="319" w:leftChars="152" w:firstLine="320" w:firstLineChars="100"/>
        <w:textAlignment w:val="auto"/>
        <w:outlineLvl w:val="1"/>
        <w:rPr>
          <w:rFonts w:hint="eastAsia" w:ascii="黑体" w:hAnsi="黑体" w:eastAsia="黑体" w:cs="宋体"/>
          <w:bCs/>
          <w:color w:val="auto"/>
          <w:kern w:val="0"/>
          <w:sz w:val="32"/>
          <w:szCs w:val="32"/>
          <w:highlight w:val="none"/>
          <w:shd w:val="clear" w:color="auto" w:fill="auto"/>
        </w:rPr>
      </w:pPr>
      <w:r>
        <w:rPr>
          <w:rFonts w:hint="eastAsia" w:ascii="黑体" w:hAnsi="黑体" w:eastAsia="黑体" w:cs="宋体"/>
          <w:bCs/>
          <w:color w:val="auto"/>
          <w:kern w:val="0"/>
          <w:sz w:val="32"/>
          <w:szCs w:val="32"/>
          <w:highlight w:val="none"/>
          <w:shd w:val="clear" w:color="auto" w:fill="auto"/>
        </w:rPr>
        <w:t>主要职能</w:t>
      </w:r>
      <w:bookmarkEnd w:id="2"/>
      <w:bookmarkEnd w:id="3"/>
      <w:bookmarkStart w:id="4" w:name="_Toc31238"/>
      <w:bookmarkStart w:id="5" w:name="_Toc2151"/>
    </w:p>
    <w:p>
      <w:pPr>
        <w:keepNext w:val="0"/>
        <w:keepLines w:val="0"/>
        <w:pageBreakBefore w:val="0"/>
        <w:widowControl/>
        <w:numPr>
          <w:ilvl w:val="0"/>
          <w:numId w:val="0"/>
        </w:numPr>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负责贯彻执行党的路线、方针、政策，加强党的全面领导，履行全面从严治党责任，负责党的建设和思想政治建设工作。</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负责贯彻执行税收、保社会保险费和有关非税收入法律、法规、规章和规范性文件，研究制定具体实施办法。组织落实国家规定的税收优惠政策。</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税收、社会保险费和有关非税收入的会统核算工作。组织开展收入分析预测。</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负责开展税收经济分析和税收政策效应分析，为</w:t>
      </w:r>
      <w:r>
        <w:rPr>
          <w:rFonts w:hint="eastAsia" w:ascii="仿宋_GB2312" w:hAnsi="宋体" w:eastAsia="仿宋_GB2312"/>
          <w:color w:val="auto"/>
          <w:kern w:val="0"/>
          <w:sz w:val="32"/>
          <w:szCs w:val="32"/>
          <w:highlight w:val="none"/>
          <w:shd w:val="clear" w:color="auto" w:fill="auto"/>
          <w:lang w:eastAsia="zh-CN"/>
        </w:rPr>
        <w:t>国家税务总局喀什地区税务局</w:t>
      </w:r>
      <w:r>
        <w:rPr>
          <w:rFonts w:hint="eastAsia" w:ascii="仿宋_GB2312" w:hAnsi="宋体" w:eastAsia="仿宋_GB2312"/>
          <w:color w:val="auto"/>
          <w:kern w:val="0"/>
          <w:sz w:val="32"/>
          <w:szCs w:val="32"/>
          <w:highlight w:val="none"/>
          <w:shd w:val="clear" w:color="auto" w:fill="auto"/>
        </w:rPr>
        <w:t>和</w:t>
      </w:r>
      <w:r>
        <w:rPr>
          <w:rFonts w:hint="eastAsia" w:ascii="仿宋_GB2312" w:hAnsi="宋体" w:eastAsia="仿宋_GB2312"/>
          <w:color w:val="auto"/>
          <w:kern w:val="0"/>
          <w:sz w:val="32"/>
          <w:szCs w:val="32"/>
          <w:highlight w:val="none"/>
          <w:shd w:val="clear" w:color="auto" w:fill="auto"/>
          <w:lang w:eastAsia="zh-CN"/>
        </w:rPr>
        <w:t>塔什库尔干塔吉克自治县</w:t>
      </w:r>
      <w:r>
        <w:rPr>
          <w:rFonts w:hint="eastAsia" w:ascii="仿宋_GB2312" w:hAnsi="宋体" w:eastAsia="仿宋_GB2312"/>
          <w:color w:val="auto"/>
          <w:kern w:val="0"/>
          <w:sz w:val="32"/>
          <w:szCs w:val="32"/>
          <w:highlight w:val="none"/>
          <w:shd w:val="clear" w:color="auto" w:fill="auto"/>
        </w:rPr>
        <w:t>党委、政府提供决策参考。</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负责所辖区域内各项税收、社会保险费和有关非税收入征收管理。组织实施税（费）源监控和风险管理，加强大企业和自然人税收管理。</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负责组织实施本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税收、社会保险费和有关非税收入服务体系建设。组织开展纳税服务、税收宣传工作，保护纳税人、缴费人合法权益。承担涉及税收、社会保险费和有关非税收入的行政处罚听证、行政复议和行政诉讼事项。</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负责所辖区域内国际税收和进出口税收管理工作，组织反避税调查和出口退税事项办理。</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负责组织实施所辖区域内税务稽查和社会保险费、有关非税收入检查工作。</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负责增值税专用发票、普通发票和其他各类发票管理。负责税收、社会保险费和有关非税收入票证管理。</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负责组织实施本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各项税收、社会保险费和有关非税收入征管信息化建设和数据治理工作。</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内部控制机制建设工作，开展对本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贯彻执行党中央、国务院重大决策及上级工作部署情况的督查督办，组织实施税收执行法督察。</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基层建设和队伍建设工作，加强领导班子和后备干部队伍建设，承担税务人才培养和干部教育培训工作。负责本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绩效管理和干部考核工作。</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ascii="仿宋_GB2312" w:hAnsi="宋体" w:eastAsia="仿宋_GB2312"/>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负责本</w:t>
      </w:r>
      <w:r>
        <w:rPr>
          <w:rFonts w:hint="eastAsia" w:ascii="仿宋_GB2312" w:hAnsi="宋体" w:eastAsia="仿宋_GB2312"/>
          <w:color w:val="auto"/>
          <w:kern w:val="0"/>
          <w:sz w:val="32"/>
          <w:szCs w:val="32"/>
          <w:highlight w:val="none"/>
          <w:shd w:val="clear" w:color="auto" w:fill="auto"/>
          <w:lang w:eastAsia="zh-CN"/>
        </w:rPr>
        <w:t>单位</w:t>
      </w:r>
      <w:r>
        <w:rPr>
          <w:rFonts w:hint="eastAsia" w:ascii="仿宋_GB2312" w:hAnsi="宋体" w:eastAsia="仿宋_GB2312"/>
          <w:color w:val="auto"/>
          <w:kern w:val="0"/>
          <w:sz w:val="32"/>
          <w:szCs w:val="32"/>
          <w:highlight w:val="none"/>
          <w:shd w:val="clear" w:color="auto" w:fill="auto"/>
        </w:rPr>
        <w:t>机构、编制、经费和资产管理工作。</w:t>
      </w:r>
    </w:p>
    <w:p>
      <w:pPr>
        <w:keepNext w:val="0"/>
        <w:keepLines w:val="0"/>
        <w:pageBreakBefore w:val="0"/>
        <w:widowControl/>
        <w:kinsoku/>
        <w:wordWrap/>
        <w:overflowPunct/>
        <w:topLinePunct w:val="0"/>
        <w:bidi w:val="0"/>
        <w:adjustRightInd w:val="0"/>
        <w:snapToGrid w:val="0"/>
        <w:spacing w:line="560" w:lineRule="exact"/>
        <w:ind w:firstLine="640" w:firstLineChars="200"/>
        <w:textAlignment w:val="auto"/>
        <w:outlineLvl w:val="1"/>
        <w:rPr>
          <w:rFonts w:hint="eastAsia" w:ascii="楷体_GB2312" w:hAnsi="楷体_GB2312" w:eastAsia="楷体_GB2312" w:cs="楷体_GB2312"/>
          <w:b/>
          <w:bCs/>
          <w:color w:val="auto"/>
          <w:kern w:val="0"/>
          <w:sz w:val="32"/>
          <w:szCs w:val="32"/>
          <w:highlight w:val="none"/>
          <w:shd w:val="clear" w:color="auto" w:fill="auto"/>
        </w:rPr>
      </w:pPr>
      <w:r>
        <w:rPr>
          <w:rFonts w:hint="eastAsia" w:ascii="仿宋_GB2312" w:hAnsi="宋体" w:eastAsia="仿宋_GB2312"/>
          <w:color w:val="auto"/>
          <w:kern w:val="0"/>
          <w:sz w:val="32"/>
          <w:szCs w:val="32"/>
          <w:highlight w:val="none"/>
          <w:shd w:val="clear" w:color="auto" w:fill="auto"/>
        </w:rPr>
        <w:t>完成</w:t>
      </w:r>
      <w:r>
        <w:rPr>
          <w:rFonts w:hint="eastAsia" w:ascii="仿宋_GB2312" w:hAnsi="宋体" w:eastAsia="仿宋_GB2312"/>
          <w:color w:val="auto"/>
          <w:kern w:val="0"/>
          <w:sz w:val="32"/>
          <w:szCs w:val="32"/>
          <w:highlight w:val="none"/>
          <w:shd w:val="clear" w:color="auto" w:fill="auto"/>
          <w:lang w:eastAsia="zh-CN"/>
        </w:rPr>
        <w:t>国家税务总局喀什地区税务局</w:t>
      </w:r>
      <w:r>
        <w:rPr>
          <w:rFonts w:hint="eastAsia" w:ascii="仿宋_GB2312" w:hAnsi="宋体" w:eastAsia="仿宋_GB2312"/>
          <w:color w:val="auto"/>
          <w:kern w:val="0"/>
          <w:sz w:val="32"/>
          <w:szCs w:val="32"/>
          <w:highlight w:val="none"/>
          <w:shd w:val="clear" w:color="auto" w:fill="auto"/>
        </w:rPr>
        <w:t>和</w:t>
      </w:r>
      <w:r>
        <w:rPr>
          <w:rFonts w:hint="eastAsia" w:ascii="仿宋_GB2312" w:hAnsi="宋体" w:eastAsia="仿宋_GB2312"/>
          <w:color w:val="auto"/>
          <w:kern w:val="0"/>
          <w:sz w:val="32"/>
          <w:szCs w:val="32"/>
          <w:highlight w:val="none"/>
          <w:shd w:val="clear" w:color="auto" w:fill="auto"/>
          <w:lang w:eastAsia="zh-CN"/>
        </w:rPr>
        <w:t>塔什库尔干塔吉克自治县</w:t>
      </w:r>
      <w:r>
        <w:rPr>
          <w:rFonts w:hint="eastAsia" w:ascii="仿宋_GB2312" w:hAnsi="宋体" w:eastAsia="仿宋_GB2312"/>
          <w:color w:val="auto"/>
          <w:kern w:val="0"/>
          <w:sz w:val="32"/>
          <w:szCs w:val="32"/>
          <w:highlight w:val="none"/>
          <w:shd w:val="clear" w:color="auto" w:fill="auto"/>
        </w:rPr>
        <w:t>党委、政府交办的其他工作。</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r>
        <w:rPr>
          <w:rFonts w:hint="eastAsia" w:ascii="黑体" w:hAnsi="黑体" w:eastAsia="黑体" w:cs="宋体"/>
          <w:bCs/>
          <w:color w:val="auto"/>
          <w:kern w:val="0"/>
          <w:sz w:val="32"/>
          <w:szCs w:val="32"/>
          <w:highlight w:val="none"/>
          <w:shd w:val="clear" w:color="auto" w:fill="auto"/>
        </w:rPr>
        <w:t>二、机构设置及</w:t>
      </w:r>
      <w:bookmarkEnd w:id="4"/>
      <w:r>
        <w:rPr>
          <w:rFonts w:hint="eastAsia" w:ascii="黑体" w:hAnsi="黑体" w:eastAsia="黑体" w:cs="宋体"/>
          <w:bCs/>
          <w:color w:val="auto"/>
          <w:kern w:val="0"/>
          <w:sz w:val="32"/>
          <w:szCs w:val="32"/>
          <w:highlight w:val="none"/>
          <w:shd w:val="clear" w:color="auto" w:fill="auto"/>
        </w:rPr>
        <w:t>人员情况</w:t>
      </w:r>
      <w:bookmarkEnd w:id="5"/>
    </w:p>
    <w:p>
      <w:pPr>
        <w:keepNext w:val="0"/>
        <w:keepLines w:val="0"/>
        <w:pageBreakBefore w:val="0"/>
        <w:kinsoku/>
        <w:wordWrap/>
        <w:overflowPunct/>
        <w:topLinePunct w:val="0"/>
        <w:bidi w:val="0"/>
        <w:adjustRightInd w:val="0"/>
        <w:snapToGrid w:val="0"/>
        <w:spacing w:line="560" w:lineRule="exact"/>
        <w:ind w:firstLine="640" w:firstLineChars="200"/>
        <w:textAlignment w:val="auto"/>
        <w:rPr>
          <w:rFonts w:hint="eastAsia" w:ascii="仿宋_GB2312" w:eastAsia="仿宋_GB2312" w:cs="仿宋_GB2312" w:hAnsiTheme="minorHAnsi"/>
          <w:color w:val="auto"/>
          <w:kern w:val="0"/>
          <w:sz w:val="32"/>
          <w:szCs w:val="32"/>
          <w:highlight w:val="none"/>
          <w:shd w:val="clear" w:color="auto" w:fill="auto"/>
        </w:rPr>
      </w:pPr>
      <w:bookmarkStart w:id="6" w:name="_Toc29374"/>
      <w:bookmarkStart w:id="7" w:name="_Toc3092"/>
      <w:r>
        <w:rPr>
          <w:rFonts w:hint="eastAsia" w:ascii="仿宋_GB2312" w:eastAsia="仿宋_GB2312" w:cs="仿宋_GB2312" w:hAnsiTheme="minorHAnsi"/>
          <w:color w:val="auto"/>
          <w:kern w:val="0"/>
          <w:sz w:val="32"/>
          <w:szCs w:val="32"/>
          <w:highlight w:val="none"/>
          <w:shd w:val="clear" w:color="auto" w:fill="auto"/>
          <w:lang w:eastAsia="zh-CN"/>
        </w:rPr>
        <w:t>国家税务总局塔什库尔干塔吉克自治县税务局</w:t>
      </w:r>
      <w:r>
        <w:rPr>
          <w:rFonts w:hint="eastAsia" w:ascii="仿宋_GB2312" w:eastAsia="仿宋_GB2312" w:cs="仿宋_GB2312" w:hAnsiTheme="minorHAnsi"/>
          <w:color w:val="auto"/>
          <w:kern w:val="0"/>
          <w:sz w:val="32"/>
          <w:szCs w:val="32"/>
          <w:highlight w:val="none"/>
          <w:shd w:val="clear" w:color="auto" w:fill="auto"/>
          <w:lang w:val="en-US" w:eastAsia="zh-CN"/>
        </w:rPr>
        <w:t>2019年度，</w:t>
      </w:r>
      <w:r>
        <w:rPr>
          <w:rFonts w:hint="eastAsia" w:ascii="仿宋_GB2312" w:eastAsia="仿宋_GB2312" w:cs="仿宋_GB2312" w:hAnsiTheme="minorHAnsi"/>
          <w:color w:val="auto"/>
          <w:kern w:val="0"/>
          <w:sz w:val="32"/>
          <w:szCs w:val="32"/>
          <w:highlight w:val="none"/>
          <w:shd w:val="clear" w:color="auto" w:fill="auto"/>
        </w:rPr>
        <w:t>实有人数</w:t>
      </w:r>
      <w:r>
        <w:rPr>
          <w:rFonts w:hint="eastAsia" w:ascii="仿宋_GB2312" w:eastAsia="仿宋_GB2312" w:cs="仿宋_GB2312" w:hAnsiTheme="minorHAnsi"/>
          <w:color w:val="auto"/>
          <w:kern w:val="0"/>
          <w:sz w:val="32"/>
          <w:szCs w:val="32"/>
          <w:highlight w:val="none"/>
          <w:shd w:val="clear" w:color="auto" w:fill="auto"/>
          <w:lang w:val="en-US" w:eastAsia="zh-CN"/>
        </w:rPr>
        <w:t>55</w:t>
      </w:r>
      <w:r>
        <w:rPr>
          <w:rFonts w:hint="eastAsia" w:ascii="仿宋_GB2312" w:eastAsia="仿宋_GB2312" w:cs="仿宋_GB2312" w:hAnsiTheme="minorHAnsi"/>
          <w:color w:val="auto"/>
          <w:kern w:val="0"/>
          <w:sz w:val="32"/>
          <w:szCs w:val="32"/>
          <w:highlight w:val="none"/>
          <w:shd w:val="clear" w:color="auto" w:fill="auto"/>
        </w:rPr>
        <w:t>人，其中：在职</w:t>
      </w:r>
      <w:r>
        <w:rPr>
          <w:rFonts w:hint="eastAsia" w:ascii="仿宋_GB2312" w:eastAsia="仿宋_GB2312" w:cs="仿宋_GB2312" w:hAnsiTheme="minorHAnsi"/>
          <w:color w:val="auto"/>
          <w:kern w:val="0"/>
          <w:sz w:val="32"/>
          <w:szCs w:val="32"/>
          <w:highlight w:val="none"/>
          <w:shd w:val="clear" w:color="auto" w:fill="auto"/>
          <w:lang w:val="en-US" w:eastAsia="zh-CN"/>
        </w:rPr>
        <w:t>37</w:t>
      </w:r>
      <w:r>
        <w:rPr>
          <w:rFonts w:hint="eastAsia" w:ascii="仿宋_GB2312" w:eastAsia="仿宋_GB2312" w:cs="仿宋_GB2312" w:hAnsiTheme="minorHAnsi"/>
          <w:color w:val="auto"/>
          <w:kern w:val="0"/>
          <w:sz w:val="32"/>
          <w:szCs w:val="32"/>
          <w:highlight w:val="none"/>
          <w:shd w:val="clear" w:color="auto" w:fill="auto"/>
        </w:rPr>
        <w:t>人，退休</w:t>
      </w:r>
      <w:r>
        <w:rPr>
          <w:rFonts w:hint="eastAsia" w:ascii="仿宋_GB2312" w:eastAsia="仿宋_GB2312" w:cs="仿宋_GB2312" w:hAnsiTheme="minorHAnsi"/>
          <w:color w:val="auto"/>
          <w:kern w:val="0"/>
          <w:sz w:val="32"/>
          <w:szCs w:val="32"/>
          <w:highlight w:val="none"/>
          <w:shd w:val="clear" w:color="auto" w:fill="auto"/>
          <w:lang w:val="en-US" w:eastAsia="zh-CN"/>
        </w:rPr>
        <w:t>18</w:t>
      </w:r>
      <w:r>
        <w:rPr>
          <w:rFonts w:hint="eastAsia" w:ascii="仿宋_GB2312" w:eastAsia="仿宋_GB2312" w:cs="仿宋_GB2312" w:hAnsiTheme="minorHAnsi"/>
          <w:color w:val="auto"/>
          <w:kern w:val="0"/>
          <w:sz w:val="32"/>
          <w:szCs w:val="32"/>
          <w:highlight w:val="none"/>
          <w:shd w:val="clear" w:color="auto" w:fill="auto"/>
        </w:rPr>
        <w:t>人。</w:t>
      </w:r>
    </w:p>
    <w:p>
      <w:pPr>
        <w:pStyle w:val="8"/>
        <w:keepNext w:val="0"/>
        <w:keepLines w:val="0"/>
        <w:pageBreakBefore w:val="0"/>
        <w:kinsoku/>
        <w:wordWrap/>
        <w:overflowPunct/>
        <w:topLinePunct w:val="0"/>
        <w:bidi w:val="0"/>
        <w:snapToGrid w:val="0"/>
        <w:spacing w:line="560" w:lineRule="exact"/>
        <w:ind w:firstLine="640" w:firstLineChars="200"/>
        <w:textAlignment w:val="auto"/>
        <w:rPr>
          <w:rFonts w:hint="eastAsia"/>
          <w:sz w:val="32"/>
          <w:szCs w:val="32"/>
          <w:lang w:eastAsia="zh-CN"/>
        </w:rPr>
      </w:pPr>
      <w:r>
        <w:rPr>
          <w:rFonts w:hint="eastAsia" w:ascii="仿宋_GB2312" w:eastAsia="仿宋_GB2312"/>
          <w:sz w:val="32"/>
          <w:szCs w:val="32"/>
        </w:rPr>
        <w:t>从部门决算单位构成看，</w:t>
      </w:r>
      <w:r>
        <w:rPr>
          <w:rFonts w:hint="eastAsia"/>
          <w:color w:val="auto"/>
          <w:sz w:val="32"/>
          <w:szCs w:val="32"/>
          <w:highlight w:val="none"/>
          <w:shd w:val="clear" w:color="auto" w:fill="auto"/>
          <w:lang w:eastAsia="zh-CN"/>
        </w:rPr>
        <w:t>国家税务总局塔什库尔干塔吉克自治县税务局</w:t>
      </w:r>
      <w:r>
        <w:rPr>
          <w:rFonts w:hint="eastAsia" w:ascii="仿宋_GB2312" w:eastAsia="仿宋_GB2312"/>
          <w:sz w:val="32"/>
          <w:szCs w:val="32"/>
        </w:rPr>
        <w:t>决算包括：</w:t>
      </w:r>
      <w:r>
        <w:rPr>
          <w:rFonts w:hint="eastAsia"/>
          <w:color w:val="auto"/>
          <w:sz w:val="32"/>
          <w:szCs w:val="32"/>
          <w:highlight w:val="none"/>
          <w:shd w:val="clear" w:color="auto" w:fill="auto"/>
          <w:lang w:eastAsia="zh-CN"/>
        </w:rPr>
        <w:t>国家税务总局塔什库尔干塔吉克自治县税务局</w:t>
      </w:r>
      <w:r>
        <w:rPr>
          <w:rFonts w:hint="eastAsia" w:ascii="仿宋_GB2312" w:eastAsia="仿宋_GB2312"/>
          <w:sz w:val="32"/>
          <w:szCs w:val="32"/>
        </w:rPr>
        <w:t>决算</w:t>
      </w:r>
      <w:r>
        <w:rPr>
          <w:rFonts w:hint="eastAsia"/>
          <w:sz w:val="32"/>
          <w:szCs w:val="32"/>
          <w:lang w:eastAsia="zh-CN"/>
        </w:rPr>
        <w:t>。</w:t>
      </w:r>
    </w:p>
    <w:p>
      <w:pPr>
        <w:pStyle w:val="8"/>
        <w:keepNext w:val="0"/>
        <w:keepLines w:val="0"/>
        <w:pageBreakBefore w:val="0"/>
        <w:kinsoku/>
        <w:wordWrap/>
        <w:overflowPunct/>
        <w:topLinePunct w:val="0"/>
        <w:bidi w:val="0"/>
        <w:snapToGrid w:val="0"/>
        <w:spacing w:line="560" w:lineRule="exact"/>
        <w:ind w:firstLine="640" w:firstLineChars="200"/>
        <w:textAlignment w:val="auto"/>
        <w:rPr>
          <w:color w:val="auto"/>
          <w:sz w:val="32"/>
          <w:szCs w:val="32"/>
          <w:highlight w:val="none"/>
          <w:shd w:val="clear" w:color="auto" w:fill="auto"/>
        </w:rPr>
      </w:pPr>
      <w:r>
        <w:rPr>
          <w:rFonts w:hint="eastAsia"/>
          <w:color w:val="auto"/>
          <w:sz w:val="32"/>
          <w:szCs w:val="32"/>
          <w:highlight w:val="none"/>
          <w:shd w:val="clear" w:color="auto" w:fill="auto"/>
          <w:lang w:eastAsia="zh-CN"/>
        </w:rPr>
        <w:t>国家税务总局塔什库尔干塔吉克自治县税务局</w:t>
      </w:r>
      <w:r>
        <w:rPr>
          <w:rFonts w:hint="eastAsia"/>
          <w:color w:val="auto"/>
          <w:sz w:val="32"/>
          <w:szCs w:val="32"/>
          <w:highlight w:val="none"/>
          <w:shd w:val="clear" w:color="auto" w:fill="auto"/>
        </w:rPr>
        <w:t>，设</w:t>
      </w:r>
      <w:r>
        <w:rPr>
          <w:rFonts w:hint="eastAsia"/>
          <w:color w:val="auto"/>
          <w:sz w:val="32"/>
          <w:szCs w:val="32"/>
          <w:highlight w:val="none"/>
          <w:shd w:val="clear" w:color="auto" w:fill="auto"/>
          <w:lang w:val="en-US" w:eastAsia="zh-CN"/>
        </w:rPr>
        <w:t>10</w:t>
      </w:r>
      <w:r>
        <w:rPr>
          <w:rFonts w:hint="eastAsia"/>
          <w:color w:val="auto"/>
          <w:sz w:val="32"/>
          <w:szCs w:val="32"/>
          <w:highlight w:val="none"/>
          <w:shd w:val="clear" w:color="auto" w:fill="auto"/>
        </w:rPr>
        <w:t>个内设机构，</w:t>
      </w:r>
      <w:r>
        <w:rPr>
          <w:rFonts w:hint="eastAsia"/>
          <w:color w:val="auto"/>
          <w:sz w:val="32"/>
          <w:szCs w:val="32"/>
          <w:highlight w:val="none"/>
          <w:shd w:val="clear" w:color="auto" w:fill="auto"/>
          <w:lang w:val="en-US" w:eastAsia="zh-CN"/>
        </w:rPr>
        <w:t>1</w:t>
      </w:r>
      <w:r>
        <w:rPr>
          <w:rFonts w:hint="eastAsia"/>
          <w:color w:val="auto"/>
          <w:sz w:val="32"/>
          <w:szCs w:val="32"/>
          <w:highlight w:val="none"/>
          <w:shd w:val="clear" w:color="auto" w:fill="auto"/>
        </w:rPr>
        <w:t>个事业单位</w:t>
      </w:r>
      <w:r>
        <w:rPr>
          <w:rFonts w:hint="eastAsia"/>
          <w:color w:val="auto"/>
          <w:sz w:val="32"/>
          <w:szCs w:val="32"/>
          <w:highlight w:val="none"/>
          <w:shd w:val="clear" w:color="auto" w:fill="auto"/>
          <w:lang w:eastAsia="zh-CN"/>
        </w:rPr>
        <w:t>，</w:t>
      </w:r>
      <w:r>
        <w:rPr>
          <w:rFonts w:hint="eastAsia"/>
          <w:color w:val="auto"/>
          <w:sz w:val="32"/>
          <w:szCs w:val="32"/>
          <w:highlight w:val="none"/>
          <w:shd w:val="clear" w:color="auto" w:fill="auto"/>
        </w:rPr>
        <w:t>级别为正</w:t>
      </w:r>
      <w:r>
        <w:rPr>
          <w:rFonts w:hint="eastAsia"/>
          <w:color w:val="auto"/>
          <w:sz w:val="32"/>
          <w:szCs w:val="32"/>
          <w:highlight w:val="none"/>
          <w:shd w:val="clear" w:color="auto" w:fill="auto"/>
          <w:lang w:eastAsia="zh-CN"/>
        </w:rPr>
        <w:t>股</w:t>
      </w:r>
      <w:r>
        <w:rPr>
          <w:rFonts w:hint="eastAsia"/>
          <w:color w:val="auto"/>
          <w:sz w:val="32"/>
          <w:szCs w:val="32"/>
          <w:highlight w:val="none"/>
          <w:shd w:val="clear" w:color="auto" w:fill="auto"/>
        </w:rPr>
        <w:t>级。</w:t>
      </w:r>
    </w:p>
    <w:p>
      <w:pPr>
        <w:pStyle w:val="8"/>
        <w:keepNext w:val="0"/>
        <w:keepLines w:val="0"/>
        <w:pageBreakBefore w:val="0"/>
        <w:kinsoku/>
        <w:wordWrap/>
        <w:overflowPunct/>
        <w:topLinePunct w:val="0"/>
        <w:bidi w:val="0"/>
        <w:snapToGrid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shd w:val="clear" w:color="auto" w:fill="auto"/>
          <w:lang w:eastAsia="zh-CN"/>
        </w:rPr>
      </w:pPr>
      <w:r>
        <w:rPr>
          <w:rFonts w:hint="eastAsia" w:ascii="仿宋_GB2312" w:hAnsi="仿宋_GB2312" w:eastAsia="仿宋_GB2312" w:cs="仿宋_GB2312"/>
          <w:b w:val="0"/>
          <w:bCs/>
          <w:color w:val="auto"/>
          <w:sz w:val="32"/>
          <w:szCs w:val="32"/>
          <w:highlight w:val="none"/>
          <w:shd w:val="clear" w:color="auto" w:fill="auto"/>
        </w:rPr>
        <w:t>（一）内设机构：办公室、</w:t>
      </w:r>
      <w:r>
        <w:rPr>
          <w:rFonts w:hint="eastAsia" w:ascii="仿宋_GB2312" w:hAnsi="仿宋_GB2312" w:eastAsia="仿宋_GB2312" w:cs="仿宋_GB2312"/>
          <w:b w:val="0"/>
          <w:bCs/>
          <w:color w:val="auto"/>
          <w:sz w:val="32"/>
          <w:szCs w:val="32"/>
          <w:highlight w:val="none"/>
          <w:shd w:val="clear" w:color="auto" w:fill="auto"/>
          <w:lang w:eastAsia="zh-CN"/>
        </w:rPr>
        <w:t>法制股、</w:t>
      </w:r>
      <w:r>
        <w:rPr>
          <w:rFonts w:hint="eastAsia" w:ascii="仿宋_GB2312" w:hAnsi="仿宋_GB2312" w:eastAsia="仿宋_GB2312" w:cs="仿宋_GB2312"/>
          <w:b w:val="0"/>
          <w:bCs/>
          <w:color w:val="auto"/>
          <w:sz w:val="32"/>
          <w:szCs w:val="32"/>
          <w:highlight w:val="none"/>
          <w:shd w:val="clear" w:color="auto" w:fill="auto"/>
        </w:rPr>
        <w:t>社会保险费</w:t>
      </w:r>
      <w:r>
        <w:rPr>
          <w:rFonts w:hint="eastAsia" w:ascii="仿宋_GB2312" w:hAnsi="仿宋_GB2312" w:eastAsia="仿宋_GB2312" w:cs="仿宋_GB2312"/>
          <w:b w:val="0"/>
          <w:bCs/>
          <w:color w:val="auto"/>
          <w:sz w:val="32"/>
          <w:szCs w:val="32"/>
          <w:highlight w:val="none"/>
          <w:shd w:val="clear" w:color="auto" w:fill="auto"/>
          <w:lang w:eastAsia="zh-CN"/>
        </w:rPr>
        <w:t>和</w:t>
      </w:r>
      <w:r>
        <w:rPr>
          <w:rFonts w:hint="eastAsia" w:ascii="仿宋_GB2312" w:hAnsi="仿宋_GB2312" w:eastAsia="仿宋_GB2312" w:cs="仿宋_GB2312"/>
          <w:b w:val="0"/>
          <w:bCs/>
          <w:color w:val="auto"/>
          <w:sz w:val="32"/>
          <w:szCs w:val="32"/>
          <w:highlight w:val="none"/>
          <w:shd w:val="clear" w:color="auto" w:fill="auto"/>
        </w:rPr>
        <w:t>非税收入</w:t>
      </w:r>
      <w:r>
        <w:rPr>
          <w:rFonts w:hint="eastAsia" w:ascii="仿宋_GB2312" w:hAnsi="仿宋_GB2312" w:eastAsia="仿宋_GB2312" w:cs="仿宋_GB2312"/>
          <w:b w:val="0"/>
          <w:bCs/>
          <w:color w:val="auto"/>
          <w:sz w:val="32"/>
          <w:szCs w:val="32"/>
          <w:highlight w:val="none"/>
          <w:shd w:val="clear" w:color="auto" w:fill="auto"/>
          <w:lang w:eastAsia="zh-CN"/>
        </w:rPr>
        <w:t>股</w:t>
      </w:r>
      <w:r>
        <w:rPr>
          <w:rFonts w:hint="eastAsia" w:ascii="仿宋_GB2312" w:hAnsi="仿宋_GB2312" w:eastAsia="仿宋_GB2312" w:cs="仿宋_GB2312"/>
          <w:b w:val="0"/>
          <w:bCs/>
          <w:color w:val="auto"/>
          <w:sz w:val="32"/>
          <w:szCs w:val="32"/>
          <w:highlight w:val="none"/>
          <w:shd w:val="clear" w:color="auto" w:fill="auto"/>
        </w:rPr>
        <w:t>、纳税服务</w:t>
      </w:r>
      <w:r>
        <w:rPr>
          <w:rFonts w:hint="eastAsia" w:ascii="仿宋_GB2312" w:hAnsi="仿宋_GB2312" w:eastAsia="仿宋_GB2312" w:cs="仿宋_GB2312"/>
          <w:b w:val="0"/>
          <w:bCs/>
          <w:color w:val="auto"/>
          <w:sz w:val="32"/>
          <w:szCs w:val="32"/>
          <w:highlight w:val="none"/>
          <w:shd w:val="clear" w:color="auto" w:fill="auto"/>
          <w:lang w:eastAsia="zh-CN"/>
        </w:rPr>
        <w:t>股</w:t>
      </w:r>
      <w:r>
        <w:rPr>
          <w:rFonts w:hint="eastAsia" w:ascii="仿宋_GB2312" w:hAnsi="仿宋_GB2312" w:eastAsia="仿宋_GB2312" w:cs="仿宋_GB2312"/>
          <w:b w:val="0"/>
          <w:bCs/>
          <w:color w:val="auto"/>
          <w:sz w:val="32"/>
          <w:szCs w:val="32"/>
          <w:highlight w:val="none"/>
          <w:shd w:val="clear" w:color="auto" w:fill="auto"/>
        </w:rPr>
        <w:t>、</w:t>
      </w:r>
      <w:r>
        <w:rPr>
          <w:rFonts w:hint="eastAsia" w:ascii="仿宋_GB2312" w:hAnsi="仿宋_GB2312" w:eastAsia="仿宋_GB2312" w:cs="仿宋_GB2312"/>
          <w:b w:val="0"/>
          <w:bCs/>
          <w:color w:val="auto"/>
          <w:sz w:val="32"/>
          <w:szCs w:val="32"/>
          <w:highlight w:val="none"/>
          <w:shd w:val="clear" w:color="auto" w:fill="auto"/>
          <w:lang w:eastAsia="zh-CN"/>
        </w:rPr>
        <w:t>征收管理股、税源管理股、风险管理股、</w:t>
      </w:r>
      <w:r>
        <w:rPr>
          <w:rFonts w:hint="eastAsia" w:ascii="仿宋_GB2312" w:hAnsi="仿宋_GB2312" w:eastAsia="仿宋_GB2312" w:cs="仿宋_GB2312"/>
          <w:b w:val="0"/>
          <w:bCs/>
          <w:color w:val="auto"/>
          <w:sz w:val="32"/>
          <w:szCs w:val="32"/>
          <w:highlight w:val="none"/>
          <w:shd w:val="clear" w:color="auto" w:fill="auto"/>
        </w:rPr>
        <w:t>人事</w:t>
      </w:r>
      <w:r>
        <w:rPr>
          <w:rFonts w:hint="eastAsia" w:ascii="仿宋_GB2312" w:hAnsi="仿宋_GB2312" w:eastAsia="仿宋_GB2312" w:cs="仿宋_GB2312"/>
          <w:b w:val="0"/>
          <w:bCs/>
          <w:color w:val="auto"/>
          <w:sz w:val="32"/>
          <w:szCs w:val="32"/>
          <w:highlight w:val="none"/>
          <w:shd w:val="clear" w:color="auto" w:fill="auto"/>
          <w:lang w:eastAsia="zh-CN"/>
        </w:rPr>
        <w:t>教育股</w:t>
      </w:r>
      <w:r>
        <w:rPr>
          <w:rFonts w:hint="eastAsia" w:ascii="仿宋_GB2312" w:hAnsi="仿宋_GB2312" w:eastAsia="仿宋_GB2312" w:cs="仿宋_GB2312"/>
          <w:b w:val="0"/>
          <w:bCs/>
          <w:color w:val="auto"/>
          <w:sz w:val="32"/>
          <w:szCs w:val="32"/>
          <w:highlight w:val="none"/>
          <w:shd w:val="clear" w:color="auto" w:fill="auto"/>
        </w:rPr>
        <w:t>、</w:t>
      </w:r>
      <w:r>
        <w:rPr>
          <w:rFonts w:hint="eastAsia" w:ascii="仿宋_GB2312" w:hAnsi="仿宋_GB2312" w:eastAsia="仿宋_GB2312" w:cs="仿宋_GB2312"/>
          <w:b w:val="0"/>
          <w:bCs/>
          <w:color w:val="auto"/>
          <w:sz w:val="32"/>
          <w:szCs w:val="32"/>
          <w:highlight w:val="none"/>
          <w:shd w:val="clear" w:color="auto" w:fill="auto"/>
          <w:lang w:eastAsia="zh-CN"/>
        </w:rPr>
        <w:t>机关党委、纪检组。</w:t>
      </w:r>
    </w:p>
    <w:p>
      <w:pPr>
        <w:pStyle w:val="8"/>
        <w:keepNext w:val="0"/>
        <w:keepLines w:val="0"/>
        <w:pageBreakBefore w:val="0"/>
        <w:kinsoku/>
        <w:wordWrap/>
        <w:overflowPunct/>
        <w:topLinePunct w:val="0"/>
        <w:bidi w:val="0"/>
        <w:snapToGrid w:val="0"/>
        <w:spacing w:line="560" w:lineRule="exact"/>
        <w:ind w:firstLine="640" w:firstLineChars="200"/>
        <w:textAlignment w:val="auto"/>
        <w:rPr>
          <w:rFonts w:hint="eastAsia" w:ascii="仿宋_GB2312" w:hAnsi="仿宋_GB2312" w:eastAsia="仿宋_GB2312" w:cs="仿宋_GB2312"/>
          <w:b w:val="0"/>
          <w:bCs/>
          <w:color w:val="auto"/>
          <w:sz w:val="32"/>
          <w:szCs w:val="32"/>
          <w:highlight w:val="none"/>
          <w:shd w:val="clear" w:color="auto" w:fill="auto"/>
        </w:rPr>
      </w:pPr>
      <w:r>
        <w:rPr>
          <w:rFonts w:hint="eastAsia" w:ascii="仿宋_GB2312" w:hAnsi="仿宋_GB2312" w:eastAsia="仿宋_GB2312" w:cs="仿宋_GB2312"/>
          <w:b w:val="0"/>
          <w:bCs/>
          <w:color w:val="auto"/>
          <w:sz w:val="32"/>
          <w:szCs w:val="32"/>
          <w:highlight w:val="none"/>
          <w:shd w:val="clear" w:color="auto" w:fill="auto"/>
        </w:rPr>
        <w:t>（</w:t>
      </w:r>
      <w:r>
        <w:rPr>
          <w:rFonts w:hint="eastAsia" w:ascii="仿宋_GB2312" w:hAnsi="仿宋_GB2312" w:eastAsia="仿宋_GB2312" w:cs="仿宋_GB2312"/>
          <w:b w:val="0"/>
          <w:bCs/>
          <w:color w:val="auto"/>
          <w:sz w:val="32"/>
          <w:szCs w:val="32"/>
          <w:highlight w:val="none"/>
          <w:shd w:val="clear" w:color="auto" w:fill="auto"/>
          <w:lang w:eastAsia="zh-CN"/>
        </w:rPr>
        <w:t>二</w:t>
      </w:r>
      <w:r>
        <w:rPr>
          <w:rFonts w:hint="eastAsia" w:ascii="仿宋_GB2312" w:hAnsi="仿宋_GB2312" w:eastAsia="仿宋_GB2312" w:cs="仿宋_GB2312"/>
          <w:b w:val="0"/>
          <w:bCs/>
          <w:color w:val="auto"/>
          <w:sz w:val="32"/>
          <w:szCs w:val="32"/>
          <w:highlight w:val="none"/>
          <w:shd w:val="clear" w:color="auto" w:fill="auto"/>
        </w:rPr>
        <w:t>）事业单位：信息中心。</w:t>
      </w:r>
    </w:p>
    <w:p>
      <w:pPr>
        <w:keepNext w:val="0"/>
        <w:keepLines w:val="0"/>
        <w:pageBreakBefore w:val="0"/>
        <w:kinsoku/>
        <w:wordWrap/>
        <w:overflowPunct/>
        <w:topLinePunct w:val="0"/>
        <w:bidi w:val="0"/>
        <w:spacing w:line="560" w:lineRule="exact"/>
        <w:ind w:firstLine="640" w:firstLineChars="200"/>
        <w:jc w:val="center"/>
        <w:outlineLvl w:val="0"/>
        <w:rPr>
          <w:rFonts w:hint="eastAsia" w:ascii="黑体" w:hAnsi="黑体" w:eastAsia="黑体"/>
          <w:color w:val="auto"/>
          <w:sz w:val="32"/>
          <w:szCs w:val="32"/>
          <w:highlight w:val="none"/>
          <w:shd w:val="clear" w:color="auto" w:fill="auto"/>
        </w:rPr>
      </w:pPr>
    </w:p>
    <w:p>
      <w:pPr>
        <w:keepNext w:val="0"/>
        <w:keepLines w:val="0"/>
        <w:pageBreakBefore w:val="0"/>
        <w:kinsoku/>
        <w:wordWrap/>
        <w:overflowPunct/>
        <w:topLinePunct w:val="0"/>
        <w:bidi w:val="0"/>
        <w:spacing w:line="560" w:lineRule="exact"/>
        <w:ind w:firstLine="640" w:firstLineChars="200"/>
        <w:jc w:val="center"/>
        <w:outlineLvl w:val="0"/>
        <w:rPr>
          <w:rFonts w:ascii="黑体" w:hAnsi="黑体" w:eastAsia="黑体"/>
          <w:color w:val="auto"/>
          <w:sz w:val="32"/>
          <w:szCs w:val="32"/>
          <w:highlight w:val="none"/>
          <w:shd w:val="clear" w:color="auto" w:fill="auto"/>
        </w:rPr>
      </w:pPr>
      <w:r>
        <w:rPr>
          <w:rFonts w:hint="eastAsia" w:ascii="黑体" w:hAnsi="黑体" w:eastAsia="黑体"/>
          <w:color w:val="auto"/>
          <w:sz w:val="32"/>
          <w:szCs w:val="32"/>
          <w:highlight w:val="none"/>
          <w:shd w:val="clear" w:color="auto" w:fill="auto"/>
        </w:rPr>
        <w:t xml:space="preserve">第二部分 </w:t>
      </w:r>
      <w:r>
        <w:rPr>
          <w:rFonts w:ascii="黑体" w:hAnsi="黑体" w:eastAsia="黑体"/>
          <w:color w:val="auto"/>
          <w:sz w:val="32"/>
          <w:szCs w:val="32"/>
          <w:highlight w:val="none"/>
          <w:shd w:val="clear" w:color="auto" w:fill="auto"/>
        </w:rPr>
        <w:t>2019</w:t>
      </w:r>
      <w:r>
        <w:rPr>
          <w:rFonts w:hint="eastAsia" w:ascii="黑体" w:hAnsi="黑体" w:eastAsia="黑体"/>
          <w:color w:val="auto"/>
          <w:sz w:val="32"/>
          <w:szCs w:val="32"/>
          <w:highlight w:val="none"/>
          <w:shd w:val="clear" w:color="auto" w:fill="auto"/>
        </w:rPr>
        <w:t>年度部门决算情况说明</w:t>
      </w:r>
      <w:bookmarkEnd w:id="6"/>
      <w:bookmarkEnd w:id="7"/>
    </w:p>
    <w:p>
      <w:pPr>
        <w:keepNext w:val="0"/>
        <w:keepLines w:val="0"/>
        <w:pageBreakBefore w:val="0"/>
        <w:kinsoku/>
        <w:wordWrap/>
        <w:overflowPunct/>
        <w:topLinePunct w:val="0"/>
        <w:bidi w:val="0"/>
        <w:spacing w:line="560" w:lineRule="exact"/>
        <w:ind w:firstLine="640" w:firstLineChars="200"/>
        <w:jc w:val="center"/>
        <w:outlineLvl w:val="0"/>
        <w:rPr>
          <w:rFonts w:hint="eastAsia" w:ascii="黑体" w:hAnsi="黑体" w:eastAsia="黑体"/>
          <w:color w:val="auto"/>
          <w:sz w:val="32"/>
          <w:szCs w:val="32"/>
          <w:highlight w:val="none"/>
          <w:shd w:val="clear" w:color="auto" w:fill="auto"/>
        </w:rPr>
      </w:pP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8" w:name="_Toc25314"/>
      <w:bookmarkStart w:id="9" w:name="_Toc12566"/>
      <w:r>
        <w:rPr>
          <w:rFonts w:hint="eastAsia" w:ascii="黑体" w:hAnsi="黑体" w:eastAsia="黑体" w:cs="宋体"/>
          <w:bCs/>
          <w:color w:val="auto"/>
          <w:kern w:val="0"/>
          <w:sz w:val="32"/>
          <w:szCs w:val="32"/>
          <w:highlight w:val="none"/>
          <w:shd w:val="clear" w:color="auto" w:fill="auto"/>
        </w:rPr>
        <w:t>一、收入支出决算总体情况说明</w:t>
      </w:r>
      <w:bookmarkEnd w:id="8"/>
      <w:bookmarkEnd w:id="9"/>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2019年度本年收入</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万元，与上年相比，增加</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万元，增长100%，主要原因是：由于</w:t>
      </w:r>
      <w:r>
        <w:rPr>
          <w:rFonts w:hint="eastAsia" w:ascii="仿宋_GB2312" w:hAnsi="仿宋" w:eastAsia="仿宋_GB2312"/>
          <w:color w:val="auto"/>
          <w:sz w:val="32"/>
          <w:szCs w:val="32"/>
          <w:highlight w:val="none"/>
          <w:shd w:val="clear" w:color="auto" w:fill="auto"/>
        </w:rPr>
        <w:t>国税地税征管体制改革，</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hAnsi="仿宋" w:eastAsia="仿宋_GB2312"/>
          <w:color w:val="auto"/>
          <w:sz w:val="32"/>
          <w:szCs w:val="32"/>
          <w:highlight w:val="none"/>
          <w:shd w:val="clear" w:color="auto" w:fill="auto"/>
          <w:lang w:val="en-US" w:eastAsia="zh-CN"/>
        </w:rPr>
        <w:t>塔什库尔干塔吉克自治县税务局</w:t>
      </w:r>
      <w:r>
        <w:rPr>
          <w:rFonts w:hint="eastAsia" w:ascii="仿宋_GB2312" w:hAnsi="仿宋" w:eastAsia="仿宋_GB2312"/>
          <w:color w:val="auto"/>
          <w:sz w:val="32"/>
          <w:szCs w:val="32"/>
          <w:highlight w:val="none"/>
          <w:shd w:val="clear" w:color="auto" w:fill="auto"/>
        </w:rPr>
        <w:t>2019年作为新增单位编制部门决算</w:t>
      </w:r>
      <w:r>
        <w:rPr>
          <w:rFonts w:hint="eastAsia" w:ascii="仿宋_GB2312" w:eastAsia="仿宋_GB2312"/>
          <w:color w:val="auto"/>
          <w:sz w:val="32"/>
          <w:szCs w:val="32"/>
          <w:highlight w:val="none"/>
          <w:shd w:val="clear" w:color="auto" w:fill="auto"/>
        </w:rPr>
        <w:t>。本年支出</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万元，与上年相比，增加</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万元，增长100%，主要原因是：由于</w:t>
      </w:r>
      <w:r>
        <w:rPr>
          <w:rFonts w:hint="eastAsia" w:ascii="仿宋_GB2312" w:hAnsi="仿宋" w:eastAsia="仿宋_GB2312"/>
          <w:color w:val="auto"/>
          <w:sz w:val="32"/>
          <w:szCs w:val="32"/>
          <w:highlight w:val="none"/>
          <w:shd w:val="clear" w:color="auto" w:fill="auto"/>
        </w:rPr>
        <w:t>国税地税征管体制改革，</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hAnsi="仿宋" w:eastAsia="仿宋_GB2312"/>
          <w:color w:val="auto"/>
          <w:sz w:val="32"/>
          <w:szCs w:val="32"/>
          <w:highlight w:val="none"/>
          <w:shd w:val="clear" w:color="auto" w:fill="auto"/>
          <w:lang w:val="en-US" w:eastAsia="zh-CN"/>
        </w:rPr>
        <w:t>塔什库尔干塔吉克自治县税务局</w:t>
      </w:r>
      <w:r>
        <w:rPr>
          <w:rFonts w:hint="eastAsia" w:ascii="仿宋_GB2312" w:hAnsi="仿宋" w:eastAsia="仿宋_GB2312"/>
          <w:color w:val="auto"/>
          <w:sz w:val="32"/>
          <w:szCs w:val="32"/>
          <w:highlight w:val="none"/>
          <w:shd w:val="clear" w:color="auto" w:fill="auto"/>
        </w:rPr>
        <w:t>2019年作为新增单位编制部门决算</w:t>
      </w:r>
      <w:r>
        <w:rPr>
          <w:rFonts w:hint="eastAsia" w:ascii="仿宋_GB2312" w:eastAsia="仿宋_GB2312"/>
          <w:color w:val="auto"/>
          <w:sz w:val="32"/>
          <w:szCs w:val="32"/>
          <w:highlight w:val="none"/>
          <w:shd w:val="clear" w:color="auto" w:fill="auto"/>
        </w:rPr>
        <w:t>。</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10" w:name="_Toc1979"/>
      <w:bookmarkStart w:id="11" w:name="_Toc12142"/>
      <w:r>
        <w:rPr>
          <w:rFonts w:hint="eastAsia" w:ascii="黑体" w:hAnsi="黑体" w:eastAsia="黑体" w:cs="宋体"/>
          <w:bCs/>
          <w:color w:val="auto"/>
          <w:kern w:val="0"/>
          <w:sz w:val="32"/>
          <w:szCs w:val="32"/>
          <w:highlight w:val="none"/>
          <w:shd w:val="clear" w:color="auto" w:fill="auto"/>
        </w:rPr>
        <w:t>二、收入决算情况说明</w:t>
      </w:r>
      <w:bookmarkEnd w:id="10"/>
      <w:bookmarkEnd w:id="11"/>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年度本年收入</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万元，其中：财政拨款收入</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万元，占1</w:t>
      </w:r>
      <w:r>
        <w:rPr>
          <w:rFonts w:ascii="仿宋_GB2312" w:eastAsia="仿宋_GB2312"/>
          <w:color w:val="auto"/>
          <w:sz w:val="32"/>
          <w:szCs w:val="32"/>
          <w:highlight w:val="none"/>
          <w:shd w:val="clear" w:color="auto" w:fill="auto"/>
        </w:rPr>
        <w:t>00</w:t>
      </w:r>
      <w:r>
        <w:rPr>
          <w:rFonts w:hint="eastAsia" w:ascii="仿宋_GB2312" w:eastAsia="仿宋_GB2312"/>
          <w:color w:val="auto"/>
          <w:sz w:val="32"/>
          <w:szCs w:val="32"/>
          <w:highlight w:val="none"/>
          <w:shd w:val="clear" w:color="auto" w:fill="auto"/>
        </w:rPr>
        <w:t>%；上级补助收入0万元，占0%；事业收入0万元，占0%；经营收入0万元，占0%；附属单位上缴收入0万元，占0%；其他收入</w:t>
      </w:r>
      <w:r>
        <w:rPr>
          <w:rFonts w:hint="eastAsia" w:ascii="仿宋_GB2312" w:eastAsia="仿宋_GB2312"/>
          <w:color w:val="auto"/>
          <w:sz w:val="32"/>
          <w:szCs w:val="32"/>
          <w:highlight w:val="none"/>
          <w:shd w:val="clear" w:color="auto" w:fill="auto"/>
          <w:lang w:val="en-US" w:eastAsia="zh-CN"/>
        </w:rPr>
        <w:t>374.56</w:t>
      </w:r>
      <w:r>
        <w:rPr>
          <w:rFonts w:hint="eastAsia" w:ascii="仿宋_GB2312" w:eastAsia="仿宋_GB2312"/>
          <w:color w:val="auto"/>
          <w:sz w:val="32"/>
          <w:szCs w:val="32"/>
          <w:highlight w:val="none"/>
          <w:shd w:val="clear" w:color="auto" w:fill="auto"/>
        </w:rPr>
        <w:t>万元，其中：基本支出</w:t>
      </w:r>
      <w:r>
        <w:rPr>
          <w:rFonts w:hint="eastAsia" w:ascii="仿宋_GB2312" w:eastAsia="仿宋_GB2312"/>
          <w:color w:val="auto"/>
          <w:sz w:val="32"/>
          <w:szCs w:val="32"/>
          <w:highlight w:val="none"/>
          <w:shd w:val="clear" w:color="auto" w:fill="auto"/>
          <w:lang w:val="en-US" w:eastAsia="zh-CN"/>
        </w:rPr>
        <w:t>372.56</w:t>
      </w:r>
      <w:r>
        <w:rPr>
          <w:rFonts w:hint="eastAsia" w:ascii="仿宋_GB2312" w:eastAsia="仿宋_GB2312"/>
          <w:color w:val="auto"/>
          <w:sz w:val="32"/>
          <w:szCs w:val="32"/>
          <w:highlight w:val="none"/>
          <w:shd w:val="clear" w:color="auto" w:fill="auto"/>
        </w:rPr>
        <w:t>万元，占</w:t>
      </w:r>
      <w:r>
        <w:rPr>
          <w:rFonts w:hint="eastAsia" w:ascii="仿宋_GB2312" w:eastAsia="仿宋_GB2312"/>
          <w:color w:val="auto"/>
          <w:sz w:val="32"/>
          <w:szCs w:val="32"/>
          <w:highlight w:val="none"/>
          <w:shd w:val="clear" w:color="auto" w:fill="auto"/>
          <w:lang w:val="en-US" w:eastAsia="zh-CN"/>
        </w:rPr>
        <w:t>99.47</w:t>
      </w:r>
      <w:r>
        <w:rPr>
          <w:rFonts w:hint="eastAsia" w:ascii="仿宋_GB2312" w:eastAsia="仿宋_GB2312"/>
          <w:color w:val="auto"/>
          <w:sz w:val="32"/>
          <w:szCs w:val="32"/>
          <w:highlight w:val="none"/>
          <w:shd w:val="clear" w:color="auto" w:fill="auto"/>
        </w:rPr>
        <w:t>%；项目支出</w:t>
      </w:r>
      <w:r>
        <w:rPr>
          <w:rFonts w:hint="eastAsia" w:ascii="仿宋_GB2312" w:eastAsia="仿宋_GB2312"/>
          <w:color w:val="auto"/>
          <w:sz w:val="32"/>
          <w:szCs w:val="32"/>
          <w:highlight w:val="none"/>
          <w:shd w:val="clear" w:color="auto" w:fill="auto"/>
          <w:lang w:val="en-US" w:eastAsia="zh-CN"/>
        </w:rPr>
        <w:t>2.00</w:t>
      </w:r>
      <w:r>
        <w:rPr>
          <w:rFonts w:hint="eastAsia" w:ascii="仿宋_GB2312" w:eastAsia="仿宋_GB2312"/>
          <w:color w:val="auto"/>
          <w:sz w:val="32"/>
          <w:szCs w:val="32"/>
          <w:highlight w:val="none"/>
          <w:shd w:val="clear" w:color="auto" w:fill="auto"/>
        </w:rPr>
        <w:t>万元，占</w:t>
      </w:r>
      <w:r>
        <w:rPr>
          <w:rFonts w:hint="eastAsia" w:ascii="仿宋_GB2312" w:eastAsia="仿宋_GB2312"/>
          <w:color w:val="auto"/>
          <w:sz w:val="32"/>
          <w:szCs w:val="32"/>
          <w:highlight w:val="none"/>
          <w:shd w:val="clear" w:color="auto" w:fill="auto"/>
          <w:lang w:val="en-US" w:eastAsia="zh-CN"/>
        </w:rPr>
        <w:t>0.53</w:t>
      </w:r>
      <w:r>
        <w:rPr>
          <w:rFonts w:hint="eastAsia" w:ascii="仿宋_GB2312" w:eastAsia="仿宋_GB2312"/>
          <w:color w:val="auto"/>
          <w:sz w:val="32"/>
          <w:szCs w:val="32"/>
          <w:highlight w:val="none"/>
          <w:shd w:val="clear" w:color="auto" w:fill="auto"/>
        </w:rPr>
        <w:t>%；上缴上级支出0万元，占0%；经营支出0万元，占0%；对附属单位补助支出0万元，占0%。</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12" w:name="_Toc26564"/>
      <w:bookmarkStart w:id="13" w:name="_Toc4393"/>
      <w:r>
        <w:rPr>
          <w:rFonts w:hint="eastAsia" w:ascii="黑体" w:hAnsi="黑体" w:eastAsia="黑体" w:cs="宋体"/>
          <w:bCs/>
          <w:color w:val="auto"/>
          <w:kern w:val="0"/>
          <w:sz w:val="32"/>
          <w:szCs w:val="32"/>
          <w:highlight w:val="none"/>
          <w:shd w:val="clear" w:color="auto" w:fill="auto"/>
        </w:rPr>
        <w:t>四、财政拨款收入支出决算总体情况说明</w:t>
      </w:r>
      <w:bookmarkEnd w:id="12"/>
      <w:bookmarkEnd w:id="13"/>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2019年度财政拨款收入</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万元，与上年相比，增加</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万元，增长100%。主要原因是：由于</w:t>
      </w:r>
      <w:r>
        <w:rPr>
          <w:rFonts w:hint="eastAsia" w:ascii="仿宋_GB2312" w:hAnsi="仿宋" w:eastAsia="仿宋_GB2312"/>
          <w:color w:val="auto"/>
          <w:sz w:val="32"/>
          <w:szCs w:val="32"/>
          <w:highlight w:val="none"/>
          <w:shd w:val="clear" w:color="auto" w:fill="auto"/>
        </w:rPr>
        <w:t>国税地税征管体制改革，</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hAnsi="仿宋" w:eastAsia="仿宋_GB2312"/>
          <w:color w:val="auto"/>
          <w:sz w:val="32"/>
          <w:szCs w:val="32"/>
          <w:highlight w:val="none"/>
          <w:shd w:val="clear" w:color="auto" w:fill="auto"/>
          <w:lang w:val="en-US" w:eastAsia="zh-CN"/>
        </w:rPr>
        <w:t>塔什库尔干塔吉克自治县税务局</w:t>
      </w:r>
      <w:r>
        <w:rPr>
          <w:rFonts w:hint="eastAsia" w:ascii="仿宋_GB2312" w:hAnsi="仿宋" w:eastAsia="仿宋_GB2312"/>
          <w:color w:val="auto"/>
          <w:sz w:val="32"/>
          <w:szCs w:val="32"/>
          <w:highlight w:val="none"/>
          <w:shd w:val="clear" w:color="auto" w:fill="auto"/>
        </w:rPr>
        <w:t>2019年作为新增单位编制部门决算</w:t>
      </w:r>
      <w:r>
        <w:rPr>
          <w:rFonts w:hint="eastAsia" w:ascii="仿宋_GB2312" w:eastAsia="仿宋_GB2312"/>
          <w:color w:val="auto"/>
          <w:sz w:val="32"/>
          <w:szCs w:val="32"/>
          <w:highlight w:val="none"/>
          <w:shd w:val="clear" w:color="auto" w:fill="auto"/>
        </w:rPr>
        <w:t>。财政拨款支出</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万元，与上年相比，增加</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万元，增长100%，主要原因是：由于</w:t>
      </w:r>
      <w:r>
        <w:rPr>
          <w:rFonts w:hint="eastAsia" w:ascii="仿宋_GB2312" w:hAnsi="仿宋" w:eastAsia="仿宋_GB2312"/>
          <w:color w:val="auto"/>
          <w:sz w:val="32"/>
          <w:szCs w:val="32"/>
          <w:highlight w:val="none"/>
          <w:shd w:val="clear" w:color="auto" w:fill="auto"/>
        </w:rPr>
        <w:t>国税地税征管体制改革，</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hAnsi="仿宋" w:eastAsia="仿宋_GB2312"/>
          <w:color w:val="auto"/>
          <w:sz w:val="32"/>
          <w:szCs w:val="32"/>
          <w:highlight w:val="none"/>
          <w:shd w:val="clear" w:color="auto" w:fill="auto"/>
          <w:lang w:val="en-US" w:eastAsia="zh-CN"/>
        </w:rPr>
        <w:t>塔什库尔干塔吉克自治县税务局</w:t>
      </w:r>
      <w:r>
        <w:rPr>
          <w:rFonts w:hint="eastAsia" w:ascii="仿宋_GB2312" w:hAnsi="仿宋" w:eastAsia="仿宋_GB2312"/>
          <w:color w:val="auto"/>
          <w:sz w:val="32"/>
          <w:szCs w:val="32"/>
          <w:highlight w:val="none"/>
          <w:shd w:val="clear" w:color="auto" w:fill="auto"/>
        </w:rPr>
        <w:t>2019年作为新增单位编制部门决算</w:t>
      </w:r>
      <w:r>
        <w:rPr>
          <w:rFonts w:hint="eastAsia" w:ascii="仿宋_GB2312" w:eastAsia="仿宋_GB2312"/>
          <w:color w:val="auto"/>
          <w:sz w:val="32"/>
          <w:szCs w:val="32"/>
          <w:highlight w:val="none"/>
          <w:shd w:val="clear" w:color="auto" w:fill="auto"/>
        </w:rPr>
        <w:t>。</w:t>
      </w:r>
    </w:p>
    <w:p>
      <w:pPr>
        <w:keepNext w:val="0"/>
        <w:keepLines w:val="0"/>
        <w:pageBreakBefore w:val="0"/>
        <w:kinsoku/>
        <w:wordWrap/>
        <w:overflowPunct/>
        <w:topLinePunct w:val="0"/>
        <w:bidi w:val="0"/>
        <w:spacing w:line="560" w:lineRule="exact"/>
        <w:ind w:firstLine="640" w:firstLineChars="200"/>
        <w:rPr>
          <w:rFonts w:hint="eastAsia" w:ascii="仿宋_GB2312" w:hAnsi="仿宋"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与年初预算数相比情况：财政拨款收入年初预算数</w:t>
      </w:r>
      <w:r>
        <w:rPr>
          <w:rFonts w:hint="eastAsia" w:ascii="仿宋_GB2312" w:eastAsia="仿宋_GB2312"/>
          <w:color w:val="auto"/>
          <w:sz w:val="32"/>
          <w:szCs w:val="32"/>
          <w:highlight w:val="none"/>
          <w:shd w:val="clear" w:color="auto" w:fill="auto"/>
          <w:lang w:eastAsia="zh-CN"/>
        </w:rPr>
        <w:t>3</w:t>
      </w:r>
      <w:r>
        <w:rPr>
          <w:rFonts w:hint="eastAsia" w:ascii="仿宋_GB2312" w:eastAsia="仿宋_GB2312"/>
          <w:color w:val="auto"/>
          <w:sz w:val="32"/>
          <w:szCs w:val="32"/>
          <w:highlight w:val="none"/>
          <w:shd w:val="clear" w:color="auto" w:fill="auto"/>
          <w:lang w:val="en-US" w:eastAsia="zh-CN"/>
        </w:rPr>
        <w:t>00.05</w:t>
      </w:r>
      <w:r>
        <w:rPr>
          <w:rFonts w:hint="eastAsia" w:ascii="仿宋_GB2312" w:eastAsia="仿宋_GB2312"/>
          <w:color w:val="auto"/>
          <w:sz w:val="32"/>
          <w:szCs w:val="32"/>
          <w:highlight w:val="none"/>
          <w:shd w:val="clear" w:color="auto" w:fill="auto"/>
        </w:rPr>
        <w:t>万元，决算数</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万元，预决算差异率</w:t>
      </w:r>
      <w:r>
        <w:rPr>
          <w:rFonts w:hint="eastAsia" w:ascii="仿宋_GB2312" w:eastAsia="仿宋_GB2312"/>
          <w:color w:val="auto"/>
          <w:sz w:val="32"/>
          <w:szCs w:val="32"/>
          <w:highlight w:val="none"/>
          <w:shd w:val="clear" w:color="auto" w:fill="auto"/>
          <w:lang w:val="en-US" w:eastAsia="zh-CN"/>
        </w:rPr>
        <w:t>24.83</w:t>
      </w:r>
      <w:r>
        <w:rPr>
          <w:rFonts w:hint="eastAsia" w:ascii="仿宋_GB2312" w:eastAsia="仿宋_GB2312"/>
          <w:color w:val="auto"/>
          <w:sz w:val="32"/>
          <w:szCs w:val="32"/>
          <w:highlight w:val="none"/>
          <w:shd w:val="clear" w:color="auto" w:fill="auto"/>
        </w:rPr>
        <w:t>%，主要原因是：自治区</w:t>
      </w:r>
      <w:r>
        <w:rPr>
          <w:rFonts w:ascii="仿宋_GB2312" w:eastAsia="仿宋_GB2312"/>
          <w:color w:val="auto"/>
          <w:sz w:val="32"/>
          <w:szCs w:val="32"/>
          <w:highlight w:val="none"/>
          <w:shd w:val="clear" w:color="auto" w:fill="auto"/>
        </w:rPr>
        <w:t>财政在</w:t>
      </w:r>
      <w:r>
        <w:rPr>
          <w:rFonts w:hint="eastAsia" w:ascii="仿宋_GB2312" w:eastAsia="仿宋_GB2312"/>
          <w:color w:val="auto"/>
          <w:sz w:val="32"/>
          <w:szCs w:val="32"/>
          <w:highlight w:val="none"/>
          <w:shd w:val="clear" w:color="auto" w:fill="auto"/>
        </w:rPr>
        <w:t>预算执行</w:t>
      </w:r>
      <w:r>
        <w:rPr>
          <w:rFonts w:ascii="仿宋_GB2312" w:eastAsia="仿宋_GB2312"/>
          <w:color w:val="auto"/>
          <w:sz w:val="32"/>
          <w:szCs w:val="32"/>
          <w:highlight w:val="none"/>
          <w:shd w:val="clear" w:color="auto" w:fill="auto"/>
        </w:rPr>
        <w:t>过程中</w:t>
      </w:r>
      <w:r>
        <w:rPr>
          <w:rFonts w:hint="eastAsia" w:ascii="仿宋_GB2312" w:hAnsi="仿宋" w:eastAsia="仿宋_GB2312"/>
          <w:color w:val="auto"/>
          <w:sz w:val="32"/>
          <w:szCs w:val="32"/>
          <w:highlight w:val="none"/>
          <w:shd w:val="clear" w:color="auto" w:fill="auto"/>
        </w:rPr>
        <w:t>追加绩效奖励金、“三代”手续费预算，调减养老保险费率下调预算。</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财政拨款支出年初预算数</w:t>
      </w:r>
      <w:r>
        <w:rPr>
          <w:rFonts w:hint="eastAsia" w:ascii="仿宋_GB2312" w:eastAsia="仿宋_GB2312"/>
          <w:color w:val="auto"/>
          <w:sz w:val="32"/>
          <w:szCs w:val="32"/>
          <w:highlight w:val="none"/>
          <w:shd w:val="clear" w:color="auto" w:fill="auto"/>
          <w:lang w:val="en-US" w:eastAsia="zh-CN"/>
        </w:rPr>
        <w:t>300.05</w:t>
      </w:r>
      <w:r>
        <w:rPr>
          <w:rFonts w:hint="eastAsia" w:ascii="仿宋_GB2312" w:eastAsia="仿宋_GB2312"/>
          <w:color w:val="auto"/>
          <w:sz w:val="32"/>
          <w:szCs w:val="32"/>
          <w:highlight w:val="none"/>
          <w:shd w:val="clear" w:color="auto" w:fill="auto"/>
        </w:rPr>
        <w:t>万元，决算数</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万元，预决算差异率</w:t>
      </w:r>
      <w:r>
        <w:rPr>
          <w:rFonts w:hint="eastAsia" w:ascii="仿宋_GB2312" w:eastAsia="仿宋_GB2312"/>
          <w:color w:val="auto"/>
          <w:sz w:val="32"/>
          <w:szCs w:val="32"/>
          <w:highlight w:val="none"/>
          <w:shd w:val="clear" w:color="auto" w:fill="auto"/>
          <w:lang w:val="en-US" w:eastAsia="zh-CN"/>
        </w:rPr>
        <w:t>24.83</w:t>
      </w:r>
      <w:r>
        <w:rPr>
          <w:rFonts w:hint="eastAsia" w:ascii="仿宋_GB2312" w:eastAsia="仿宋_GB2312"/>
          <w:color w:val="auto"/>
          <w:sz w:val="32"/>
          <w:szCs w:val="32"/>
          <w:highlight w:val="none"/>
          <w:shd w:val="clear" w:color="auto" w:fill="auto"/>
        </w:rPr>
        <w:t>%，主要原因是：自治区</w:t>
      </w:r>
      <w:r>
        <w:rPr>
          <w:rFonts w:ascii="仿宋_GB2312" w:eastAsia="仿宋_GB2312"/>
          <w:color w:val="auto"/>
          <w:sz w:val="32"/>
          <w:szCs w:val="32"/>
          <w:highlight w:val="none"/>
          <w:shd w:val="clear" w:color="auto" w:fill="auto"/>
        </w:rPr>
        <w:t>财政在</w:t>
      </w:r>
      <w:r>
        <w:rPr>
          <w:rFonts w:hint="eastAsia" w:ascii="仿宋_GB2312" w:eastAsia="仿宋_GB2312"/>
          <w:color w:val="auto"/>
          <w:sz w:val="32"/>
          <w:szCs w:val="32"/>
          <w:highlight w:val="none"/>
          <w:shd w:val="clear" w:color="auto" w:fill="auto"/>
        </w:rPr>
        <w:t>预算执行</w:t>
      </w:r>
      <w:r>
        <w:rPr>
          <w:rFonts w:ascii="仿宋_GB2312" w:eastAsia="仿宋_GB2312"/>
          <w:color w:val="auto"/>
          <w:sz w:val="32"/>
          <w:szCs w:val="32"/>
          <w:highlight w:val="none"/>
          <w:shd w:val="clear" w:color="auto" w:fill="auto"/>
        </w:rPr>
        <w:t>过程中</w:t>
      </w:r>
      <w:r>
        <w:rPr>
          <w:rFonts w:hint="eastAsia" w:ascii="仿宋_GB2312" w:hAnsi="仿宋" w:eastAsia="仿宋_GB2312"/>
          <w:color w:val="auto"/>
          <w:sz w:val="32"/>
          <w:szCs w:val="32"/>
          <w:highlight w:val="none"/>
          <w:shd w:val="clear" w:color="auto" w:fill="auto"/>
        </w:rPr>
        <w:t>追加绩效奖励金</w:t>
      </w:r>
      <w:r>
        <w:rPr>
          <w:rFonts w:hint="eastAsia" w:ascii="仿宋_GB2312" w:hAnsi="仿宋" w:eastAsia="仿宋_GB2312"/>
          <w:color w:val="auto"/>
          <w:sz w:val="32"/>
          <w:szCs w:val="32"/>
          <w:highlight w:val="none"/>
          <w:shd w:val="clear" w:color="auto" w:fill="auto"/>
          <w:lang w:val="en-US" w:eastAsia="zh-CN"/>
        </w:rPr>
        <w:t>及</w:t>
      </w:r>
      <w:r>
        <w:rPr>
          <w:rFonts w:hint="eastAsia" w:ascii="仿宋_GB2312" w:hAnsi="仿宋" w:eastAsia="仿宋_GB2312"/>
          <w:color w:val="auto"/>
          <w:sz w:val="32"/>
          <w:szCs w:val="32"/>
          <w:highlight w:val="none"/>
          <w:shd w:val="clear" w:color="auto" w:fill="auto"/>
        </w:rPr>
        <w:t>“三代”手续费预算，调减养老保险费率下调预算。</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14" w:name="_Toc20360"/>
      <w:bookmarkStart w:id="15" w:name="_Toc13833"/>
      <w:r>
        <w:rPr>
          <w:rFonts w:hint="eastAsia" w:ascii="黑体" w:hAnsi="黑体" w:eastAsia="黑体" w:cs="宋体"/>
          <w:bCs/>
          <w:color w:val="auto"/>
          <w:kern w:val="0"/>
          <w:sz w:val="32"/>
          <w:szCs w:val="32"/>
          <w:highlight w:val="none"/>
          <w:shd w:val="clear" w:color="auto" w:fill="auto"/>
        </w:rPr>
        <w:t>五、一般公共预算财政拨款支出决算情况说明</w:t>
      </w:r>
      <w:bookmarkEnd w:id="14"/>
      <w:bookmarkEnd w:id="15"/>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年度一般公共预算财政拨款支出</w:t>
      </w:r>
      <w:r>
        <w:rPr>
          <w:rFonts w:hint="eastAsia" w:ascii="仿宋_GB2312" w:eastAsia="仿宋_GB2312"/>
          <w:color w:val="auto"/>
          <w:sz w:val="32"/>
          <w:szCs w:val="32"/>
          <w:highlight w:val="none"/>
          <w:shd w:val="clear" w:color="auto" w:fill="auto"/>
          <w:lang w:eastAsia="zh-CN"/>
        </w:rPr>
        <w:t>374.56</w:t>
      </w:r>
      <w:r>
        <w:rPr>
          <w:rFonts w:hint="eastAsia" w:ascii="仿宋_GB2312" w:eastAsia="仿宋_GB2312"/>
          <w:color w:val="auto"/>
          <w:sz w:val="32"/>
          <w:szCs w:val="32"/>
          <w:highlight w:val="none"/>
          <w:shd w:val="clear" w:color="auto" w:fill="auto"/>
        </w:rPr>
        <w:t>万元。按功能分类科目项级科目公开，其中：</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201</w:t>
      </w:r>
      <w:r>
        <w:rPr>
          <w:rFonts w:hint="eastAsia" w:ascii="仿宋_GB2312" w:eastAsia="仿宋_GB2312"/>
          <w:color w:val="auto"/>
          <w:sz w:val="32"/>
          <w:szCs w:val="32"/>
          <w:highlight w:val="none"/>
          <w:shd w:val="clear" w:color="auto" w:fill="auto"/>
          <w:lang w:val="en-US" w:eastAsia="zh-CN"/>
        </w:rPr>
        <w:t>07</w:t>
      </w:r>
      <w:r>
        <w:rPr>
          <w:rFonts w:hint="eastAsia" w:ascii="仿宋_GB2312" w:eastAsia="仿宋_GB2312"/>
          <w:color w:val="auto"/>
          <w:sz w:val="32"/>
          <w:szCs w:val="32"/>
          <w:highlight w:val="none"/>
          <w:shd w:val="clear" w:color="auto" w:fill="auto"/>
        </w:rPr>
        <w:t>01行政运行</w:t>
      </w:r>
      <w:r>
        <w:rPr>
          <w:rFonts w:hint="eastAsia" w:ascii="仿宋_GB2312" w:eastAsia="仿宋_GB2312"/>
          <w:color w:val="auto"/>
          <w:sz w:val="32"/>
          <w:szCs w:val="32"/>
          <w:highlight w:val="none"/>
          <w:shd w:val="clear" w:color="auto" w:fill="auto"/>
          <w:lang w:eastAsia="zh-CN"/>
        </w:rPr>
        <w:t>296.51</w:t>
      </w:r>
      <w:r>
        <w:rPr>
          <w:rFonts w:hint="eastAsia" w:ascii="仿宋_GB2312" w:eastAsia="仿宋_GB2312"/>
          <w:color w:val="auto"/>
          <w:sz w:val="32"/>
          <w:szCs w:val="32"/>
          <w:highlight w:val="none"/>
          <w:shd w:val="clear" w:color="auto" w:fill="auto"/>
        </w:rPr>
        <w:t>万元；</w:t>
      </w:r>
    </w:p>
    <w:p>
      <w:pPr>
        <w:keepNext w:val="0"/>
        <w:keepLines w:val="0"/>
        <w:pageBreakBefore w:val="0"/>
        <w:kinsoku/>
        <w:wordWrap/>
        <w:overflowPunct/>
        <w:topLinePunct w:val="0"/>
        <w:bidi w:val="0"/>
        <w:spacing w:line="560" w:lineRule="exact"/>
        <w:ind w:firstLine="640" w:firstLineChars="200"/>
        <w:rPr>
          <w:rFonts w:ascii="仿宋_GB2312" w:eastAsia="仿宋_GB2312"/>
          <w:color w:val="auto"/>
          <w:sz w:val="32"/>
          <w:szCs w:val="32"/>
          <w:highlight w:val="none"/>
          <w:shd w:val="clear" w:color="auto" w:fill="auto"/>
        </w:rPr>
      </w:pPr>
      <w:r>
        <w:rPr>
          <w:rFonts w:ascii="仿宋_GB2312" w:eastAsia="仿宋_GB2312"/>
          <w:color w:val="auto"/>
          <w:sz w:val="32"/>
          <w:szCs w:val="32"/>
          <w:highlight w:val="none"/>
          <w:shd w:val="clear" w:color="auto" w:fill="auto"/>
        </w:rPr>
        <w:t>2010706</w:t>
      </w:r>
      <w:r>
        <w:rPr>
          <w:rFonts w:hint="eastAsia" w:ascii="仿宋_GB2312" w:eastAsia="仿宋_GB2312"/>
          <w:color w:val="auto"/>
          <w:sz w:val="32"/>
          <w:szCs w:val="32"/>
          <w:highlight w:val="none"/>
          <w:shd w:val="clear" w:color="auto" w:fill="auto"/>
        </w:rPr>
        <w:t>代扣代收代征税款手续费</w:t>
      </w:r>
      <w:r>
        <w:rPr>
          <w:rFonts w:hint="eastAsia" w:ascii="仿宋_GB2312" w:eastAsia="仿宋_GB2312"/>
          <w:color w:val="auto"/>
          <w:sz w:val="32"/>
          <w:szCs w:val="32"/>
          <w:highlight w:val="none"/>
          <w:shd w:val="clear" w:color="auto" w:fill="auto"/>
          <w:lang w:val="en-US" w:eastAsia="zh-CN"/>
        </w:rPr>
        <w:t>2</w:t>
      </w:r>
      <w:r>
        <w:rPr>
          <w:rFonts w:hint="eastAsia" w:ascii="仿宋_GB2312" w:eastAsia="仿宋_GB2312"/>
          <w:color w:val="auto"/>
          <w:sz w:val="32"/>
          <w:szCs w:val="32"/>
          <w:highlight w:val="none"/>
          <w:shd w:val="clear" w:color="auto" w:fill="auto"/>
        </w:rPr>
        <w:t>万元</w:t>
      </w:r>
      <w:r>
        <w:rPr>
          <w:rFonts w:ascii="仿宋_GB2312" w:eastAsia="仿宋_GB2312"/>
          <w:color w:val="auto"/>
          <w:sz w:val="32"/>
          <w:szCs w:val="32"/>
          <w:highlight w:val="none"/>
          <w:shd w:val="clear" w:color="auto" w:fill="auto"/>
        </w:rPr>
        <w:t>；</w:t>
      </w:r>
    </w:p>
    <w:p>
      <w:pPr>
        <w:keepNext w:val="0"/>
        <w:keepLines w:val="0"/>
        <w:pageBreakBefore w:val="0"/>
        <w:kinsoku/>
        <w:wordWrap/>
        <w:overflowPunct/>
        <w:topLinePunct w:val="0"/>
        <w:bidi w:val="0"/>
        <w:spacing w:line="560" w:lineRule="exact"/>
        <w:ind w:firstLine="640" w:firstLineChars="200"/>
        <w:rPr>
          <w:rFonts w:ascii="仿宋_GB2312" w:eastAsia="仿宋_GB2312"/>
          <w:color w:val="auto"/>
          <w:sz w:val="32"/>
          <w:szCs w:val="32"/>
          <w:highlight w:val="none"/>
          <w:shd w:val="clear" w:color="auto" w:fill="auto"/>
        </w:rPr>
      </w:pPr>
      <w:r>
        <w:rPr>
          <w:rFonts w:ascii="仿宋_GB2312" w:eastAsia="仿宋_GB2312"/>
          <w:color w:val="auto"/>
          <w:sz w:val="32"/>
          <w:szCs w:val="32"/>
          <w:highlight w:val="none"/>
          <w:shd w:val="clear" w:color="auto" w:fill="auto"/>
        </w:rPr>
        <w:t>2080504</w:t>
      </w:r>
      <w:r>
        <w:rPr>
          <w:rFonts w:hint="eastAsia" w:ascii="仿宋_GB2312" w:eastAsia="仿宋_GB2312"/>
          <w:color w:val="auto"/>
          <w:sz w:val="32"/>
          <w:szCs w:val="32"/>
          <w:highlight w:val="none"/>
          <w:shd w:val="clear" w:color="auto" w:fill="auto"/>
        </w:rPr>
        <w:t>未归口管理的行政单位离退休</w:t>
      </w:r>
      <w:r>
        <w:rPr>
          <w:rFonts w:hint="eastAsia" w:ascii="仿宋_GB2312" w:eastAsia="仿宋_GB2312"/>
          <w:color w:val="auto"/>
          <w:sz w:val="32"/>
          <w:szCs w:val="32"/>
          <w:highlight w:val="none"/>
          <w:shd w:val="clear" w:color="auto" w:fill="auto"/>
          <w:lang w:val="en-US" w:eastAsia="zh-CN"/>
        </w:rPr>
        <w:t>55.01</w:t>
      </w:r>
      <w:r>
        <w:rPr>
          <w:rFonts w:hint="eastAsia" w:ascii="仿宋_GB2312" w:eastAsia="仿宋_GB2312"/>
          <w:color w:val="auto"/>
          <w:sz w:val="32"/>
          <w:szCs w:val="32"/>
          <w:highlight w:val="none"/>
          <w:shd w:val="clear" w:color="auto" w:fill="auto"/>
        </w:rPr>
        <w:t>万元</w:t>
      </w:r>
      <w:r>
        <w:rPr>
          <w:rFonts w:ascii="仿宋_GB2312" w:eastAsia="仿宋_GB2312"/>
          <w:color w:val="auto"/>
          <w:sz w:val="32"/>
          <w:szCs w:val="32"/>
          <w:highlight w:val="none"/>
          <w:shd w:val="clear" w:color="auto" w:fill="auto"/>
        </w:rPr>
        <w:t>；</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ascii="仿宋_GB2312" w:eastAsia="仿宋_GB2312"/>
          <w:color w:val="auto"/>
          <w:sz w:val="32"/>
          <w:szCs w:val="32"/>
          <w:highlight w:val="none"/>
          <w:shd w:val="clear" w:color="auto" w:fill="auto"/>
        </w:rPr>
        <w:t>2080505</w:t>
      </w:r>
      <w:r>
        <w:rPr>
          <w:rFonts w:hint="eastAsia" w:ascii="仿宋_GB2312" w:eastAsia="仿宋_GB2312"/>
          <w:color w:val="auto"/>
          <w:sz w:val="32"/>
          <w:szCs w:val="32"/>
          <w:highlight w:val="none"/>
          <w:shd w:val="clear" w:color="auto" w:fill="auto"/>
        </w:rPr>
        <w:t>机关事业单位基本养老保险缴费支出</w:t>
      </w:r>
      <w:r>
        <w:rPr>
          <w:rFonts w:hint="eastAsia" w:ascii="仿宋_GB2312" w:eastAsia="仿宋_GB2312"/>
          <w:color w:val="auto"/>
          <w:sz w:val="32"/>
          <w:szCs w:val="32"/>
          <w:highlight w:val="none"/>
          <w:shd w:val="clear" w:color="auto" w:fill="auto"/>
          <w:lang w:val="en-US" w:eastAsia="zh-CN"/>
        </w:rPr>
        <w:t>21.04</w:t>
      </w:r>
      <w:r>
        <w:rPr>
          <w:rFonts w:hint="eastAsia" w:ascii="仿宋_GB2312" w:eastAsia="仿宋_GB2312"/>
          <w:color w:val="auto"/>
          <w:sz w:val="32"/>
          <w:szCs w:val="32"/>
          <w:highlight w:val="none"/>
          <w:shd w:val="clear" w:color="auto" w:fill="auto"/>
        </w:rPr>
        <w:t>万元</w:t>
      </w:r>
      <w:r>
        <w:rPr>
          <w:rFonts w:ascii="仿宋_GB2312" w:eastAsia="仿宋_GB2312"/>
          <w:color w:val="auto"/>
          <w:sz w:val="32"/>
          <w:szCs w:val="32"/>
          <w:highlight w:val="none"/>
          <w:shd w:val="clear" w:color="auto" w:fill="auto"/>
        </w:rPr>
        <w:t>。</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16" w:name="_Toc30870"/>
      <w:bookmarkStart w:id="17" w:name="_Toc11146"/>
      <w:r>
        <w:rPr>
          <w:rFonts w:hint="eastAsia" w:ascii="黑体" w:hAnsi="黑体" w:eastAsia="黑体" w:cs="宋体"/>
          <w:bCs/>
          <w:color w:val="auto"/>
          <w:kern w:val="0"/>
          <w:sz w:val="32"/>
          <w:szCs w:val="32"/>
          <w:highlight w:val="none"/>
          <w:shd w:val="clear" w:color="auto" w:fill="auto"/>
        </w:rPr>
        <w:t>六、一般公共预算财政拨款基本支出决算情况说明</w:t>
      </w:r>
      <w:bookmarkEnd w:id="16"/>
      <w:bookmarkEnd w:id="17"/>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年度一般公共预算财政拨款基本支出</w:t>
      </w:r>
      <w:r>
        <w:rPr>
          <w:rFonts w:hint="eastAsia" w:ascii="仿宋_GB2312" w:eastAsia="仿宋_GB2312"/>
          <w:color w:val="auto"/>
          <w:sz w:val="32"/>
          <w:szCs w:val="32"/>
          <w:highlight w:val="none"/>
          <w:shd w:val="clear" w:color="auto" w:fill="auto"/>
          <w:lang w:val="en-US" w:eastAsia="zh-CN"/>
        </w:rPr>
        <w:t>372.56</w:t>
      </w:r>
      <w:r>
        <w:rPr>
          <w:rFonts w:hint="eastAsia" w:ascii="仿宋_GB2312" w:eastAsia="仿宋_GB2312"/>
          <w:color w:val="auto"/>
          <w:sz w:val="32"/>
          <w:szCs w:val="32"/>
          <w:highlight w:val="none"/>
          <w:shd w:val="clear" w:color="auto" w:fill="auto"/>
        </w:rPr>
        <w:t>万元，其中：</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人员经费</w:t>
      </w:r>
      <w:r>
        <w:rPr>
          <w:rFonts w:hint="eastAsia" w:ascii="仿宋_GB2312" w:eastAsia="仿宋_GB2312"/>
          <w:color w:val="auto"/>
          <w:sz w:val="32"/>
          <w:szCs w:val="32"/>
          <w:highlight w:val="none"/>
          <w:shd w:val="clear" w:color="auto" w:fill="auto"/>
          <w:lang w:val="en-US" w:eastAsia="zh-CN"/>
        </w:rPr>
        <w:t>372.56</w:t>
      </w:r>
      <w:r>
        <w:rPr>
          <w:rFonts w:hint="eastAsia" w:ascii="仿宋_GB2312" w:eastAsia="仿宋_GB2312"/>
          <w:color w:val="auto"/>
          <w:sz w:val="32"/>
          <w:szCs w:val="32"/>
          <w:highlight w:val="none"/>
          <w:shd w:val="clear" w:color="auto" w:fill="auto"/>
        </w:rPr>
        <w:t>万元，包括：津贴补贴、机关事业单位基本养老保险缴费、职工基本医疗保险缴费、公务员医疗补助缴费、其他社会保障缴费、住房公积金、退休费、生活补助、医疗费补助。</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lang w:eastAsia="zh-CN"/>
        </w:rPr>
      </w:pPr>
      <w:r>
        <w:rPr>
          <w:rFonts w:hint="eastAsia" w:ascii="仿宋_GB2312" w:eastAsia="仿宋_GB2312"/>
          <w:color w:val="auto"/>
          <w:sz w:val="32"/>
          <w:szCs w:val="32"/>
          <w:highlight w:val="none"/>
          <w:shd w:val="clear" w:color="auto" w:fill="auto"/>
        </w:rPr>
        <w:t>公用经费</w:t>
      </w:r>
      <w:r>
        <w:rPr>
          <w:rFonts w:hint="eastAsia" w:ascii="仿宋_GB2312" w:eastAsia="仿宋_GB2312"/>
          <w:color w:val="auto"/>
          <w:sz w:val="32"/>
          <w:szCs w:val="32"/>
          <w:highlight w:val="none"/>
          <w:shd w:val="clear" w:color="auto" w:fill="auto"/>
          <w:lang w:val="en-US" w:eastAsia="zh-CN"/>
        </w:rPr>
        <w:t>0</w:t>
      </w:r>
      <w:r>
        <w:rPr>
          <w:rFonts w:hint="eastAsia" w:ascii="仿宋_GB2312" w:eastAsia="仿宋_GB2312"/>
          <w:color w:val="auto"/>
          <w:sz w:val="32"/>
          <w:szCs w:val="32"/>
          <w:highlight w:val="none"/>
          <w:shd w:val="clear" w:color="auto" w:fill="auto"/>
        </w:rPr>
        <w:t>万元</w:t>
      </w:r>
      <w:r>
        <w:rPr>
          <w:rFonts w:hint="eastAsia" w:ascii="仿宋_GB2312" w:eastAsia="仿宋_GB2312"/>
          <w:color w:val="auto"/>
          <w:sz w:val="32"/>
          <w:szCs w:val="32"/>
          <w:highlight w:val="none"/>
          <w:shd w:val="clear" w:color="auto" w:fill="auto"/>
          <w:lang w:eastAsia="zh-CN"/>
        </w:rPr>
        <w:t>。</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18" w:name="_Toc7190"/>
      <w:bookmarkStart w:id="19" w:name="_Toc21518"/>
      <w:r>
        <w:rPr>
          <w:rFonts w:hint="eastAsia" w:ascii="黑体" w:hAnsi="黑体" w:eastAsia="黑体" w:cs="宋体"/>
          <w:bCs/>
          <w:color w:val="auto"/>
          <w:kern w:val="0"/>
          <w:sz w:val="32"/>
          <w:szCs w:val="32"/>
          <w:highlight w:val="none"/>
          <w:shd w:val="clear" w:color="auto" w:fill="auto"/>
        </w:rPr>
        <w:t>七、一般公共预算财政拨款“三公”经费支出决算情况说明</w:t>
      </w:r>
      <w:bookmarkEnd w:id="18"/>
      <w:bookmarkEnd w:id="19"/>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年度一般公共预算“三公”经费支出决算0万元，比上年增加（减少）0万元，增长（降低）0%，主要原因是根据</w:t>
      </w:r>
      <w:r>
        <w:rPr>
          <w:rFonts w:ascii="仿宋_GB2312" w:eastAsia="仿宋_GB2312"/>
          <w:color w:val="auto"/>
          <w:sz w:val="32"/>
          <w:szCs w:val="32"/>
          <w:highlight w:val="none"/>
          <w:shd w:val="clear" w:color="auto" w:fill="auto"/>
        </w:rPr>
        <w:t>自治区人民政府办公厅转发的《</w:t>
      </w:r>
      <w:r>
        <w:rPr>
          <w:rFonts w:hint="eastAsia" w:ascii="仿宋_GB2312" w:eastAsia="仿宋_GB2312"/>
          <w:color w:val="auto"/>
          <w:sz w:val="32"/>
          <w:szCs w:val="32"/>
          <w:highlight w:val="none"/>
          <w:shd w:val="clear" w:color="auto" w:fill="auto"/>
        </w:rPr>
        <w:t>税务部门经费保障</w:t>
      </w:r>
      <w:r>
        <w:rPr>
          <w:rFonts w:ascii="仿宋_GB2312" w:eastAsia="仿宋_GB2312"/>
          <w:color w:val="auto"/>
          <w:sz w:val="32"/>
          <w:szCs w:val="32"/>
          <w:highlight w:val="none"/>
          <w:shd w:val="clear" w:color="auto" w:fill="auto"/>
        </w:rPr>
        <w:t>实施细则（</w:t>
      </w:r>
      <w:r>
        <w:rPr>
          <w:rFonts w:hint="eastAsia" w:ascii="仿宋_GB2312" w:eastAsia="仿宋_GB2312"/>
          <w:color w:val="auto"/>
          <w:sz w:val="32"/>
          <w:szCs w:val="32"/>
          <w:highlight w:val="none"/>
          <w:shd w:val="clear" w:color="auto" w:fill="auto"/>
        </w:rPr>
        <w:t>试行</w:t>
      </w:r>
      <w:r>
        <w:rPr>
          <w:rFonts w:ascii="仿宋_GB2312" w:eastAsia="仿宋_GB2312"/>
          <w:color w:val="auto"/>
          <w:sz w:val="32"/>
          <w:szCs w:val="32"/>
          <w:highlight w:val="none"/>
          <w:shd w:val="clear" w:color="auto" w:fill="auto"/>
        </w:rPr>
        <w:t>）》</w:t>
      </w:r>
      <w:r>
        <w:rPr>
          <w:rFonts w:hint="eastAsia" w:ascii="仿宋_GB2312" w:eastAsia="仿宋_GB2312"/>
          <w:color w:val="auto"/>
          <w:sz w:val="32"/>
          <w:szCs w:val="32"/>
          <w:highlight w:val="none"/>
          <w:shd w:val="clear" w:color="auto" w:fill="auto"/>
        </w:rPr>
        <w:t>，自治区财政不保障</w:t>
      </w:r>
      <w:r>
        <w:rPr>
          <w:rFonts w:ascii="仿宋_GB2312" w:eastAsia="仿宋_GB2312"/>
          <w:color w:val="auto"/>
          <w:sz w:val="32"/>
          <w:szCs w:val="32"/>
          <w:highlight w:val="none"/>
          <w:shd w:val="clear" w:color="auto" w:fill="auto"/>
        </w:rPr>
        <w:t>税务部门</w:t>
      </w:r>
      <w:r>
        <w:rPr>
          <w:rFonts w:hint="eastAsia" w:ascii="仿宋_GB2312" w:eastAsia="仿宋_GB2312"/>
          <w:color w:val="auto"/>
          <w:sz w:val="32"/>
          <w:szCs w:val="32"/>
          <w:highlight w:val="none"/>
          <w:shd w:val="clear" w:color="auto" w:fill="auto"/>
        </w:rPr>
        <w:t>“三公”经费，2019年</w:t>
      </w:r>
      <w:r>
        <w:rPr>
          <w:rFonts w:ascii="仿宋_GB2312" w:eastAsia="仿宋_GB2312"/>
          <w:color w:val="auto"/>
          <w:sz w:val="32"/>
          <w:szCs w:val="32"/>
          <w:highlight w:val="none"/>
          <w:shd w:val="clear" w:color="auto" w:fill="auto"/>
        </w:rPr>
        <w:t>未</w:t>
      </w:r>
      <w:r>
        <w:rPr>
          <w:rFonts w:hint="eastAsia" w:ascii="仿宋_GB2312" w:eastAsia="仿宋_GB2312"/>
          <w:color w:val="auto"/>
          <w:sz w:val="32"/>
          <w:szCs w:val="32"/>
          <w:highlight w:val="none"/>
          <w:shd w:val="clear" w:color="auto" w:fill="auto"/>
        </w:rPr>
        <w:t>安排预算。</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与年初预算数相比情况：一般公共预算“三公”经费支出年初预算数0万元，决算数0万元，预决算差异率0%。</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20" w:name="_Toc5810"/>
      <w:bookmarkStart w:id="21" w:name="_Toc7927"/>
      <w:r>
        <w:rPr>
          <w:rFonts w:hint="eastAsia" w:ascii="黑体" w:hAnsi="黑体" w:eastAsia="黑体" w:cs="宋体"/>
          <w:bCs/>
          <w:color w:val="auto"/>
          <w:kern w:val="0"/>
          <w:sz w:val="32"/>
          <w:szCs w:val="32"/>
          <w:highlight w:val="none"/>
          <w:shd w:val="clear" w:color="auto" w:fill="auto"/>
        </w:rPr>
        <w:t>八、政府性基金预算收入支出决算情况说明</w:t>
      </w:r>
      <w:bookmarkEnd w:id="20"/>
      <w:bookmarkEnd w:id="21"/>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hAnsi="仿宋" w:eastAsia="仿宋_GB2312"/>
          <w:color w:val="auto"/>
          <w:sz w:val="32"/>
          <w:szCs w:val="32"/>
          <w:highlight w:val="none"/>
          <w:shd w:val="clear" w:color="auto" w:fill="auto"/>
          <w:lang w:eastAsia="zh-CN"/>
        </w:rPr>
        <w:t>我单位</w:t>
      </w:r>
      <w:r>
        <w:rPr>
          <w:rFonts w:hint="eastAsia" w:ascii="仿宋_GB2312" w:eastAsia="仿宋_GB2312"/>
          <w:color w:val="auto"/>
          <w:sz w:val="32"/>
          <w:szCs w:val="32"/>
          <w:highlight w:val="none"/>
          <w:shd w:val="clear" w:color="auto" w:fill="auto"/>
        </w:rPr>
        <w:t>本年度无政府性基金预算财政拨款收入支出，政府性基金预算财政拨款收入支出决算表为空表。</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22" w:name="_Toc1235"/>
      <w:bookmarkStart w:id="23" w:name="_Toc7314"/>
      <w:r>
        <w:rPr>
          <w:rFonts w:hint="eastAsia" w:ascii="黑体" w:hAnsi="黑体" w:eastAsia="黑体" w:cs="宋体"/>
          <w:bCs/>
          <w:color w:val="auto"/>
          <w:kern w:val="0"/>
          <w:sz w:val="32"/>
          <w:szCs w:val="32"/>
          <w:highlight w:val="none"/>
          <w:shd w:val="clear" w:color="auto" w:fill="auto"/>
        </w:rPr>
        <w:t>九、其他重要事项的情况说明</w:t>
      </w:r>
      <w:bookmarkEnd w:id="22"/>
      <w:bookmarkEnd w:id="23"/>
    </w:p>
    <w:p>
      <w:pPr>
        <w:keepNext w:val="0"/>
        <w:keepLines w:val="0"/>
        <w:pageBreakBefore w:val="0"/>
        <w:kinsoku/>
        <w:wordWrap/>
        <w:overflowPunct/>
        <w:topLinePunct w:val="0"/>
        <w:bidi w:val="0"/>
        <w:spacing w:line="560" w:lineRule="exact"/>
        <w:ind w:firstLine="640" w:firstLineChars="200"/>
        <w:outlineLvl w:val="2"/>
        <w:rPr>
          <w:rFonts w:hint="eastAsia" w:ascii="黑体" w:hAnsi="黑体" w:eastAsia="黑体"/>
          <w:color w:val="auto"/>
          <w:sz w:val="32"/>
          <w:szCs w:val="32"/>
          <w:highlight w:val="none"/>
          <w:shd w:val="clear" w:color="auto" w:fill="auto"/>
        </w:rPr>
      </w:pPr>
      <w:bookmarkStart w:id="24" w:name="_Toc14519"/>
      <w:bookmarkStart w:id="25" w:name="_Toc13105"/>
      <w:r>
        <w:rPr>
          <w:rFonts w:hint="eastAsia" w:ascii="黑体" w:hAnsi="黑体" w:eastAsia="黑体"/>
          <w:color w:val="auto"/>
          <w:sz w:val="32"/>
          <w:szCs w:val="32"/>
          <w:highlight w:val="none"/>
          <w:shd w:val="clear" w:color="auto" w:fill="auto"/>
        </w:rPr>
        <w:t>（一）机关运行经费支出情况</w:t>
      </w:r>
      <w:bookmarkEnd w:id="24"/>
      <w:bookmarkEnd w:id="25"/>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eastAsia="仿宋_GB2312"/>
          <w:color w:val="auto"/>
          <w:sz w:val="32"/>
          <w:szCs w:val="32"/>
          <w:highlight w:val="none"/>
          <w:shd w:val="clear" w:color="auto" w:fill="auto"/>
          <w:lang w:val="en-US" w:eastAsia="zh-CN"/>
        </w:rPr>
        <w:t>塔什库尔干塔吉克自治县税务局</w:t>
      </w:r>
      <w:r>
        <w:rPr>
          <w:rFonts w:hint="eastAsia" w:ascii="仿宋_GB2312" w:eastAsia="仿宋_GB2312"/>
          <w:color w:val="auto"/>
          <w:sz w:val="32"/>
          <w:szCs w:val="32"/>
          <w:highlight w:val="none"/>
          <w:shd w:val="clear" w:color="auto" w:fill="auto"/>
        </w:rPr>
        <w:t>机关运行经费支出0万元，比上年增加（减少）0万元，增长（降低）0%，主要原因是根据</w:t>
      </w:r>
      <w:r>
        <w:rPr>
          <w:rFonts w:ascii="仿宋_GB2312" w:eastAsia="仿宋_GB2312"/>
          <w:color w:val="auto"/>
          <w:sz w:val="32"/>
          <w:szCs w:val="32"/>
          <w:highlight w:val="none"/>
          <w:shd w:val="clear" w:color="auto" w:fill="auto"/>
        </w:rPr>
        <w:t>自治区人民政府办公厅转发的《</w:t>
      </w:r>
      <w:r>
        <w:rPr>
          <w:rFonts w:hint="eastAsia" w:ascii="仿宋_GB2312" w:eastAsia="仿宋_GB2312"/>
          <w:color w:val="auto"/>
          <w:sz w:val="32"/>
          <w:szCs w:val="32"/>
          <w:highlight w:val="none"/>
          <w:shd w:val="clear" w:color="auto" w:fill="auto"/>
        </w:rPr>
        <w:t>税务部门经费保障</w:t>
      </w:r>
      <w:r>
        <w:rPr>
          <w:rFonts w:ascii="仿宋_GB2312" w:eastAsia="仿宋_GB2312"/>
          <w:color w:val="auto"/>
          <w:sz w:val="32"/>
          <w:szCs w:val="32"/>
          <w:highlight w:val="none"/>
          <w:shd w:val="clear" w:color="auto" w:fill="auto"/>
        </w:rPr>
        <w:t>实施细则（</w:t>
      </w:r>
      <w:r>
        <w:rPr>
          <w:rFonts w:hint="eastAsia" w:ascii="仿宋_GB2312" w:eastAsia="仿宋_GB2312"/>
          <w:color w:val="auto"/>
          <w:sz w:val="32"/>
          <w:szCs w:val="32"/>
          <w:highlight w:val="none"/>
          <w:shd w:val="clear" w:color="auto" w:fill="auto"/>
        </w:rPr>
        <w:t>试行</w:t>
      </w:r>
      <w:r>
        <w:rPr>
          <w:rFonts w:ascii="仿宋_GB2312" w:eastAsia="仿宋_GB2312"/>
          <w:color w:val="auto"/>
          <w:sz w:val="32"/>
          <w:szCs w:val="32"/>
          <w:highlight w:val="none"/>
          <w:shd w:val="clear" w:color="auto" w:fill="auto"/>
        </w:rPr>
        <w:t>）》</w:t>
      </w:r>
      <w:r>
        <w:rPr>
          <w:rFonts w:hint="eastAsia" w:ascii="仿宋_GB2312" w:eastAsia="仿宋_GB2312"/>
          <w:color w:val="auto"/>
          <w:sz w:val="32"/>
          <w:szCs w:val="32"/>
          <w:highlight w:val="none"/>
          <w:shd w:val="clear" w:color="auto" w:fill="auto"/>
        </w:rPr>
        <w:t>，自治区财政不保障</w:t>
      </w:r>
      <w:r>
        <w:rPr>
          <w:rFonts w:ascii="仿宋_GB2312" w:eastAsia="仿宋_GB2312"/>
          <w:color w:val="auto"/>
          <w:sz w:val="32"/>
          <w:szCs w:val="32"/>
          <w:highlight w:val="none"/>
          <w:shd w:val="clear" w:color="auto" w:fill="auto"/>
        </w:rPr>
        <w:t>税务部门</w:t>
      </w:r>
      <w:r>
        <w:rPr>
          <w:rFonts w:hint="eastAsia" w:ascii="仿宋_GB2312" w:eastAsia="仿宋_GB2312"/>
          <w:color w:val="auto"/>
          <w:sz w:val="32"/>
          <w:szCs w:val="32"/>
          <w:highlight w:val="none"/>
          <w:shd w:val="clear" w:color="auto" w:fill="auto"/>
        </w:rPr>
        <w:t>机关运行</w:t>
      </w:r>
      <w:r>
        <w:rPr>
          <w:rFonts w:ascii="仿宋_GB2312" w:eastAsia="仿宋_GB2312"/>
          <w:color w:val="auto"/>
          <w:sz w:val="32"/>
          <w:szCs w:val="32"/>
          <w:highlight w:val="none"/>
          <w:shd w:val="clear" w:color="auto" w:fill="auto"/>
        </w:rPr>
        <w:t>经费</w:t>
      </w:r>
      <w:r>
        <w:rPr>
          <w:rFonts w:hint="eastAsia" w:ascii="仿宋_GB2312" w:eastAsia="仿宋_GB2312"/>
          <w:color w:val="auto"/>
          <w:sz w:val="32"/>
          <w:szCs w:val="32"/>
          <w:highlight w:val="none"/>
          <w:shd w:val="clear" w:color="auto" w:fill="auto"/>
        </w:rPr>
        <w:t>，2019年</w:t>
      </w:r>
      <w:r>
        <w:rPr>
          <w:rFonts w:ascii="仿宋_GB2312" w:eastAsia="仿宋_GB2312"/>
          <w:color w:val="auto"/>
          <w:sz w:val="32"/>
          <w:szCs w:val="32"/>
          <w:highlight w:val="none"/>
          <w:shd w:val="clear" w:color="auto" w:fill="auto"/>
        </w:rPr>
        <w:t>未</w:t>
      </w:r>
      <w:r>
        <w:rPr>
          <w:rFonts w:hint="eastAsia" w:ascii="仿宋_GB2312" w:eastAsia="仿宋_GB2312"/>
          <w:color w:val="auto"/>
          <w:sz w:val="32"/>
          <w:szCs w:val="32"/>
          <w:highlight w:val="none"/>
          <w:shd w:val="clear" w:color="auto" w:fill="auto"/>
        </w:rPr>
        <w:t>安排预算。</w:t>
      </w:r>
    </w:p>
    <w:p>
      <w:pPr>
        <w:keepNext w:val="0"/>
        <w:keepLines w:val="0"/>
        <w:pageBreakBefore w:val="0"/>
        <w:kinsoku/>
        <w:wordWrap/>
        <w:overflowPunct/>
        <w:topLinePunct w:val="0"/>
        <w:bidi w:val="0"/>
        <w:spacing w:line="560" w:lineRule="exact"/>
        <w:ind w:firstLine="640" w:firstLineChars="200"/>
        <w:outlineLvl w:val="2"/>
        <w:rPr>
          <w:rFonts w:hint="eastAsia" w:ascii="黑体" w:hAnsi="黑体" w:eastAsia="黑体"/>
          <w:color w:val="auto"/>
          <w:sz w:val="32"/>
          <w:szCs w:val="32"/>
          <w:highlight w:val="none"/>
          <w:shd w:val="clear" w:color="auto" w:fill="auto"/>
        </w:rPr>
      </w:pPr>
      <w:bookmarkStart w:id="26" w:name="_Toc227"/>
      <w:bookmarkStart w:id="27" w:name="_Toc26704"/>
      <w:r>
        <w:rPr>
          <w:rFonts w:hint="eastAsia" w:ascii="黑体" w:hAnsi="黑体" w:eastAsia="黑体"/>
          <w:color w:val="auto"/>
          <w:sz w:val="32"/>
          <w:szCs w:val="32"/>
          <w:highlight w:val="none"/>
          <w:shd w:val="clear" w:color="auto" w:fill="auto"/>
        </w:rPr>
        <w:t>（二）政府采购情况</w:t>
      </w:r>
      <w:bookmarkEnd w:id="26"/>
      <w:bookmarkEnd w:id="27"/>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年度政府采购支出总额0万元，其中：政府采购货物支出0万元、政府采购工程支出0万元、政府采购服务支出0万元。</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授予中小企业合同金额0万元，占政府采购支出总额的0%，其中：授予小微企业合同金额0万元，占政府采购支出总额的0%。</w:t>
      </w:r>
    </w:p>
    <w:p>
      <w:pPr>
        <w:keepNext w:val="0"/>
        <w:keepLines w:val="0"/>
        <w:pageBreakBefore w:val="0"/>
        <w:kinsoku/>
        <w:wordWrap/>
        <w:overflowPunct/>
        <w:topLinePunct w:val="0"/>
        <w:bidi w:val="0"/>
        <w:spacing w:line="560" w:lineRule="exact"/>
        <w:ind w:firstLine="640" w:firstLineChars="200"/>
        <w:outlineLvl w:val="2"/>
        <w:rPr>
          <w:rFonts w:hint="eastAsia" w:ascii="黑体" w:hAnsi="黑体" w:eastAsia="黑体"/>
          <w:color w:val="auto"/>
          <w:sz w:val="32"/>
          <w:szCs w:val="32"/>
          <w:highlight w:val="none"/>
          <w:shd w:val="clear" w:color="auto" w:fill="auto"/>
        </w:rPr>
      </w:pPr>
      <w:bookmarkStart w:id="28" w:name="_Toc8391"/>
      <w:bookmarkStart w:id="29" w:name="_Toc4591"/>
      <w:r>
        <w:rPr>
          <w:rFonts w:hint="eastAsia" w:ascii="黑体" w:hAnsi="黑体" w:eastAsia="黑体"/>
          <w:color w:val="auto"/>
          <w:sz w:val="32"/>
          <w:szCs w:val="32"/>
          <w:highlight w:val="none"/>
          <w:shd w:val="clear" w:color="auto" w:fill="auto"/>
        </w:rPr>
        <w:t>（三）国有资产占用情况说明</w:t>
      </w:r>
      <w:bookmarkEnd w:id="28"/>
      <w:bookmarkEnd w:id="29"/>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截止2</w:t>
      </w:r>
      <w:r>
        <w:rPr>
          <w:rFonts w:ascii="仿宋_GB2312" w:eastAsia="仿宋_GB2312"/>
          <w:color w:val="auto"/>
          <w:sz w:val="32"/>
          <w:szCs w:val="32"/>
          <w:highlight w:val="none"/>
          <w:shd w:val="clear" w:color="auto" w:fill="auto"/>
        </w:rPr>
        <w:t>019</w:t>
      </w:r>
      <w:r>
        <w:rPr>
          <w:rFonts w:hint="eastAsia" w:ascii="仿宋_GB2312" w:eastAsia="仿宋_GB2312"/>
          <w:color w:val="auto"/>
          <w:sz w:val="32"/>
          <w:szCs w:val="32"/>
          <w:highlight w:val="none"/>
          <w:shd w:val="clear" w:color="auto" w:fill="auto"/>
        </w:rPr>
        <w:t>年12月31日，单位共有房屋0（平方米），价值0万元。车辆0辆，价值0万元，其中：副部（省）级及以上领导用车0辆、主要领导干部用车0辆、机要通信用车0辆、应急保障用车0辆、执法执勤用车0辆、特种专业技术用车0辆、离退休干部用车0辆、其他用车0辆；单位价值50万元以上通用设备0台（套）、单位价值100万元以上专用设备0台（套）。</w:t>
      </w:r>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30" w:name="_Toc435"/>
      <w:bookmarkStart w:id="31" w:name="_Toc11283"/>
      <w:r>
        <w:rPr>
          <w:rFonts w:hint="eastAsia" w:ascii="黑体" w:hAnsi="黑体" w:eastAsia="黑体" w:cs="宋体"/>
          <w:bCs/>
          <w:color w:val="auto"/>
          <w:kern w:val="0"/>
          <w:sz w:val="32"/>
          <w:szCs w:val="32"/>
          <w:highlight w:val="none"/>
          <w:shd w:val="clear" w:color="auto" w:fill="auto"/>
        </w:rPr>
        <w:t>十、预算绩效的情况说明</w:t>
      </w:r>
      <w:bookmarkEnd w:id="30"/>
      <w:bookmarkEnd w:id="31"/>
    </w:p>
    <w:p>
      <w:pPr>
        <w:keepNext w:val="0"/>
        <w:keepLines w:val="0"/>
        <w:pageBreakBefore w:val="0"/>
        <w:kinsoku/>
        <w:wordWrap/>
        <w:overflowPunct/>
        <w:topLinePunct w:val="0"/>
        <w:bidi w:val="0"/>
        <w:adjustRightInd/>
        <w:snapToGrid/>
        <w:spacing w:line="560" w:lineRule="exact"/>
        <w:ind w:firstLine="640" w:firstLineChars="200"/>
        <w:rPr>
          <w:rFonts w:hint="eastAsia" w:ascii="仿宋_GB2312" w:eastAsia="仿宋_GB2312"/>
          <w:sz w:val="32"/>
          <w:szCs w:val="32"/>
        </w:rPr>
      </w:pPr>
      <w:bookmarkStart w:id="32" w:name="_Toc24143"/>
      <w:bookmarkStart w:id="33" w:name="_Toc3250"/>
      <w:r>
        <w:rPr>
          <w:rFonts w:hint="eastAsia" w:ascii="仿宋_GB2312" w:eastAsia="仿宋_GB2312"/>
          <w:color w:val="auto"/>
          <w:sz w:val="32"/>
          <w:szCs w:val="32"/>
          <w:highlight w:val="none"/>
          <w:shd w:val="clear" w:color="auto" w:fill="auto"/>
        </w:rPr>
        <w:t>根据预算绩效管理要求，</w:t>
      </w:r>
      <w:r>
        <w:rPr>
          <w:rFonts w:hint="eastAsia" w:ascii="仿宋_GB2312" w:hAnsi="仿宋" w:eastAsia="仿宋_GB2312"/>
          <w:color w:val="auto"/>
          <w:sz w:val="32"/>
          <w:szCs w:val="32"/>
          <w:highlight w:val="none"/>
          <w:shd w:val="clear" w:color="auto" w:fill="auto"/>
          <w:lang w:eastAsia="zh-CN"/>
        </w:rPr>
        <w:t>国家税务总局</w:t>
      </w:r>
      <w:r>
        <w:rPr>
          <w:rFonts w:hint="eastAsia" w:ascii="仿宋_GB2312" w:eastAsia="仿宋_GB2312"/>
          <w:color w:val="auto"/>
          <w:sz w:val="32"/>
          <w:szCs w:val="32"/>
          <w:highlight w:val="none"/>
          <w:shd w:val="clear" w:color="auto" w:fill="auto"/>
          <w:lang w:val="en-US" w:eastAsia="zh-CN"/>
        </w:rPr>
        <w:t>塔什库尔干塔吉克自治县税务局</w:t>
      </w:r>
      <w:r>
        <w:rPr>
          <w:rFonts w:hint="eastAsia" w:ascii="仿宋_GB2312" w:eastAsia="仿宋_GB2312"/>
          <w:color w:val="auto"/>
          <w:sz w:val="32"/>
          <w:szCs w:val="32"/>
          <w:highlight w:val="none"/>
          <w:shd w:val="clear" w:color="auto" w:fill="auto"/>
        </w:rPr>
        <w:t>2019年度开展预算绩效评价项目1个，为自治区财政安排“三代”手续费预算，</w:t>
      </w:r>
      <w:r>
        <w:rPr>
          <w:rFonts w:hint="eastAsia" w:ascii="仿宋_GB2312" w:eastAsia="仿宋_GB2312"/>
          <w:color w:val="auto"/>
          <w:sz w:val="32"/>
          <w:szCs w:val="32"/>
          <w:highlight w:val="none"/>
          <w:shd w:val="clear" w:color="auto" w:fill="auto"/>
          <w:lang w:eastAsia="zh-CN"/>
        </w:rPr>
        <w:t>共</w:t>
      </w:r>
      <w:r>
        <w:rPr>
          <w:rFonts w:hint="eastAsia" w:ascii="仿宋_GB2312" w:eastAsia="仿宋_GB2312"/>
          <w:color w:val="auto"/>
          <w:sz w:val="32"/>
          <w:szCs w:val="32"/>
          <w:highlight w:val="none"/>
          <w:shd w:val="clear" w:color="auto" w:fill="auto"/>
        </w:rPr>
        <w:t>涉及资金</w:t>
      </w:r>
      <w:r>
        <w:rPr>
          <w:rFonts w:hint="eastAsia" w:ascii="仿宋_GB2312" w:eastAsia="仿宋_GB2312"/>
          <w:color w:val="auto"/>
          <w:sz w:val="32"/>
          <w:szCs w:val="32"/>
          <w:highlight w:val="none"/>
          <w:shd w:val="clear" w:color="auto" w:fill="auto"/>
          <w:lang w:val="en-US" w:eastAsia="zh-CN"/>
        </w:rPr>
        <w:t>2</w:t>
      </w:r>
      <w:r>
        <w:rPr>
          <w:rFonts w:hint="eastAsia" w:ascii="仿宋_GB2312" w:eastAsia="仿宋_GB2312"/>
          <w:color w:val="auto"/>
          <w:sz w:val="32"/>
          <w:szCs w:val="32"/>
          <w:highlight w:val="none"/>
          <w:shd w:val="clear" w:color="auto" w:fill="auto"/>
        </w:rPr>
        <w:t>万元</w:t>
      </w:r>
      <w:r>
        <w:rPr>
          <w:rFonts w:hint="eastAsia" w:ascii="仿宋_GB2312" w:eastAsia="仿宋_GB2312"/>
          <w:b w:val="0"/>
          <w:bCs w:val="0"/>
          <w:color w:val="auto"/>
          <w:sz w:val="32"/>
          <w:szCs w:val="32"/>
          <w:highlight w:val="none"/>
          <w:shd w:val="clear" w:color="auto" w:fill="auto"/>
        </w:rPr>
        <w:t>。预算绩效管理取得的成效：能够按预算执行“三</w:t>
      </w:r>
      <w:bookmarkStart w:id="52" w:name="_GoBack"/>
      <w:bookmarkEnd w:id="52"/>
      <w:r>
        <w:rPr>
          <w:rFonts w:hint="eastAsia" w:ascii="仿宋_GB2312" w:eastAsia="仿宋_GB2312"/>
          <w:b w:val="0"/>
          <w:bCs w:val="0"/>
          <w:color w:val="auto"/>
          <w:sz w:val="32"/>
          <w:szCs w:val="32"/>
          <w:highlight w:val="none"/>
          <w:shd w:val="clear" w:color="auto" w:fill="auto"/>
        </w:rPr>
        <w:t>代”手续费支出，如期完成年初预定的绩效指标，按规定比例向代扣代收代征单位支付手续费；能够积极落实支持民营企业和中小企业发展的要求，对预算安排的“三代”手续费优先用于支付应付未付民营企业和中小企业手续费；降低征纳双方税收成本，切实解决税收征收管理难、征管质量和效率偏低的问题，减少跑、冒、滴、漏，提升税收征管质量和效率，为全面完成各项税收任务，努力增加财政收入做出应有的贡献。发现的问题及原因：主要</w:t>
      </w:r>
      <w:r>
        <w:rPr>
          <w:rFonts w:hint="eastAsia" w:ascii="仿宋_GB2312" w:eastAsia="仿宋_GB2312"/>
          <w:b w:val="0"/>
          <w:bCs w:val="0"/>
          <w:color w:val="auto"/>
          <w:sz w:val="32"/>
          <w:szCs w:val="32"/>
          <w:highlight w:val="none"/>
          <w:shd w:val="clear" w:color="auto" w:fill="auto"/>
          <w:lang w:val="en-US" w:eastAsia="zh-CN"/>
        </w:rPr>
        <w:t>是</w:t>
      </w:r>
      <w:r>
        <w:rPr>
          <w:rFonts w:hint="eastAsia" w:ascii="仿宋_GB2312" w:eastAsia="仿宋_GB2312"/>
          <w:b w:val="0"/>
          <w:bCs w:val="0"/>
          <w:color w:val="auto"/>
          <w:sz w:val="32"/>
          <w:szCs w:val="32"/>
          <w:highlight w:val="none"/>
          <w:shd w:val="clear" w:color="auto" w:fill="auto"/>
        </w:rPr>
        <w:t>2018年及以前年度应付未付三代手续费尚有较大的经费缺口，欠付时间较长，代扣代收代征单位意见较大，不利于激励代扣代收代征单位扣缴税款的积极性。下一步改进措施：</w:t>
      </w:r>
      <w:r>
        <w:rPr>
          <w:rFonts w:hint="eastAsia" w:ascii="仿宋_GB2312" w:eastAsia="仿宋_GB2312"/>
          <w:b w:val="0"/>
          <w:bCs/>
          <w:sz w:val="32"/>
          <w:szCs w:val="32"/>
          <w:lang w:val="en-US" w:eastAsia="zh-CN"/>
        </w:rPr>
        <w:t>合理安排预算资金，</w:t>
      </w:r>
      <w:r>
        <w:rPr>
          <w:rFonts w:ascii="仿宋_GB2312" w:eastAsia="仿宋_GB2312"/>
          <w:sz w:val="32"/>
          <w:szCs w:val="32"/>
        </w:rPr>
        <w:t>争取</w:t>
      </w:r>
      <w:r>
        <w:rPr>
          <w:rFonts w:hint="eastAsia" w:ascii="仿宋_GB2312" w:eastAsia="仿宋_GB2312"/>
          <w:sz w:val="32"/>
          <w:szCs w:val="32"/>
          <w:lang w:val="en-US" w:eastAsia="zh-CN"/>
        </w:rPr>
        <w:t>早日完成</w:t>
      </w:r>
      <w:r>
        <w:rPr>
          <w:rFonts w:hint="eastAsia" w:ascii="仿宋_GB2312" w:eastAsia="仿宋_GB2312"/>
          <w:sz w:val="32"/>
          <w:szCs w:val="32"/>
        </w:rPr>
        <w:t>2018年及以前年度应付未付三代手续费</w:t>
      </w:r>
      <w:r>
        <w:rPr>
          <w:rFonts w:hint="eastAsia" w:ascii="仿宋_GB2312" w:eastAsia="仿宋_GB2312"/>
          <w:sz w:val="32"/>
          <w:szCs w:val="32"/>
          <w:lang w:val="en-US" w:eastAsia="zh-CN"/>
        </w:rPr>
        <w:t>支付工作</w:t>
      </w:r>
      <w:r>
        <w:rPr>
          <w:rFonts w:hint="eastAsia" w:ascii="仿宋_GB2312" w:eastAsia="仿宋_GB2312"/>
          <w:sz w:val="32"/>
          <w:szCs w:val="32"/>
        </w:rPr>
        <w:t>。</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p>
    <w:tbl>
      <w:tblPr>
        <w:tblStyle w:val="7"/>
        <w:tblW w:w="9570" w:type="dxa"/>
        <w:jc w:val="center"/>
        <w:tblInd w:w="-34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705"/>
        <w:gridCol w:w="615"/>
        <w:gridCol w:w="960"/>
        <w:gridCol w:w="1080"/>
        <w:gridCol w:w="840"/>
        <w:gridCol w:w="1065"/>
        <w:gridCol w:w="1125"/>
        <w:gridCol w:w="750"/>
        <w:gridCol w:w="750"/>
        <w:gridCol w:w="60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405" w:hRule="atLeast"/>
          <w:jc w:val="center"/>
        </w:trPr>
        <w:tc>
          <w:tcPr>
            <w:tcW w:w="9570" w:type="dxa"/>
            <w:gridSpan w:val="11"/>
            <w:tcBorders>
              <w:top w:val="nil"/>
              <w:left w:val="nil"/>
              <w:bottom w:val="nil"/>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b/>
                <w:i w:val="0"/>
                <w:color w:val="000000"/>
                <w:sz w:val="32"/>
                <w:szCs w:val="32"/>
                <w:u w:val="none"/>
              </w:rPr>
            </w:pPr>
            <w:r>
              <w:rPr>
                <w:rFonts w:hint="eastAsia" w:ascii="宋体" w:hAnsi="宋体" w:eastAsia="宋体" w:cs="宋体"/>
                <w:b/>
                <w:i w:val="0"/>
                <w:color w:val="000000"/>
                <w:kern w:val="0"/>
                <w:sz w:val="32"/>
                <w:szCs w:val="32"/>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9570" w:type="dxa"/>
            <w:gridSpan w:val="11"/>
            <w:tcBorders>
              <w:top w:val="nil"/>
              <w:left w:val="nil"/>
              <w:bottom w:val="nil"/>
              <w:right w:val="nil"/>
            </w:tcBorders>
            <w:shd w:val="clear" w:color="auto" w:fill="auto"/>
            <w:tcMar>
              <w:top w:w="15" w:type="dxa"/>
              <w:left w:w="15" w:type="dxa"/>
              <w:right w:w="15" w:type="dxa"/>
            </w:tcMar>
            <w:vAlign w:val="top"/>
          </w:tcPr>
          <w:p>
            <w:pPr>
              <w:keepNext w:val="0"/>
              <w:keepLines w:val="0"/>
              <w:pageBreakBefore w:val="0"/>
              <w:widowControl/>
              <w:suppressLineNumbers w:val="0"/>
              <w:kinsoku/>
              <w:wordWrap/>
              <w:overflowPunct/>
              <w:topLinePunct w:val="0"/>
              <w:bidi w:val="0"/>
              <w:spacing w:line="240" w:lineRule="auto"/>
              <w:jc w:val="center"/>
              <w:textAlignment w:val="top"/>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22"/>
                <w:szCs w:val="22"/>
                <w:u w:val="none"/>
                <w:lang w:val="en-US" w:eastAsia="zh-CN" w:bidi="ar"/>
              </w:rPr>
              <w:t>（ 2019年度）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8250"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代扣代收代征税款手续费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3945"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国家税务总局新疆维吾尔自治区税务局</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318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国家税务总局塔什库尔干塔吉克自治县税务局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1065"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w:t>
            </w:r>
          </w:p>
        </w:tc>
        <w:tc>
          <w:tcPr>
            <w:tcW w:w="10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righ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0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rPr>
                <w:rFonts w:hint="eastAsia" w:ascii="宋体" w:hAnsi="宋体" w:eastAsia="宋体" w:cs="宋体"/>
                <w:i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13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rPr>
                <w:rFonts w:hint="eastAsia" w:ascii="宋体" w:hAnsi="宋体" w:eastAsia="宋体" w:cs="宋体"/>
                <w:i w:val="0"/>
                <w:color w:val="000000"/>
                <w:sz w:val="22"/>
                <w:szCs w:val="22"/>
                <w:u w:val="none"/>
              </w:rPr>
            </w:pPr>
          </w:p>
        </w:tc>
        <w:tc>
          <w:tcPr>
            <w:tcW w:w="204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8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065" w:type="dxa"/>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rPr>
                <w:rFonts w:hint="eastAsia" w:ascii="宋体" w:hAnsi="宋体" w:eastAsia="宋体" w:cs="宋体"/>
                <w:i w:val="0"/>
                <w:color w:val="000000"/>
                <w:sz w:val="18"/>
                <w:szCs w:val="18"/>
                <w:u w:val="none"/>
              </w:rPr>
            </w:pP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70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430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45" w:hRule="atLeast"/>
          <w:jc w:val="center"/>
        </w:trPr>
        <w:tc>
          <w:tcPr>
            <w:tcW w:w="70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456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向代扣代征代收税款单位按时支付手续费，保障相关税收征管工作顺利进行。一是对于税务系统委托有关单位和个人代征零星分散和异地缴纳的税款，向代征单位支付一定比例的手续费。二是对于代扣代缴、代收代缴等法定义务，税务系统按照税款的一定比例支付手续费。</w:t>
            </w:r>
          </w:p>
        </w:tc>
        <w:tc>
          <w:tcPr>
            <w:tcW w:w="4305"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向代扣代征代收税款单位按时支付手续费，保障相关税收征管工作顺利进行。一是对于税务系统委托有关单位和个人代征零星分散和异地缴纳的税款，向代征单位支付一定比例的手续费。二是对于代扣代缴、代收代缴等法定义务，税务系统按照税款的一定比例支付手续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50" w:hRule="atLeast"/>
          <w:jc w:val="center"/>
        </w:trPr>
        <w:tc>
          <w:tcPr>
            <w:tcW w:w="705" w:type="dxa"/>
            <w:vMerge w:val="restart"/>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效</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标</w:t>
            </w:r>
          </w:p>
        </w:tc>
        <w:tc>
          <w:tcPr>
            <w:tcW w:w="61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委托代征税款支付比例</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0.03%-5%</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30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支付手续费是否符合规定费率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符合</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符合</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代征零星分散和异地缴纳的税款</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节约纳税成本</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节约纳税成本</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代扣代收代征税款手续费业务覆盖范围是否合理</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合理</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合理</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96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依法组织税收收入</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依法征税</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依法征税</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w:t>
            </w:r>
            <w:r>
              <w:rPr>
                <w:rFonts w:hint="eastAsia" w:ascii="宋体" w:hAnsi="宋体" w:eastAsia="宋体" w:cs="宋体"/>
                <w:i w:val="0"/>
                <w:color w:val="000000"/>
                <w:kern w:val="0"/>
                <w:sz w:val="18"/>
                <w:szCs w:val="18"/>
                <w:u w:val="none"/>
                <w:lang w:val="en-US" w:eastAsia="zh-CN" w:bidi="ar"/>
              </w:rPr>
              <w:br w:type="textWrapping"/>
            </w:r>
            <w:r>
              <w:rPr>
                <w:rFonts w:hint="eastAsia" w:ascii="宋体" w:hAnsi="宋体" w:eastAsia="宋体" w:cs="宋体"/>
                <w:i w:val="0"/>
                <w:color w:val="000000"/>
                <w:kern w:val="0"/>
                <w:sz w:val="18"/>
                <w:szCs w:val="18"/>
                <w:u w:val="none"/>
                <w:lang w:val="en-US" w:eastAsia="zh-CN" w:bidi="ar"/>
              </w:rPr>
              <w:t>指标</w:t>
            </w: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代扣代收代征单位满意度</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≥85%</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65" w:hRule="atLeast"/>
          <w:jc w:val="center"/>
        </w:trPr>
        <w:tc>
          <w:tcPr>
            <w:tcW w:w="705" w:type="dxa"/>
            <w:vMerge w:val="continue"/>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61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c>
          <w:tcPr>
            <w:tcW w:w="1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代扣代收代征单位对相关政策的知晓率</w:t>
            </w:r>
          </w:p>
        </w:tc>
        <w:tc>
          <w:tcPr>
            <w:tcW w:w="10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1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70" w:hRule="atLeast"/>
          <w:jc w:val="center"/>
        </w:trPr>
        <w:tc>
          <w:tcPr>
            <w:tcW w:w="639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750" w:type="dxa"/>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bidi w:val="0"/>
              <w:spacing w:line="240" w:lineRule="auto"/>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8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kinsoku/>
              <w:wordWrap/>
              <w:overflowPunct/>
              <w:topLinePunct w:val="0"/>
              <w:bidi w:val="0"/>
              <w:spacing w:line="240" w:lineRule="auto"/>
              <w:jc w:val="center"/>
              <w:rPr>
                <w:rFonts w:hint="eastAsia" w:ascii="宋体" w:hAnsi="宋体" w:eastAsia="宋体" w:cs="宋体"/>
                <w:i w:val="0"/>
                <w:color w:val="000000"/>
                <w:sz w:val="18"/>
                <w:szCs w:val="18"/>
                <w:u w:val="none"/>
              </w:rPr>
            </w:pPr>
          </w:p>
        </w:tc>
      </w:tr>
    </w:tbl>
    <w:p>
      <w:pPr>
        <w:keepNext w:val="0"/>
        <w:keepLines w:val="0"/>
        <w:pageBreakBefore w:val="0"/>
        <w:kinsoku/>
        <w:wordWrap/>
        <w:overflowPunct/>
        <w:topLinePunct w:val="0"/>
        <w:bidi w:val="0"/>
        <w:spacing w:line="560" w:lineRule="exact"/>
        <w:jc w:val="both"/>
        <w:outlineLvl w:val="0"/>
        <w:rPr>
          <w:rFonts w:hint="eastAsia" w:ascii="黑体" w:hAnsi="黑体" w:eastAsia="黑体"/>
          <w:color w:val="auto"/>
          <w:sz w:val="32"/>
          <w:szCs w:val="32"/>
          <w:highlight w:val="none"/>
          <w:shd w:val="clear" w:color="auto" w:fill="auto"/>
        </w:rPr>
      </w:pPr>
    </w:p>
    <w:p>
      <w:pPr>
        <w:keepNext w:val="0"/>
        <w:keepLines w:val="0"/>
        <w:pageBreakBefore w:val="0"/>
        <w:kinsoku/>
        <w:wordWrap/>
        <w:overflowPunct/>
        <w:topLinePunct w:val="0"/>
        <w:bidi w:val="0"/>
        <w:spacing w:line="560" w:lineRule="exact"/>
        <w:jc w:val="center"/>
        <w:outlineLvl w:val="0"/>
        <w:rPr>
          <w:rFonts w:ascii="黑体" w:hAnsi="黑体" w:eastAsia="黑体"/>
          <w:color w:val="auto"/>
          <w:sz w:val="32"/>
          <w:szCs w:val="32"/>
          <w:highlight w:val="none"/>
          <w:shd w:val="clear" w:color="auto" w:fill="auto"/>
        </w:rPr>
      </w:pPr>
      <w:r>
        <w:rPr>
          <w:rFonts w:hint="eastAsia" w:ascii="黑体" w:hAnsi="黑体" w:eastAsia="黑体"/>
          <w:color w:val="auto"/>
          <w:sz w:val="32"/>
          <w:szCs w:val="32"/>
          <w:highlight w:val="none"/>
          <w:shd w:val="clear" w:color="auto" w:fill="auto"/>
        </w:rPr>
        <w:t>第三部分 专业名词解释</w:t>
      </w:r>
      <w:bookmarkEnd w:id="32"/>
      <w:bookmarkEnd w:id="33"/>
    </w:p>
    <w:p>
      <w:pPr>
        <w:keepNext w:val="0"/>
        <w:keepLines w:val="0"/>
        <w:pageBreakBefore w:val="0"/>
        <w:kinsoku/>
        <w:wordWrap/>
        <w:overflowPunct/>
        <w:topLinePunct w:val="0"/>
        <w:bidi w:val="0"/>
        <w:spacing w:line="560" w:lineRule="exact"/>
        <w:ind w:firstLine="640" w:firstLineChars="200"/>
        <w:jc w:val="center"/>
        <w:outlineLvl w:val="0"/>
        <w:rPr>
          <w:rFonts w:hint="eastAsia" w:ascii="黑体" w:hAnsi="黑体" w:eastAsia="黑体"/>
          <w:color w:val="auto"/>
          <w:sz w:val="32"/>
          <w:szCs w:val="32"/>
          <w:highlight w:val="none"/>
          <w:shd w:val="clear" w:color="auto" w:fill="auto"/>
        </w:rPr>
      </w:pP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财政拨款收入：指同级财政当年拨付的资金。</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上级补助收入：指事业单位从主管部门和上级单位取得的非财政补助收入。</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事业收入：指事业单位开展专业业务活动及其辅助活动所取得的收入。</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经营收入：指事业单位在专业业务活动及其辅助活动之外开展非独立核算经营活动取得的收入。</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附属单位上缴收入：指事业单位附属的独立核算单位按有关规定上缴的收入。</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其他收入：指除上述“财政拨款收入”、“事业收入”、“经营收入”、“附属单位上缴收入”等之外取得的收入。</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年初结转和结余：指以前年度支出预算因客观条件变化未执行完毕、结转到本年度按有关规定继续使用的资金，既包括财政拨款结转和结余，也包括事业收入、经营收入、其他收入的结转和结余。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基本支出：指为保障机构正常运转、完成日常工作任务而发生的人员支出和公用支出。</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项目支出：指在基本支出之外为完成特定行政任务和事业发展目标所发生的支出。</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经营支出：指事业单位在专业业务活动及其辅助活动之外开展非独立核算经营活动发生的支出。</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对附属单位补助支出：指事业单位发生的用非财政预算资金对附属单位的补助支出。</w:t>
      </w:r>
    </w:p>
    <w:p>
      <w:pPr>
        <w:keepNext w:val="0"/>
        <w:keepLines w:val="0"/>
        <w:pageBreakBefore w:val="0"/>
        <w:kinsoku/>
        <w:wordWrap/>
        <w:overflowPunct/>
        <w:topLinePunct w:val="0"/>
        <w:autoSpaceDE w:val="0"/>
        <w:autoSpaceDN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keepNext w:val="0"/>
        <w:keepLines w:val="0"/>
        <w:pageBreakBefore w:val="0"/>
        <w:kinsoku/>
        <w:wordWrap/>
        <w:overflowPunct/>
        <w:topLinePunct w:val="0"/>
        <w:bidi w:val="0"/>
        <w:spacing w:line="560" w:lineRule="exact"/>
        <w:ind w:firstLine="640" w:firstLineChars="200"/>
        <w:rPr>
          <w:rFonts w:hint="eastAsia" w:ascii="仿宋_GB2312" w:eastAsia="仿宋_GB2312"/>
          <w:color w:val="auto"/>
          <w:sz w:val="32"/>
          <w:szCs w:val="32"/>
          <w:highlight w:val="none"/>
          <w:shd w:val="clear" w:color="auto" w:fill="auto"/>
        </w:rPr>
      </w:pPr>
      <w:r>
        <w:rPr>
          <w:rFonts w:hint="eastAsia" w:ascii="仿宋_GB2312" w:eastAsia="仿宋_GB2312"/>
          <w:color w:val="auto"/>
          <w:sz w:val="32"/>
          <w:szCs w:val="32"/>
          <w:highlight w:val="none"/>
          <w:shd w:val="clear" w:color="auto" w:fill="auto"/>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bidi w:val="0"/>
        <w:spacing w:line="560" w:lineRule="exact"/>
        <w:ind w:firstLine="640" w:firstLineChars="200"/>
        <w:jc w:val="center"/>
        <w:outlineLvl w:val="0"/>
        <w:rPr>
          <w:rFonts w:hint="eastAsia" w:ascii="黑体" w:hAnsi="黑体" w:eastAsia="黑体"/>
          <w:color w:val="auto"/>
          <w:sz w:val="32"/>
          <w:szCs w:val="32"/>
          <w:highlight w:val="none"/>
          <w:shd w:val="clear" w:color="auto" w:fill="auto"/>
        </w:rPr>
      </w:pPr>
      <w:bookmarkStart w:id="34" w:name="_Toc28903"/>
      <w:bookmarkStart w:id="35" w:name="_Toc22784"/>
    </w:p>
    <w:p>
      <w:pPr>
        <w:keepNext w:val="0"/>
        <w:keepLines w:val="0"/>
        <w:pageBreakBefore w:val="0"/>
        <w:kinsoku/>
        <w:wordWrap/>
        <w:overflowPunct/>
        <w:topLinePunct w:val="0"/>
        <w:bidi w:val="0"/>
        <w:spacing w:line="560" w:lineRule="exact"/>
        <w:ind w:firstLine="640" w:firstLineChars="200"/>
        <w:jc w:val="center"/>
        <w:outlineLvl w:val="0"/>
        <w:rPr>
          <w:rFonts w:hint="eastAsia" w:ascii="黑体" w:hAnsi="黑体" w:eastAsia="黑体"/>
          <w:color w:val="auto"/>
          <w:sz w:val="32"/>
          <w:szCs w:val="32"/>
          <w:highlight w:val="none"/>
          <w:shd w:val="clear" w:color="auto" w:fill="auto"/>
        </w:rPr>
      </w:pPr>
      <w:r>
        <w:rPr>
          <w:rFonts w:hint="eastAsia" w:ascii="黑体" w:hAnsi="黑体" w:eastAsia="黑体"/>
          <w:color w:val="auto"/>
          <w:sz w:val="32"/>
          <w:szCs w:val="32"/>
          <w:highlight w:val="none"/>
          <w:shd w:val="clear" w:color="auto" w:fill="auto"/>
        </w:rPr>
        <w:t>第四部分 部门决算报表（见附表）</w:t>
      </w:r>
      <w:bookmarkEnd w:id="34"/>
      <w:bookmarkEnd w:id="35"/>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36" w:name="_Toc6062"/>
      <w:bookmarkStart w:id="37" w:name="_Toc2183"/>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r>
        <w:rPr>
          <w:rFonts w:hint="eastAsia" w:ascii="黑体" w:hAnsi="黑体" w:eastAsia="黑体" w:cs="宋体"/>
          <w:bCs/>
          <w:color w:val="auto"/>
          <w:kern w:val="0"/>
          <w:sz w:val="32"/>
          <w:szCs w:val="32"/>
          <w:highlight w:val="none"/>
          <w:shd w:val="clear" w:color="auto" w:fill="auto"/>
        </w:rPr>
        <w:t>一、《收入支出决算总表》</w:t>
      </w:r>
      <w:bookmarkEnd w:id="36"/>
      <w:bookmarkEnd w:id="37"/>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38" w:name="_Toc30364"/>
      <w:bookmarkStart w:id="39" w:name="_Toc24532"/>
      <w:r>
        <w:rPr>
          <w:rFonts w:hint="eastAsia" w:ascii="黑体" w:hAnsi="黑体" w:eastAsia="黑体" w:cs="宋体"/>
          <w:bCs/>
          <w:color w:val="auto"/>
          <w:kern w:val="0"/>
          <w:sz w:val="32"/>
          <w:szCs w:val="32"/>
          <w:highlight w:val="none"/>
          <w:shd w:val="clear" w:color="auto" w:fill="auto"/>
        </w:rPr>
        <w:t>二、《收入决算表》</w:t>
      </w:r>
      <w:bookmarkEnd w:id="38"/>
      <w:bookmarkEnd w:id="39"/>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40" w:name="_Toc21304"/>
      <w:bookmarkStart w:id="41" w:name="_Toc32434"/>
      <w:r>
        <w:rPr>
          <w:rFonts w:hint="eastAsia" w:ascii="黑体" w:hAnsi="黑体" w:eastAsia="黑体" w:cs="宋体"/>
          <w:bCs/>
          <w:color w:val="auto"/>
          <w:kern w:val="0"/>
          <w:sz w:val="32"/>
          <w:szCs w:val="32"/>
          <w:highlight w:val="none"/>
          <w:shd w:val="clear" w:color="auto" w:fill="auto"/>
        </w:rPr>
        <w:t>三、《支出决算表》</w:t>
      </w:r>
      <w:bookmarkEnd w:id="40"/>
      <w:bookmarkEnd w:id="41"/>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42" w:name="_Toc28786"/>
      <w:bookmarkStart w:id="43" w:name="_Toc14238"/>
      <w:r>
        <w:rPr>
          <w:rFonts w:hint="eastAsia" w:ascii="黑体" w:hAnsi="黑体" w:eastAsia="黑体" w:cs="宋体"/>
          <w:bCs/>
          <w:color w:val="auto"/>
          <w:kern w:val="0"/>
          <w:sz w:val="32"/>
          <w:szCs w:val="32"/>
          <w:highlight w:val="none"/>
          <w:shd w:val="clear" w:color="auto" w:fill="auto"/>
        </w:rPr>
        <w:t>四、《财政拨款收入支出决算总表》</w:t>
      </w:r>
      <w:bookmarkEnd w:id="42"/>
      <w:bookmarkEnd w:id="43"/>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44" w:name="_Toc14869"/>
      <w:bookmarkStart w:id="45" w:name="_Toc10347"/>
      <w:r>
        <w:rPr>
          <w:rFonts w:hint="eastAsia" w:ascii="黑体" w:hAnsi="黑体" w:eastAsia="黑体" w:cs="宋体"/>
          <w:bCs/>
          <w:color w:val="auto"/>
          <w:kern w:val="0"/>
          <w:sz w:val="32"/>
          <w:szCs w:val="32"/>
          <w:highlight w:val="none"/>
          <w:shd w:val="clear" w:color="auto" w:fill="auto"/>
        </w:rPr>
        <w:t>五、《一般公共预算财政拨款支出决算表》</w:t>
      </w:r>
      <w:bookmarkEnd w:id="44"/>
      <w:bookmarkEnd w:id="45"/>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46" w:name="_Toc5626"/>
      <w:bookmarkStart w:id="47" w:name="_Toc8884"/>
      <w:r>
        <w:rPr>
          <w:rFonts w:hint="eastAsia" w:ascii="黑体" w:hAnsi="黑体" w:eastAsia="黑体" w:cs="宋体"/>
          <w:bCs/>
          <w:color w:val="auto"/>
          <w:kern w:val="0"/>
          <w:sz w:val="32"/>
          <w:szCs w:val="32"/>
          <w:highlight w:val="none"/>
          <w:shd w:val="clear" w:color="auto" w:fill="auto"/>
        </w:rPr>
        <w:t>六、《一般公共预算财政拨款基本支出决算表》</w:t>
      </w:r>
      <w:bookmarkEnd w:id="46"/>
      <w:bookmarkEnd w:id="47"/>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48" w:name="_Toc32663"/>
      <w:bookmarkStart w:id="49" w:name="_Toc29106"/>
      <w:r>
        <w:rPr>
          <w:rFonts w:hint="eastAsia" w:ascii="黑体" w:hAnsi="黑体" w:eastAsia="黑体" w:cs="宋体"/>
          <w:bCs/>
          <w:color w:val="auto"/>
          <w:kern w:val="0"/>
          <w:sz w:val="32"/>
          <w:szCs w:val="32"/>
          <w:highlight w:val="none"/>
          <w:shd w:val="clear" w:color="auto" w:fill="auto"/>
        </w:rPr>
        <w:t>七、《一般公共预算财政拨款“三公”经费支出决算表》</w:t>
      </w:r>
      <w:bookmarkEnd w:id="48"/>
      <w:bookmarkEnd w:id="49"/>
    </w:p>
    <w:p>
      <w:pPr>
        <w:keepNext w:val="0"/>
        <w:keepLines w:val="0"/>
        <w:pageBreakBefore w:val="0"/>
        <w:kinsoku/>
        <w:wordWrap/>
        <w:overflowPunct/>
        <w:topLinePunct w:val="0"/>
        <w:bidi w:val="0"/>
        <w:spacing w:line="560" w:lineRule="exact"/>
        <w:ind w:firstLine="640" w:firstLineChars="200"/>
        <w:outlineLvl w:val="1"/>
        <w:rPr>
          <w:rFonts w:hint="eastAsia" w:ascii="黑体" w:hAnsi="黑体" w:eastAsia="黑体" w:cs="宋体"/>
          <w:bCs/>
          <w:color w:val="auto"/>
          <w:kern w:val="0"/>
          <w:sz w:val="32"/>
          <w:szCs w:val="32"/>
          <w:highlight w:val="none"/>
          <w:shd w:val="clear" w:color="auto" w:fill="auto"/>
        </w:rPr>
      </w:pPr>
      <w:bookmarkStart w:id="50" w:name="_Toc7643"/>
      <w:bookmarkStart w:id="51" w:name="_Toc5453"/>
      <w:r>
        <w:rPr>
          <w:rFonts w:hint="eastAsia" w:ascii="黑体" w:hAnsi="黑体" w:eastAsia="黑体" w:cs="宋体"/>
          <w:bCs/>
          <w:color w:val="auto"/>
          <w:kern w:val="0"/>
          <w:sz w:val="32"/>
          <w:szCs w:val="32"/>
          <w:highlight w:val="none"/>
          <w:shd w:val="clear" w:color="auto" w:fill="auto"/>
        </w:rPr>
        <w:t>八、《政府性基金预算财政拨款收入支出决算表》</w:t>
      </w:r>
      <w:bookmarkEnd w:id="50"/>
      <w:bookmarkEnd w:id="51"/>
    </w:p>
    <w:p>
      <w:pPr>
        <w:keepNext w:val="0"/>
        <w:keepLines w:val="0"/>
        <w:pageBreakBefore w:val="0"/>
        <w:kinsoku/>
        <w:wordWrap/>
        <w:overflowPunct/>
        <w:topLinePunct w:val="0"/>
        <w:bidi w:val="0"/>
        <w:spacing w:line="560" w:lineRule="exact"/>
        <w:rPr>
          <w:color w:val="auto"/>
          <w:highlight w:val="none"/>
          <w:shd w:val="clear" w:color="auto" w:fill="auto"/>
        </w:rPr>
      </w:pPr>
    </w:p>
    <w:sectPr>
      <w:footerReference r:id="rId3" w:type="default"/>
      <w:pgSz w:w="11906" w:h="16838"/>
      <w:pgMar w:top="1814" w:right="1531" w:bottom="113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微软雅黑">
    <w:panose1 w:val="020B0503020204020204"/>
    <w:charset w:val="86"/>
    <w:family w:val="auto"/>
    <w:pitch w:val="default"/>
    <w:sig w:usb0="80000287" w:usb1="2A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zql5uc8A&#10;AAAFAQAADwAAAAAAAAABACAAAAAiAAAAZHJzL2Rvd25yZXYueG1sUEsBAhQAFAAAAAgAh07iQNzT&#10;xD62AQAAVAMAAA4AAAAAAAAAAQAgAAAAHgEAAGRycy9lMm9Eb2MueG1sUEsFBgAAAAAGAAYAWQEA&#10;AEYFAAAAAA==&#10;">
              <v:fill on="f" focussize="0,0"/>
              <v:stroke on="f"/>
              <v:imagedata o:title=""/>
              <o:lock v:ext="edit" aspectratio="f"/>
              <v:textbox inset="0mm,0mm,0mm,0mm" style="mso-fit-shape-to-text:t;">
                <w:txbxContent>
                  <w:p>
                    <w:pPr>
                      <w:pStyle w:val="3"/>
                      <w:rPr>
                        <w:rFonts w:hint="eastAsia"/>
                      </w:rPr>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4BD07"/>
    <w:multiLevelType w:val="singleLevel"/>
    <w:tmpl w:val="0CB4BD0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ED0D12"/>
    <w:rsid w:val="02ED0D12"/>
    <w:rsid w:val="13D42EA0"/>
    <w:rsid w:val="1C96271D"/>
    <w:rsid w:val="344D27EE"/>
    <w:rsid w:val="4064559A"/>
    <w:rsid w:val="52182A90"/>
    <w:rsid w:val="5A0D75E8"/>
    <w:rsid w:val="6462162A"/>
    <w:rsid w:val="72E176DD"/>
    <w:rsid w:val="7A397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toc 3"/>
    <w:basedOn w:val="1"/>
    <w:next w:val="1"/>
    <w:qFormat/>
    <w:uiPriority w:val="0"/>
    <w:pPr>
      <w:ind w:left="840" w:leftChars="400"/>
    </w:pPr>
  </w:style>
  <w:style w:type="paragraph" w:styleId="3">
    <w:name w:val="footer"/>
    <w:basedOn w:val="1"/>
    <w:qFormat/>
    <w:uiPriority w:val="0"/>
    <w:pPr>
      <w:tabs>
        <w:tab w:val="center" w:pos="4153"/>
        <w:tab w:val="right" w:pos="8306"/>
      </w:tabs>
      <w:snapToGrid w:val="0"/>
      <w:jc w:val="left"/>
    </w:pPr>
    <w:rPr>
      <w:sz w:val="18"/>
    </w:rPr>
  </w:style>
  <w:style w:type="paragraph" w:styleId="4">
    <w:name w:val="toc 1"/>
    <w:basedOn w:val="1"/>
    <w:next w:val="1"/>
    <w:qFormat/>
    <w:uiPriority w:val="0"/>
  </w:style>
  <w:style w:type="paragraph" w:styleId="5">
    <w:name w:val="toc 2"/>
    <w:basedOn w:val="1"/>
    <w:next w:val="1"/>
    <w:qFormat/>
    <w:uiPriority w:val="0"/>
    <w:pPr>
      <w:ind w:left="420" w:leftChars="200"/>
    </w:pPr>
  </w:style>
  <w:style w:type="paragraph" w:customStyle="1" w:styleId="8">
    <w:name w:val="Default"/>
    <w:qFormat/>
    <w:uiPriority w:val="0"/>
    <w:pPr>
      <w:widowControl w:val="0"/>
      <w:autoSpaceDE w:val="0"/>
      <w:autoSpaceDN w:val="0"/>
      <w:adjustRightInd w:val="0"/>
    </w:pPr>
    <w:rPr>
      <w:rFonts w:ascii="仿宋_GB2312" w:eastAsia="仿宋_GB2312" w:cs="仿宋_GB2312" w:hAnsiTheme="minorHAnsi"/>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Office_10.8.2.6870_F1E327BC-269C-435d-A152-05C5408002CA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2020-10-19T04:18:00Z</dcterms:created>
  <dc:creator> </dc:creator>
  <cp:lastModifiedBy>陈文</cp:lastModifiedBy>
  <dcterms:modified xsi:type="dcterms:W3CDTF">2020-10-21T08:14:25Z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