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仿宋_GBK" w:hAnsi="方正仿宋_GBK" w:eastAsia="方正仿宋_GBK" w:cs="方正仿宋_GBK"/>
          <w:b/>
          <w:color w:val="auto"/>
          <w:kern w:val="0"/>
          <w:sz w:val="44"/>
          <w:szCs w:val="44"/>
          <w:highlight w:val="none"/>
          <w:u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u w:val="none"/>
          <w:lang w:val="en-US" w:eastAsia="zh-CN" w:bidi="ar-SA"/>
        </w:rPr>
        <w:t>国家税务总局喀什地区</w:t>
      </w:r>
      <w:r>
        <w:rPr>
          <w:rFonts w:hint="eastAsia" w:ascii="方正小标宋简体" w:hAnsi="方正小标宋简体" w:eastAsia="方正小标宋简体" w:cs="方正小标宋简体"/>
          <w:b w:val="0"/>
          <w:bCs/>
          <w:color w:val="auto"/>
          <w:kern w:val="2"/>
          <w:sz w:val="44"/>
          <w:szCs w:val="44"/>
          <w:highlight w:val="none"/>
          <w:lang w:val="en-US" w:eastAsia="zh-CN" w:bidi="ar-SA"/>
        </w:rPr>
        <w:t>税务局稽查局</w:t>
      </w:r>
    </w:p>
    <w:p>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u w:val="none"/>
          <w:lang w:val="en-US" w:eastAsia="zh-CN"/>
        </w:rPr>
        <w:t>喀</w:t>
      </w:r>
      <w:r>
        <w:rPr>
          <w:rFonts w:hint="eastAsia" w:ascii="楷体_GB2312" w:hAnsi="楷体_GB2312" w:eastAsia="楷体_GB2312" w:cs="楷体_GB2312"/>
          <w:spacing w:val="20"/>
          <w:sz w:val="32"/>
          <w:szCs w:val="32"/>
          <w:highlight w:val="none"/>
        </w:rPr>
        <w:t>税</w:t>
      </w:r>
      <w:r>
        <w:rPr>
          <w:rFonts w:hint="eastAsia" w:ascii="楷体_GB2312" w:hAnsi="楷体_GB2312" w:eastAsia="楷体_GB2312" w:cs="楷体_GB2312"/>
          <w:spacing w:val="20"/>
          <w:sz w:val="32"/>
          <w:szCs w:val="32"/>
          <w:highlight w:val="none"/>
          <w:lang w:val="en-US" w:eastAsia="zh-CN"/>
        </w:rPr>
        <w:t>稽</w:t>
      </w:r>
      <w:r>
        <w:rPr>
          <w:rFonts w:hint="eastAsia" w:ascii="楷体_GB2312" w:hAnsi="楷体_GB2312" w:eastAsia="楷体_GB2312" w:cs="楷体_GB2312"/>
          <w:spacing w:val="20"/>
          <w:sz w:val="32"/>
          <w:szCs w:val="32"/>
          <w:highlight w:val="none"/>
        </w:rPr>
        <w:t>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91</w:t>
      </w:r>
      <w:r>
        <w:rPr>
          <w:rFonts w:hint="eastAsia" w:ascii="楷体_GB2312" w:hAnsi="楷体_GB2312" w:eastAsia="楷体_GB2312" w:cs="楷体_GB2312"/>
          <w:spacing w:val="20"/>
          <w:sz w:val="32"/>
          <w:szCs w:val="32"/>
          <w:highlight w:val="none"/>
        </w:rPr>
        <w:t>号</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baseline"/>
        <w:rPr>
          <w:rFonts w:hint="eastAsia" w:ascii="仿宋_GB2312" w:hAnsi="仿宋_GB2312" w:cs="仿宋_GB2312"/>
          <w:spacing w:val="-20"/>
          <w:sz w:val="32"/>
          <w:szCs w:val="32"/>
          <w:highlight w:val="none"/>
          <w:u w:val="none"/>
          <w:lang w:eastAsia="zh-CN"/>
        </w:rPr>
      </w:pPr>
      <w:r>
        <w:rPr>
          <w:rFonts w:hint="eastAsia" w:ascii="仿宋_GB2312" w:hAnsi="仿宋_GB2312" w:cs="仿宋_GB2312"/>
          <w:spacing w:val="-20"/>
          <w:sz w:val="32"/>
          <w:szCs w:val="32"/>
          <w:highlight w:val="none"/>
          <w:u w:val="none"/>
          <w:lang w:eastAsia="zh-CN"/>
        </w:rPr>
        <w:t>新疆橘颂商贸有限公司（</w:t>
      </w:r>
      <w:bookmarkStart w:id="0" w:name="_GoBack"/>
      <w:r>
        <w:rPr>
          <w:rFonts w:hint="eastAsia" w:ascii="仿宋_GB2312" w:hAnsi="仿宋_GB2312" w:cs="仿宋_GB2312"/>
          <w:spacing w:val="-20"/>
          <w:sz w:val="32"/>
          <w:szCs w:val="32"/>
          <w:highlight w:val="none"/>
          <w:u w:val="none"/>
          <w:lang w:eastAsia="zh-CN"/>
        </w:rPr>
        <w:t>纳税人识别号：</w:t>
      </w:r>
      <w:bookmarkEnd w:id="0"/>
      <w:r>
        <w:rPr>
          <w:rFonts w:hint="eastAsia" w:ascii="仿宋_GB2312" w:hAnsi="仿宋_GB2312" w:cs="仿宋_GB2312"/>
          <w:spacing w:val="-20"/>
          <w:sz w:val="32"/>
          <w:szCs w:val="32"/>
          <w:highlight w:val="none"/>
          <w:u w:val="none"/>
          <w:lang w:eastAsia="zh-CN"/>
        </w:rPr>
        <w:t>91653101MAKBU62P0X）</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baseline"/>
        <w:rPr>
          <w:rFonts w:hint="eastAsia" w:ascii="仿宋_GB2312" w:hAnsi="仿宋_GB2312" w:eastAsia="仿宋_GB2312" w:cs="仿宋_GB2312"/>
          <w:b w:val="0"/>
          <w:bCs w:val="0"/>
          <w:sz w:val="32"/>
          <w:szCs w:val="32"/>
          <w:highlight w:val="none"/>
        </w:rPr>
      </w:pPr>
      <w:r>
        <w:rPr>
          <w:sz w:val="32"/>
        </w:rPr>
        <mc:AlternateContent>
          <mc:Choice Requires="wps">
            <w:drawing>
              <wp:anchor distT="0" distB="0" distL="114300" distR="114300" simplePos="0" relativeHeight="251660288" behindDoc="0" locked="0" layoutInCell="1" allowOverlap="1">
                <wp:simplePos x="0" y="0"/>
                <wp:positionH relativeFrom="column">
                  <wp:posOffset>3003550</wp:posOffset>
                </wp:positionH>
                <wp:positionV relativeFrom="paragraph">
                  <wp:posOffset>1019175</wp:posOffset>
                </wp:positionV>
                <wp:extent cx="810260" cy="110490"/>
                <wp:effectExtent l="635" t="4445" r="12065" b="6985"/>
                <wp:wrapNone/>
                <wp:docPr id="2" name="直线 3"/>
                <wp:cNvGraphicFramePr/>
                <a:graphic xmlns:a="http://schemas.openxmlformats.org/drawingml/2006/main">
                  <a:graphicData uri="http://schemas.microsoft.com/office/word/2010/wordprocessingShape">
                    <wps:wsp>
                      <wps:cNvCnPr/>
                      <wps:spPr>
                        <a:xfrm flipV="1">
                          <a:off x="0" y="0"/>
                          <a:ext cx="810260" cy="1104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236.5pt;margin-top:80.25pt;height:8.7pt;width:63.8pt;z-index:251660288;mso-width-relative:page;mso-height-relative:page;" filled="f" stroked="t" coordsize="21600,21600" o:gfxdata="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v06V2AAAAAsBAAAPAAAAAAAAAAEAIAAAACIAAABkcnMvZG93bnJldi54bWxQSwEC&#10;FAAUAAAACACHTuJAjovSz/QBAADpAwAADgAAAAAAAAABACAAAAAn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cs="仿宋_GB2312"/>
          <w:sz w:val="32"/>
          <w:szCs w:val="32"/>
          <w:highlight w:val="none"/>
          <w:lang w:val="en-US" w:eastAsia="zh-CN"/>
        </w:rPr>
        <w:t>李晓玲（税务检查证号：新税稽6531260001）、龙雪华（税务检查证号：新税稽6531190059）两</w:t>
      </w:r>
      <w:r>
        <w:rPr>
          <w:rFonts w:hint="eastAsia" w:ascii="仿宋_GB2312" w:hAnsi="仿宋_GB2312" w:eastAsia="仿宋_GB2312" w:cs="仿宋_GB2312"/>
          <w:sz w:val="32"/>
          <w:szCs w:val="32"/>
          <w:highlight w:val="none"/>
        </w:rPr>
        <w:t>人，自</w:t>
      </w:r>
      <w:r>
        <w:rPr>
          <w:rFonts w:hint="eastAsia" w:ascii="仿宋_GB2312" w:hAnsi="仿宋_GB2312" w:cs="仿宋_GB2312"/>
          <w:sz w:val="32"/>
          <w:szCs w:val="32"/>
          <w:highlight w:val="none"/>
          <w:u w:val="singl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cs="仿宋_GB2312"/>
          <w:b w:val="0"/>
          <w:bCs w:val="0"/>
          <w:sz w:val="32"/>
          <w:szCs w:val="32"/>
          <w:highlight w:val="none"/>
          <w:u w:val="single"/>
          <w:lang w:val="en-US" w:eastAsia="zh-CN"/>
        </w:rPr>
        <w:t>8</w:t>
      </w:r>
      <w:r>
        <w:rPr>
          <w:rFonts w:hint="eastAsia" w:ascii="仿宋_GB2312" w:hAnsi="仿宋_GB2312" w:eastAsia="仿宋_GB2312" w:cs="仿宋_GB2312"/>
          <w:b w:val="0"/>
          <w:bCs w:val="0"/>
          <w:sz w:val="32"/>
          <w:szCs w:val="32"/>
          <w:highlight w:val="none"/>
        </w:rPr>
        <w:t>月</w:t>
      </w:r>
      <w:r>
        <w:rPr>
          <w:rFonts w:hint="eastAsia" w:ascii="仿宋_GB2312" w:hAnsi="仿宋_GB2312" w:cs="仿宋_GB2312"/>
          <w:b w:val="0"/>
          <w:bCs w:val="0"/>
          <w:sz w:val="32"/>
          <w:szCs w:val="32"/>
          <w:highlight w:val="none"/>
          <w:u w:val="single"/>
          <w:lang w:val="en-US" w:eastAsia="zh-CN"/>
        </w:rPr>
        <w:t>24</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10</w:t>
      </w:r>
      <w:r>
        <w:rPr>
          <w:rFonts w:hint="eastAsia" w:ascii="仿宋_GB2312" w:hAnsi="仿宋_GB2312" w:eastAsia="仿宋_GB2312" w:cs="仿宋_GB2312"/>
          <w:b w:val="0"/>
          <w:bCs w:val="0"/>
          <w:color w:val="auto"/>
          <w:sz w:val="32"/>
          <w:szCs w:val="32"/>
          <w:highlight w:val="none"/>
          <w:u w:val="none"/>
          <w:lang w:eastAsia="zh-CN"/>
        </w:rPr>
        <w:t>时</w:t>
      </w:r>
      <w:r>
        <w:rPr>
          <w:rFonts w:hint="eastAsia" w:ascii="仿宋_GB2312" w:hAnsi="仿宋_GB2312" w:cs="仿宋_GB2312"/>
          <w:b w:val="0"/>
          <w:bCs w:val="0"/>
          <w:sz w:val="32"/>
          <w:szCs w:val="32"/>
          <w:highlight w:val="none"/>
          <w:u w:val="single"/>
          <w:lang w:val="en-US" w:eastAsia="zh-CN"/>
        </w:rPr>
        <w:t>00</w:t>
      </w:r>
      <w:r>
        <w:rPr>
          <w:rFonts w:hint="eastAsia" w:ascii="仿宋_GB2312" w:hAnsi="仿宋_GB2312" w:eastAsia="仿宋_GB2312" w:cs="仿宋_GB2312"/>
          <w:b w:val="0"/>
          <w:bCs w:val="0"/>
          <w:color w:val="auto"/>
          <w:sz w:val="32"/>
          <w:szCs w:val="32"/>
          <w:highlight w:val="none"/>
          <w:u w:val="none"/>
          <w:lang w:eastAsia="zh-CN"/>
        </w:rPr>
        <w:t>分）起采取</w:t>
      </w:r>
      <w:r>
        <w:rPr>
          <w:rFonts w:hint="eastAsia" w:ascii="仿宋_GB2312" w:hAnsi="仿宋_GB2312" w:eastAsia="仿宋_GB2312" w:cs="仿宋_GB2312"/>
          <w:sz w:val="32"/>
          <w:szCs w:val="32"/>
          <w:highlight w:val="none"/>
          <w:u w:val="single"/>
        </w:rPr>
        <w:t xml:space="preserve">     </w:t>
      </w:r>
      <w:r>
        <w:rPr>
          <w:rFonts w:hint="eastAsia" w:ascii="仿宋_GB2312" w:hAnsi="仿宋_GB2312" w:cs="仿宋_GB2312"/>
          <w:sz w:val="32"/>
          <w:szCs w:val="32"/>
          <w:highlight w:val="none"/>
          <w:u w:val="single"/>
          <w:lang w:val="en-US" w:eastAsia="zh-CN"/>
        </w:rPr>
        <w:t xml:space="preserve">    </w:t>
      </w:r>
      <w:r>
        <w:rPr>
          <w:rFonts w:hint="eastAsia" w:ascii="仿宋_GB2312" w:hAnsi="仿宋_GB2312" w:eastAsia="仿宋_GB2312" w:cs="仿宋_GB2312"/>
          <w:b w:val="0"/>
          <w:bCs w:val="0"/>
          <w:sz w:val="32"/>
          <w:szCs w:val="32"/>
          <w:highlight w:val="none"/>
          <w:u w:val="none"/>
          <w:lang w:eastAsia="zh-CN"/>
        </w:rPr>
        <w:t>的检查方式</w:t>
      </w:r>
      <w:r>
        <w:rPr>
          <w:rFonts w:hint="eastAsia" w:ascii="仿宋_GB2312" w:hAnsi="仿宋_GB2312" w:eastAsia="仿宋_GB2312" w:cs="仿宋_GB2312"/>
          <w:b w:val="0"/>
          <w:bCs w:val="0"/>
          <w:sz w:val="32"/>
          <w:szCs w:val="32"/>
          <w:highlight w:val="none"/>
          <w:u w:val="none"/>
        </w:rPr>
        <w:t>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color w:val="auto"/>
          <w:sz w:val="32"/>
          <w:szCs w:val="32"/>
          <w:highlight w:val="none"/>
          <w:u w:val="none"/>
          <w:lang w:eastAsia="zh-CN"/>
        </w:rPr>
        <w:t>（新疆喀什地区喀什市库木代尔瓦扎街道古城社区团结路187号(西域中央大厦)A座2-2号-Q03室</w:t>
      </w:r>
      <w:r>
        <w:rPr>
          <w:rFonts w:hint="eastAsia" w:ascii="仿宋_GB2312" w:hAnsi="仿宋_GB2312" w:eastAsia="仿宋_GB2312" w:cs="仿宋_GB2312"/>
          <w:b w:val="0"/>
          <w:bCs w:val="0"/>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2026年4月30日至2026年6月30日</w:t>
      </w:r>
      <w:r>
        <w:rPr>
          <w:rFonts w:hint="eastAsia" w:ascii="仿宋_GB2312" w:hAnsi="仿宋_GB2312" w:eastAsia="仿宋_GB2312" w:cs="仿宋_GB2312"/>
          <w:b w:val="0"/>
          <w:bCs w:val="0"/>
          <w:sz w:val="32"/>
          <w:szCs w:val="32"/>
          <w:highlight w:val="none"/>
        </w:rPr>
        <w:t>期间（如检查发现此期间以外明显的税收违法嫌疑或线索不受此限）涉税情况进行检查。届时请依法接受检查，如实反映情况，提供有关资料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sz w:val="32"/>
        </w:rPr>
        <mc:AlternateContent>
          <mc:Choice Requires="wps">
            <w:drawing>
              <wp:anchor distT="0" distB="0" distL="114300" distR="114300" simplePos="0" relativeHeight="251662336" behindDoc="0" locked="0" layoutInCell="1" allowOverlap="1">
                <wp:simplePos x="0" y="0"/>
                <wp:positionH relativeFrom="column">
                  <wp:posOffset>2374900</wp:posOffset>
                </wp:positionH>
                <wp:positionV relativeFrom="paragraph">
                  <wp:posOffset>428625</wp:posOffset>
                </wp:positionV>
                <wp:extent cx="485775" cy="129540"/>
                <wp:effectExtent l="1270" t="4445" r="15875" b="18415"/>
                <wp:wrapNone/>
                <wp:docPr id="4" name="直线 8"/>
                <wp:cNvGraphicFramePr/>
                <a:graphic xmlns:a="http://schemas.openxmlformats.org/drawingml/2006/main">
                  <a:graphicData uri="http://schemas.microsoft.com/office/word/2010/wordprocessingShape">
                    <wps:wsp>
                      <wps:cNvCnPr/>
                      <wps:spPr>
                        <a:xfrm flipV="1">
                          <a:off x="0" y="0"/>
                          <a:ext cx="485775" cy="129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187pt;margin-top:33.75pt;height:10.2pt;width:38.25pt;z-index:251662336;mso-width-relative:page;mso-height-relative:page;" filled="f" stroked="t" coordsize="21600,21600" o:gfxdata="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18C0uNgAAAAJAQAADwAAAAAAAAABACAAAAAiAAAAZHJzL2Rvd25yZXYueG1sUEsB&#10;AhQAFAAAAAgAh07iQOlG9B71AQAA6QMAAA4AAAAAAAAAAQAgAAAAJwEAAGRycy9lMm9Eb2MueG1s&#10;UEsFBgAAAAAGAAYAWQEAAI4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746125</wp:posOffset>
                </wp:positionH>
                <wp:positionV relativeFrom="paragraph">
                  <wp:posOffset>400050</wp:posOffset>
                </wp:positionV>
                <wp:extent cx="485775" cy="129540"/>
                <wp:effectExtent l="1270" t="4445" r="15875" b="18415"/>
                <wp:wrapNone/>
                <wp:docPr id="3" name="直线 7"/>
                <wp:cNvGraphicFramePr/>
                <a:graphic xmlns:a="http://schemas.openxmlformats.org/drawingml/2006/main">
                  <a:graphicData uri="http://schemas.microsoft.com/office/word/2010/wordprocessingShape">
                    <wps:wsp>
                      <wps:cNvCnPr/>
                      <wps:spPr>
                        <a:xfrm flipV="1">
                          <a:off x="0" y="0"/>
                          <a:ext cx="485775" cy="129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58.75pt;margin-top:31.5pt;height:10.2pt;width:38.25pt;z-index:251661312;mso-width-relative:page;mso-height-relative:page;" filled="f" stroked="t" coordsize="21600,21600" o:gfxdata="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5wz+L1wAAAAkBAAAPAAAAAAAAAAEAIAAAACIAAABkcnMvZG93bnJldi54bWxQSwEC&#10;FAAUAAAACACHTuJAmcnq6/UBAADpAwAADgAAAAAAAAABACAAAAAm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color w:val="auto"/>
          <w:sz w:val="32"/>
          <w:szCs w:val="32"/>
          <w:highlight w:val="none"/>
        </w:rPr>
        <w:t>本次检查系 ☐日常检查 ☐专项检查，年度行政检查频次上限：    次，本次为第    次。</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rFonts w:hint="eastAsia" w:ascii="仿宋_GB2312" w:hAnsi="宋体" w:eastAsia="仿宋_GB2312" w:cs="Times New Roman"/>
          <w:sz w:val="32"/>
          <w:szCs w:val="32"/>
          <w:lang w:val="en-US" w:eastAsia="zh-CN"/>
        </w:rPr>
        <w:drawing>
          <wp:anchor distT="0" distB="0" distL="114300" distR="114300" simplePos="0" relativeHeight="251659264" behindDoc="0" locked="0" layoutInCell="1" allowOverlap="1">
            <wp:simplePos x="0" y="0"/>
            <wp:positionH relativeFrom="column">
              <wp:posOffset>4328795</wp:posOffset>
            </wp:positionH>
            <wp:positionV relativeFrom="paragraph">
              <wp:posOffset>683895</wp:posOffset>
            </wp:positionV>
            <wp:extent cx="908050" cy="1259840"/>
            <wp:effectExtent l="0" t="0" r="6350" b="5080"/>
            <wp:wrapNone/>
            <wp:docPr id="1" name="图片 2" descr="ea2b609b9d841559ebd99fdbdeefccc"/>
            <wp:cNvGraphicFramePr/>
            <a:graphic xmlns:a="http://schemas.openxmlformats.org/drawingml/2006/main">
              <a:graphicData uri="http://schemas.openxmlformats.org/drawingml/2006/picture">
                <pic:pic xmlns:pic="http://schemas.openxmlformats.org/drawingml/2006/picture">
                  <pic:nvPicPr>
                    <pic:cNvPr id="1" name="图片 2" descr="ea2b609b9d841559ebd99fdbdeefccc"/>
                    <pic:cNvPicPr/>
                  </pic:nvPicPr>
                  <pic:blipFill>
                    <a:blip r:embed="rId4"/>
                    <a:stretch>
                      <a:fillRect/>
                    </a:stretch>
                  </pic:blipFill>
                  <pic:spPr>
                    <a:xfrm>
                      <a:off x="0" y="0"/>
                      <a:ext cx="908050" cy="125984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32"/>
          <w:szCs w:val="32"/>
          <w:highlight w:val="none"/>
        </w:rPr>
        <w:t>本次检查系根据 ☐投诉举报 ☐转办交办 ☐风险扫描 ☐审计调查取证 ☐异地协助调查 ☐执行国际条约 ☐其他      发起的税务检查，不受年度检查频次上限限制。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系人：李晓玲、龙雪华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b w:val="0"/>
          <w:bCs w:val="0"/>
          <w:color w:val="auto"/>
          <w:sz w:val="32"/>
          <w:szCs w:val="32"/>
          <w:highlight w:val="none"/>
        </w:rPr>
        <w:t xml:space="preserve">联系方式：0998-2535231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760" w:firstLineChars="1800"/>
        <w:jc w:val="both"/>
        <w:rPr>
          <w:rFonts w:hint="eastAsia" w:ascii="仿宋_GB2312" w:hAnsi="仿宋_GB2312" w:eastAsia="仿宋_GB2312" w:cs="仿宋_GB2312"/>
          <w:sz w:val="32"/>
          <w:szCs w:val="32"/>
          <w:highlight w:val="none"/>
        </w:rPr>
      </w:pPr>
    </w:p>
    <w:p>
      <w:pPr>
        <w:keepNext w:val="0"/>
        <w:keepLines w:val="0"/>
        <w:pageBreakBefore w:val="0"/>
        <w:kinsoku/>
        <w:wordWrap/>
        <w:topLinePunct w:val="0"/>
        <w:bidi w:val="0"/>
        <w:snapToGrid/>
        <w:spacing w:line="480" w:lineRule="exact"/>
        <w:ind w:firstLine="640" w:firstLineChars="200"/>
        <w:jc w:val="center"/>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国家税务总局喀什地区税务局稽查局                                 2026年9月17日</w:t>
      </w:r>
    </w:p>
    <w:p>
      <w:pPr>
        <w:keepNext w:val="0"/>
        <w:keepLines w:val="0"/>
        <w:pageBreakBefore w:val="0"/>
        <w:kinsoku/>
        <w:wordWrap/>
        <w:topLinePunct w:val="0"/>
        <w:bidi w:val="0"/>
        <w:snapToGrid/>
        <w:spacing w:line="480" w:lineRule="exact"/>
        <w:ind w:firstLine="643" w:firstLineChars="200"/>
        <w:textAlignment w:val="baseline"/>
        <w:rPr>
          <w:rFonts w:hint="eastAsia"/>
        </w:rPr>
      </w:pPr>
      <w:r>
        <w:rPr>
          <w:rFonts w:hint="eastAsia"/>
          <w:b/>
          <w:bCs/>
        </w:rPr>
        <w:t>告知：</w:t>
      </w:r>
      <w:r>
        <w:rPr>
          <w:rFonts w:hint="eastAsia"/>
        </w:rPr>
        <w:t>税务机关派出的人员进行税务检查时，应当出示税务检查证和税务检查通知书，并有责任为被检查人保守秘密；未出示税务检查证和税务检查通知书的，被检查人有权拒绝检查。</w:t>
      </w:r>
    </w:p>
    <w:p>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如被检查人认为税务检查人员与检查工作有直接利害关系或者有其他关系可能影响公正执法，可以申请回避。是否同意回避的决定将在3日内作出并告知，回避申请审查期间不停止税务检查。</w:t>
      </w:r>
    </w:p>
    <w:p>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 xml:space="preserve">被检查人有权监督税务检查工作全过程，如认为税务检查侵犯其合法权益，有权投诉举报、依法获得救济。 </w:t>
      </w:r>
    </w:p>
    <w:p>
      <w:pPr>
        <w:keepNext w:val="0"/>
        <w:keepLines w:val="0"/>
        <w:pageBreakBefore w:val="0"/>
        <w:widowControl w:val="0"/>
        <w:kinsoku/>
        <w:wordWrap/>
        <w:overflowPunct/>
        <w:topLinePunct w:val="0"/>
        <w:autoSpaceDE/>
        <w:autoSpaceDN/>
        <w:bidi w:val="0"/>
        <w:adjustRightInd w:val="0"/>
        <w:snapToGrid w:val="0"/>
        <w:spacing w:line="320" w:lineRule="exact"/>
        <w:ind w:right="320"/>
        <w:jc w:val="both"/>
        <w:textAlignment w:val="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93"/>
    <w:rsid w:val="00696893"/>
    <w:rsid w:val="01733072"/>
    <w:rsid w:val="05971F5B"/>
    <w:rsid w:val="06792F81"/>
    <w:rsid w:val="08BC4572"/>
    <w:rsid w:val="150F49E6"/>
    <w:rsid w:val="17C548CF"/>
    <w:rsid w:val="1C052570"/>
    <w:rsid w:val="1CD852E6"/>
    <w:rsid w:val="20F43478"/>
    <w:rsid w:val="244D21CC"/>
    <w:rsid w:val="2B1E45E4"/>
    <w:rsid w:val="2DC16BE9"/>
    <w:rsid w:val="2FCA0812"/>
    <w:rsid w:val="382F4C23"/>
    <w:rsid w:val="39751B16"/>
    <w:rsid w:val="43A120ED"/>
    <w:rsid w:val="46A535B7"/>
    <w:rsid w:val="546D4482"/>
    <w:rsid w:val="5D0121FA"/>
    <w:rsid w:val="63056708"/>
    <w:rsid w:val="65CB1007"/>
    <w:rsid w:val="6B084DE7"/>
    <w:rsid w:val="768F03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overflowPunct w:val="0"/>
      <w:autoSpaceDE w:val="0"/>
      <w:autoSpaceDN w:val="0"/>
      <w:adjustRightInd w:val="0"/>
      <w:jc w:val="both"/>
      <w:textAlignment w:val="baseline"/>
    </w:pPr>
    <w:rPr>
      <w:rFonts w:ascii="Times New Roman" w:hAnsi="Times New Roman" w:eastAsia="仿宋_GB2312" w:cs="Times New Roman"/>
      <w:sz w:val="32"/>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Normal Indent"/>
    <w:basedOn w:val="1"/>
    <w:semiHidden/>
    <w:qFormat/>
    <w:uiPriority w:val="0"/>
    <w:pPr>
      <w:ind w:firstLine="420" w:firstLineChars="200"/>
    </w:pPr>
  </w:style>
  <w:style w:type="paragraph" w:styleId="6">
    <w:name w:val="Body Text"/>
    <w:basedOn w:val="1"/>
    <w:next w:val="7"/>
    <w:qFormat/>
    <w:uiPriority w:val="0"/>
    <w:pPr>
      <w:spacing w:after="120" w:afterLines="0" w:afterAutospacing="0"/>
    </w:p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character" w:customStyle="1" w:styleId="12">
    <w:name w:val="0文书表格"/>
    <w:qFormat/>
    <w:uiPriority w:val="0"/>
    <w:rPr>
      <w:rFonts w:hint="eastAsia" w:ascii="仿宋_GB2312" w:eastAsia="仿宋_GB2312"/>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2026-06-01T04:20:00Z</dcterms:created>
  <dc:creator>王晓乐</dc:creator>
  <cp:lastModifiedBy>候瑞花</cp:lastModifiedBy>
  <cp:lastPrinted>2026-06-01T08:34:00Z</cp:lastPrinted>
  <dcterms:modified xsi:type="dcterms:W3CDTF">2026-09-16T11:38:55Z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