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2023年度获得免税资格的非营利组织名单</w:t>
      </w:r>
    </w:p>
    <w:tbl>
      <w:tblPr>
        <w:tblStyle w:val="3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294"/>
        <w:gridCol w:w="3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资格认定有效期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喀什地区慈善总会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51653100MJX4750990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2023年1月1日-2027年12月31日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75E9"/>
    <w:rsid w:val="5EC56194"/>
    <w:rsid w:val="69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2023-11-06T05:33:00Z</dcterms:created>
  <dc:creator>西拉依.阿不力孜</dc:creator>
  <cp:lastModifiedBy>西拉依.阿不力孜</cp:lastModifiedBy>
  <dcterms:modified xsi:type="dcterms:W3CDTF">2023-11-06T05:36:12Z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