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897F">
      <w:pPr>
        <w:spacing w:line="360" w:lineRule="auto"/>
        <w:jc w:val="right"/>
        <w:rPr>
          <w:rFonts w:hint="eastAsia" w:ascii="宋体" w:hAnsi="宋体" w:eastAsia="宋体" w:cs="宋体"/>
          <w:b/>
          <w:color w:val="auto"/>
          <w:sz w:val="24"/>
          <w:highlight w:val="none"/>
        </w:rPr>
      </w:pPr>
      <w:r>
        <w:rPr>
          <w:rFonts w:hint="eastAsia" w:ascii="宋体" w:hAnsi="宋体" w:eastAsia="宋体" w:cs="宋体"/>
          <w:color w:val="auto"/>
          <w:kern w:val="2"/>
          <w:sz w:val="24"/>
          <w:szCs w:val="24"/>
          <w:highlight w:val="none"/>
          <w:lang w:val="en-US" w:eastAsia="zh-CN" w:bidi="ar-SA"/>
        </w:rPr>
        <w:object>
          <v:shape id="_x0000_i1025" o:spt="75" type="#_x0000_t75" style="height:33pt;width:54.75pt;" o:ole="t" filled="f" o:preferrelative="t" stroked="f" coordsize="21600,21600">
            <v:path/>
            <v:fill on="f" focussize="0,0"/>
            <v:stroke on="f"/>
            <v:imagedata r:id="rId14" blacklevel="0f" o:title=""/>
            <o:lock v:ext="edit" aspectratio="t"/>
            <w10:wrap type="none"/>
            <w10:anchorlock/>
          </v:shape>
          <o:OLEObject Type="Embed" ProgID="" ShapeID="_x0000_i1025" DrawAspect="Content" ObjectID="_1468075725" r:id="rId13">
            <o:LockedField>false</o:LockedField>
          </o:OLEObject>
        </w:object>
      </w:r>
    </w:p>
    <w:p w14:paraId="4B32520F">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新疆天麒</w:t>
      </w:r>
    </w:p>
    <w:p w14:paraId="637A673D">
      <w:pPr>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cs="宋体"/>
          <w:b/>
          <w:color w:val="auto"/>
          <w:sz w:val="72"/>
          <w:szCs w:val="72"/>
          <w:highlight w:val="none"/>
          <w:lang w:val="en-US" w:eastAsia="zh-CN"/>
        </w:rPr>
        <w:t>国家税务总局克拉玛依市克拉玛依区税务局物业管理服务</w:t>
      </w:r>
    </w:p>
    <w:p w14:paraId="0236F121">
      <w:pPr>
        <w:spacing w:line="36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48"/>
          <w:szCs w:val="48"/>
          <w:highlight w:val="none"/>
        </w:rPr>
        <w:br w:type="textWrapping"/>
      </w:r>
      <w:bookmarkStart w:id="0" w:name="_Toc225166185"/>
    </w:p>
    <w:p w14:paraId="26F7813D">
      <w:pPr>
        <w:spacing w:line="360" w:lineRule="auto"/>
        <w:jc w:val="center"/>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简易</w:t>
      </w:r>
      <w:r>
        <w:rPr>
          <w:rFonts w:hint="eastAsia" w:ascii="宋体" w:hAnsi="宋体" w:eastAsia="宋体" w:cs="宋体"/>
          <w:b/>
          <w:color w:val="auto"/>
          <w:sz w:val="72"/>
          <w:szCs w:val="72"/>
          <w:highlight w:val="none"/>
          <w:lang w:val="en-US" w:eastAsia="zh-CN"/>
        </w:rPr>
        <w:t>磋商</w:t>
      </w:r>
      <w:r>
        <w:rPr>
          <w:rFonts w:hint="eastAsia" w:ascii="宋体" w:hAnsi="宋体" w:eastAsia="宋体" w:cs="宋体"/>
          <w:b/>
          <w:color w:val="auto"/>
          <w:sz w:val="72"/>
          <w:szCs w:val="72"/>
          <w:highlight w:val="none"/>
        </w:rPr>
        <w:t>文件</w:t>
      </w:r>
      <w:bookmarkEnd w:id="0"/>
    </w:p>
    <w:p w14:paraId="591EA0CD">
      <w:pPr>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采购文件编号：</w:t>
      </w:r>
      <w:r>
        <w:rPr>
          <w:rFonts w:hint="eastAsia" w:ascii="宋体" w:hAnsi="宋体" w:cs="宋体"/>
          <w:b/>
          <w:color w:val="auto"/>
          <w:sz w:val="28"/>
          <w:szCs w:val="28"/>
          <w:highlight w:val="none"/>
          <w:lang w:eastAsia="zh-CN"/>
        </w:rPr>
        <w:t>KQSWJ（ZC）2025-03</w:t>
      </w:r>
    </w:p>
    <w:p w14:paraId="554B7E38">
      <w:pPr>
        <w:spacing w:line="360" w:lineRule="auto"/>
        <w:rPr>
          <w:rFonts w:hint="eastAsia" w:ascii="宋体" w:hAnsi="宋体" w:eastAsia="宋体" w:cs="宋体"/>
          <w:b/>
          <w:color w:val="auto"/>
          <w:sz w:val="30"/>
          <w:szCs w:val="30"/>
          <w:highlight w:val="none"/>
        </w:rPr>
      </w:pPr>
    </w:p>
    <w:p w14:paraId="590C9155">
      <w:pPr>
        <w:pStyle w:val="58"/>
        <w:rPr>
          <w:rFonts w:hint="eastAsia" w:ascii="宋体" w:hAnsi="宋体" w:eastAsia="宋体" w:cs="宋体"/>
          <w:b/>
          <w:color w:val="auto"/>
          <w:sz w:val="30"/>
          <w:szCs w:val="30"/>
          <w:highlight w:val="none"/>
        </w:rPr>
      </w:pPr>
    </w:p>
    <w:p w14:paraId="59549880">
      <w:pPr>
        <w:pStyle w:val="58"/>
        <w:rPr>
          <w:rFonts w:hint="eastAsia" w:ascii="宋体" w:hAnsi="宋体" w:eastAsia="宋体" w:cs="宋体"/>
          <w:b/>
          <w:color w:val="auto"/>
          <w:sz w:val="30"/>
          <w:szCs w:val="30"/>
          <w:highlight w:val="none"/>
        </w:rPr>
      </w:pPr>
    </w:p>
    <w:p w14:paraId="37F5F0E9">
      <w:pPr>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采购人：</w:t>
      </w:r>
      <w:r>
        <w:rPr>
          <w:rFonts w:hint="eastAsia" w:ascii="宋体" w:hAnsi="宋体" w:cs="宋体"/>
          <w:b/>
          <w:color w:val="auto"/>
          <w:sz w:val="30"/>
          <w:szCs w:val="30"/>
          <w:highlight w:val="none"/>
          <w:lang w:eastAsia="zh-CN"/>
        </w:rPr>
        <w:t>国家税务总局克拉玛依市克拉玛依区税务局</w:t>
      </w:r>
    </w:p>
    <w:p w14:paraId="70818193">
      <w:pPr>
        <w:spacing w:line="360" w:lineRule="auto"/>
        <w:rPr>
          <w:rFonts w:hint="eastAsia" w:ascii="宋体" w:hAnsi="宋体" w:eastAsia="宋体" w:cs="宋体"/>
          <w:b/>
          <w:color w:val="auto"/>
          <w:sz w:val="30"/>
          <w:szCs w:val="30"/>
          <w:highlight w:val="none"/>
        </w:rPr>
      </w:pPr>
    </w:p>
    <w:p w14:paraId="737EA5C6">
      <w:pPr>
        <w:spacing w:line="360" w:lineRule="auto"/>
        <w:ind w:firstLine="602" w:firstLineChars="200"/>
        <w:rPr>
          <w:rFonts w:hint="eastAsia" w:ascii="宋体" w:hAnsi="宋体" w:eastAsia="宋体" w:cs="宋体"/>
          <w:b/>
          <w:color w:val="auto"/>
          <w:sz w:val="30"/>
          <w:szCs w:val="30"/>
          <w:highlight w:val="none"/>
        </w:rPr>
      </w:pPr>
    </w:p>
    <w:p w14:paraId="77050E50">
      <w:pPr>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采购代理机构：新疆天麒工程项目管理咨询有限责任公司</w:t>
      </w:r>
    </w:p>
    <w:p w14:paraId="56751DE9">
      <w:pPr>
        <w:spacing w:line="360" w:lineRule="auto"/>
        <w:ind w:firstLine="602" w:firstLineChars="200"/>
        <w:jc w:val="center"/>
        <w:rPr>
          <w:rFonts w:hint="eastAsia" w:ascii="宋体" w:hAnsi="宋体" w:eastAsia="宋体" w:cs="宋体"/>
          <w:b/>
          <w:color w:val="auto"/>
          <w:sz w:val="30"/>
          <w:szCs w:val="30"/>
          <w:highlight w:val="none"/>
        </w:rPr>
      </w:pPr>
      <w:bookmarkStart w:id="175" w:name="_GoBack"/>
      <w:bookmarkEnd w:id="175"/>
    </w:p>
    <w:p w14:paraId="18CC4DFC">
      <w:pPr>
        <w:spacing w:line="360" w:lineRule="auto"/>
        <w:ind w:firstLine="602" w:firstLineChars="200"/>
        <w:jc w:val="center"/>
        <w:rPr>
          <w:rFonts w:hint="eastAsia" w:ascii="宋体" w:hAnsi="宋体" w:eastAsia="宋体" w:cs="宋体"/>
          <w:b/>
          <w:color w:val="auto"/>
          <w:sz w:val="30"/>
          <w:szCs w:val="30"/>
          <w:highlight w:val="none"/>
        </w:rPr>
      </w:pPr>
    </w:p>
    <w:p w14:paraId="7051DAD1">
      <w:pPr>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w:t>
      </w:r>
      <w:r>
        <w:rPr>
          <w:rFonts w:hint="eastAsia" w:ascii="宋体" w:hAnsi="宋体" w:cs="宋体"/>
          <w:b/>
          <w:color w:val="auto"/>
          <w:sz w:val="30"/>
          <w:szCs w:val="30"/>
          <w:highlight w:val="none"/>
          <w:lang w:eastAsia="zh-CN"/>
        </w:rPr>
        <w:t>〇</w:t>
      </w:r>
      <w:r>
        <w:rPr>
          <w:rFonts w:hint="eastAsia" w:ascii="宋体" w:hAnsi="宋体" w:eastAsia="宋体" w:cs="宋体"/>
          <w:b/>
          <w:color w:val="auto"/>
          <w:sz w:val="30"/>
          <w:szCs w:val="30"/>
          <w:highlight w:val="none"/>
          <w:lang w:eastAsia="zh-CN"/>
        </w:rPr>
        <w:t>二</w:t>
      </w:r>
      <w:r>
        <w:rPr>
          <w:rFonts w:hint="eastAsia" w:ascii="宋体" w:hAnsi="宋体" w:cs="宋体"/>
          <w:b/>
          <w:color w:val="auto"/>
          <w:sz w:val="30"/>
          <w:szCs w:val="30"/>
          <w:highlight w:val="none"/>
          <w:lang w:val="en-US" w:eastAsia="zh-CN"/>
        </w:rPr>
        <w:t>五</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lang w:eastAsia="zh-CN"/>
        </w:rPr>
        <w:t>二</w:t>
      </w:r>
      <w:r>
        <w:rPr>
          <w:rFonts w:hint="eastAsia" w:ascii="宋体" w:hAnsi="宋体" w:eastAsia="宋体" w:cs="宋体"/>
          <w:b/>
          <w:color w:val="auto"/>
          <w:sz w:val="30"/>
          <w:szCs w:val="30"/>
          <w:highlight w:val="none"/>
        </w:rPr>
        <w:t>月</w:t>
      </w:r>
    </w:p>
    <w:p w14:paraId="1FC3EF71">
      <w:pPr>
        <w:spacing w:line="360" w:lineRule="auto"/>
        <w:jc w:val="center"/>
        <w:rPr>
          <w:rFonts w:hint="eastAsia" w:ascii="宋体" w:hAnsi="宋体" w:eastAsia="宋体" w:cs="宋体"/>
          <w:b/>
          <w:color w:val="auto"/>
          <w:sz w:val="44"/>
          <w:szCs w:val="44"/>
          <w:highlight w:val="none"/>
        </w:rPr>
      </w:pPr>
    </w:p>
    <w:p w14:paraId="1FDDBAA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总目录</w:t>
      </w:r>
    </w:p>
    <w:p w14:paraId="0C6A10F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第一章</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采购公告--------------------------------------第1页</w:t>
      </w:r>
    </w:p>
    <w:p w14:paraId="22AEF517">
      <w:pPr>
        <w:spacing w:line="360" w:lineRule="auto"/>
        <w:ind w:firstLine="560" w:firstLineChars="200"/>
        <w:rPr>
          <w:rFonts w:hint="eastAsia" w:ascii="宋体" w:hAnsi="宋体" w:eastAsia="宋体" w:cs="宋体"/>
          <w:color w:val="auto"/>
          <w:sz w:val="28"/>
          <w:szCs w:val="28"/>
          <w:highlight w:val="none"/>
        </w:rPr>
      </w:pPr>
    </w:p>
    <w:p w14:paraId="29A4CE1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  供应商须知------------------------------------第</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页</w:t>
      </w:r>
    </w:p>
    <w:p w14:paraId="4BD431DE">
      <w:pPr>
        <w:spacing w:line="360" w:lineRule="auto"/>
        <w:ind w:firstLine="560" w:firstLineChars="200"/>
        <w:rPr>
          <w:rFonts w:hint="eastAsia" w:ascii="宋体" w:hAnsi="宋体" w:eastAsia="宋体" w:cs="宋体"/>
          <w:color w:val="auto"/>
          <w:sz w:val="28"/>
          <w:szCs w:val="28"/>
          <w:highlight w:val="none"/>
        </w:rPr>
      </w:pPr>
    </w:p>
    <w:p w14:paraId="4835319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第三章  </w:t>
      </w:r>
      <w:r>
        <w:rPr>
          <w:rFonts w:hint="eastAsia" w:ascii="宋体" w:hAnsi="宋体" w:eastAsia="宋体" w:cs="宋体"/>
          <w:bCs/>
          <w:color w:val="auto"/>
          <w:sz w:val="28"/>
          <w:szCs w:val="28"/>
          <w:highlight w:val="none"/>
        </w:rPr>
        <w:t>项目采购需求及合同主要条款</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页</w:t>
      </w:r>
    </w:p>
    <w:p w14:paraId="253C64E6">
      <w:pPr>
        <w:spacing w:line="360" w:lineRule="auto"/>
        <w:ind w:firstLine="560" w:firstLineChars="200"/>
        <w:rPr>
          <w:rFonts w:hint="eastAsia" w:ascii="宋体" w:hAnsi="宋体" w:eastAsia="宋体" w:cs="宋体"/>
          <w:color w:val="auto"/>
          <w:sz w:val="28"/>
          <w:szCs w:val="28"/>
          <w:highlight w:val="none"/>
        </w:rPr>
      </w:pPr>
    </w:p>
    <w:p w14:paraId="19E5A2E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  响应文件格式-----------------------------------第</w:t>
      </w:r>
      <w:r>
        <w:rPr>
          <w:rFonts w:hint="eastAsia" w:ascii="宋体" w:hAnsi="宋体" w:cs="宋体"/>
          <w:color w:val="auto"/>
          <w:sz w:val="28"/>
          <w:szCs w:val="28"/>
          <w:highlight w:val="none"/>
          <w:lang w:val="en-US" w:eastAsia="zh-CN"/>
        </w:rPr>
        <w:t>59</w:t>
      </w:r>
      <w:r>
        <w:rPr>
          <w:rFonts w:hint="eastAsia" w:ascii="宋体" w:hAnsi="宋体" w:eastAsia="宋体" w:cs="宋体"/>
          <w:color w:val="auto"/>
          <w:sz w:val="28"/>
          <w:szCs w:val="28"/>
          <w:highlight w:val="none"/>
        </w:rPr>
        <w:t>页</w:t>
      </w:r>
    </w:p>
    <w:p w14:paraId="5D7E4718">
      <w:pPr>
        <w:spacing w:line="360" w:lineRule="auto"/>
        <w:ind w:firstLine="560" w:firstLineChars="200"/>
        <w:rPr>
          <w:rFonts w:hint="eastAsia" w:ascii="宋体" w:hAnsi="宋体" w:eastAsia="宋体" w:cs="宋体"/>
          <w:color w:val="auto"/>
          <w:sz w:val="28"/>
          <w:szCs w:val="28"/>
          <w:highlight w:val="none"/>
        </w:rPr>
      </w:pPr>
    </w:p>
    <w:p w14:paraId="0873386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评审标准</w:t>
      </w:r>
      <w:r>
        <w:rPr>
          <w:rFonts w:hint="eastAsia" w:ascii="宋体" w:hAnsi="宋体" w:eastAsia="宋体" w:cs="宋体"/>
          <w:color w:val="auto"/>
          <w:sz w:val="28"/>
          <w:szCs w:val="28"/>
          <w:highlight w:val="none"/>
        </w:rPr>
        <w:t>（综合评分法）-------------------------第</w:t>
      </w:r>
      <w:r>
        <w:rPr>
          <w:rFonts w:hint="eastAsia" w:ascii="宋体" w:hAnsi="宋体" w:cs="宋体"/>
          <w:color w:val="auto"/>
          <w:sz w:val="28"/>
          <w:szCs w:val="28"/>
          <w:highlight w:val="none"/>
          <w:lang w:val="en-US" w:eastAsia="zh-CN"/>
        </w:rPr>
        <w:t>72</w:t>
      </w:r>
      <w:r>
        <w:rPr>
          <w:rFonts w:hint="eastAsia" w:ascii="宋体" w:hAnsi="宋体" w:eastAsia="宋体" w:cs="宋体"/>
          <w:color w:val="auto"/>
          <w:sz w:val="28"/>
          <w:szCs w:val="28"/>
          <w:highlight w:val="none"/>
        </w:rPr>
        <w:t>页</w:t>
      </w:r>
    </w:p>
    <w:p w14:paraId="708974E6">
      <w:pPr>
        <w:spacing w:line="360" w:lineRule="auto"/>
        <w:rPr>
          <w:rFonts w:hint="eastAsia" w:ascii="宋体" w:hAnsi="宋体" w:eastAsia="宋体" w:cs="宋体"/>
          <w:color w:val="auto"/>
          <w:sz w:val="32"/>
          <w:szCs w:val="32"/>
          <w:highlight w:val="none"/>
        </w:rPr>
      </w:pPr>
    </w:p>
    <w:p w14:paraId="53A7E814">
      <w:pPr>
        <w:spacing w:line="360" w:lineRule="auto"/>
        <w:rPr>
          <w:rFonts w:hint="eastAsia" w:ascii="宋体" w:hAnsi="宋体" w:eastAsia="宋体" w:cs="宋体"/>
          <w:color w:val="auto"/>
          <w:sz w:val="32"/>
          <w:szCs w:val="32"/>
          <w:highlight w:val="none"/>
        </w:rPr>
      </w:pPr>
    </w:p>
    <w:p w14:paraId="17B3E9CD">
      <w:pPr>
        <w:spacing w:line="360" w:lineRule="auto"/>
        <w:rPr>
          <w:rFonts w:hint="eastAsia" w:ascii="宋体" w:hAnsi="宋体" w:eastAsia="宋体" w:cs="宋体"/>
          <w:color w:val="auto"/>
          <w:sz w:val="32"/>
          <w:szCs w:val="32"/>
          <w:highlight w:val="none"/>
        </w:rPr>
      </w:pPr>
    </w:p>
    <w:p w14:paraId="16288CDA">
      <w:pPr>
        <w:spacing w:line="360" w:lineRule="auto"/>
        <w:rPr>
          <w:rFonts w:hint="eastAsia" w:ascii="宋体" w:hAnsi="宋体" w:eastAsia="宋体" w:cs="宋体"/>
          <w:color w:val="auto"/>
          <w:sz w:val="32"/>
          <w:szCs w:val="32"/>
          <w:highlight w:val="none"/>
        </w:rPr>
      </w:pPr>
    </w:p>
    <w:p w14:paraId="3B3F206A">
      <w:pPr>
        <w:spacing w:line="360" w:lineRule="auto"/>
        <w:rPr>
          <w:rFonts w:hint="eastAsia" w:ascii="宋体" w:hAnsi="宋体" w:eastAsia="宋体" w:cs="宋体"/>
          <w:color w:val="auto"/>
          <w:sz w:val="32"/>
          <w:szCs w:val="32"/>
          <w:highlight w:val="none"/>
        </w:rPr>
      </w:pPr>
    </w:p>
    <w:p w14:paraId="16B4499F">
      <w:pPr>
        <w:spacing w:line="360" w:lineRule="auto"/>
        <w:rPr>
          <w:rFonts w:hint="eastAsia" w:ascii="宋体" w:hAnsi="宋体" w:eastAsia="宋体" w:cs="宋体"/>
          <w:color w:val="auto"/>
          <w:sz w:val="32"/>
          <w:szCs w:val="32"/>
          <w:highlight w:val="none"/>
        </w:rPr>
      </w:pPr>
    </w:p>
    <w:p w14:paraId="1C790EC5">
      <w:pPr>
        <w:spacing w:line="360" w:lineRule="auto"/>
        <w:rPr>
          <w:rFonts w:hint="eastAsia" w:ascii="宋体" w:hAnsi="宋体" w:eastAsia="宋体" w:cs="宋体"/>
          <w:color w:val="auto"/>
          <w:sz w:val="32"/>
          <w:szCs w:val="32"/>
          <w:highlight w:val="none"/>
        </w:rPr>
      </w:pPr>
    </w:p>
    <w:p w14:paraId="1DC6FD4D">
      <w:pPr>
        <w:spacing w:line="360" w:lineRule="auto"/>
        <w:rPr>
          <w:rFonts w:hint="eastAsia" w:ascii="宋体" w:hAnsi="宋体" w:eastAsia="宋体" w:cs="宋体"/>
          <w:color w:val="auto"/>
          <w:sz w:val="32"/>
          <w:szCs w:val="32"/>
          <w:highlight w:val="none"/>
        </w:rPr>
      </w:pPr>
    </w:p>
    <w:p w14:paraId="552CAF54">
      <w:pPr>
        <w:spacing w:line="360" w:lineRule="auto"/>
        <w:rPr>
          <w:rFonts w:hint="eastAsia" w:ascii="宋体" w:hAnsi="宋体" w:eastAsia="宋体" w:cs="宋体"/>
          <w:color w:val="auto"/>
          <w:sz w:val="32"/>
          <w:szCs w:val="32"/>
          <w:highlight w:val="none"/>
        </w:rPr>
      </w:pPr>
    </w:p>
    <w:p w14:paraId="7F692E96">
      <w:pPr>
        <w:spacing w:line="360" w:lineRule="auto"/>
        <w:rPr>
          <w:rFonts w:hint="eastAsia" w:ascii="宋体" w:hAnsi="宋体" w:eastAsia="宋体" w:cs="宋体"/>
          <w:color w:val="auto"/>
          <w:sz w:val="32"/>
          <w:szCs w:val="32"/>
          <w:highlight w:val="none"/>
        </w:rPr>
      </w:pPr>
    </w:p>
    <w:p w14:paraId="52FADBD4">
      <w:pPr>
        <w:pStyle w:val="3"/>
        <w:numPr>
          <w:ilvl w:val="0"/>
          <w:numId w:val="1"/>
        </w:numPr>
        <w:spacing w:line="280" w:lineRule="exact"/>
        <w:jc w:val="center"/>
        <w:rPr>
          <w:rFonts w:hint="eastAsia" w:ascii="宋体" w:hAnsi="宋体" w:eastAsia="宋体" w:cs="宋体"/>
          <w:bCs w:val="0"/>
          <w:color w:val="auto"/>
          <w:sz w:val="28"/>
          <w:szCs w:val="28"/>
          <w:highlight w:val="none"/>
        </w:rPr>
        <w:sectPr>
          <w:headerReference r:id="rId3" w:type="first"/>
          <w:footerReference r:id="rId5" w:type="first"/>
          <w:footerReference r:id="rId4" w:type="default"/>
          <w:pgSz w:w="11905" w:h="16838"/>
          <w:pgMar w:top="1440" w:right="1080" w:bottom="1440" w:left="1080" w:header="850" w:footer="850" w:gutter="0"/>
          <w:pgNumType w:start="1"/>
          <w:cols w:space="0" w:num="1"/>
          <w:rtlGutter w:val="0"/>
          <w:docGrid w:linePitch="354" w:charSpace="0"/>
        </w:sectPr>
      </w:pPr>
    </w:p>
    <w:p w14:paraId="51060AE4">
      <w:pPr>
        <w:pStyle w:val="3"/>
        <w:numPr>
          <w:ilvl w:val="0"/>
          <w:numId w:val="1"/>
        </w:numPr>
        <w:spacing w:line="280" w:lineRule="exact"/>
        <w:jc w:val="center"/>
        <w:rPr>
          <w:rFonts w:hint="eastAsia" w:ascii="宋体" w:hAnsi="宋体" w:eastAsia="宋体" w:cs="宋体"/>
          <w:bCs w:val="0"/>
          <w:color w:val="auto"/>
          <w:sz w:val="28"/>
          <w:szCs w:val="28"/>
          <w:highlight w:val="none"/>
        </w:rPr>
      </w:pPr>
      <w:bookmarkStart w:id="1" w:name="_Toc154996575"/>
      <w:r>
        <w:rPr>
          <w:rFonts w:hint="eastAsia" w:ascii="宋体" w:hAnsi="宋体" w:eastAsia="宋体" w:cs="宋体"/>
          <w:bCs w:val="0"/>
          <w:color w:val="auto"/>
          <w:sz w:val="28"/>
          <w:szCs w:val="28"/>
          <w:highlight w:val="none"/>
        </w:rPr>
        <w:t>采购公告</w:t>
      </w:r>
    </w:p>
    <w:tbl>
      <w:tblPr>
        <w:tblStyle w:val="59"/>
        <w:tblW w:w="9492"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2"/>
      </w:tblGrid>
      <w:tr w14:paraId="5EE3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2" w:type="dxa"/>
            <w:vAlign w:val="top"/>
          </w:tcPr>
          <w:p w14:paraId="7BAB850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                                      </w:t>
            </w:r>
          </w:p>
          <w:p w14:paraId="4BF70EED">
            <w:pPr>
              <w:pStyle w:val="53"/>
              <w:widowControl/>
              <w:wordWrap/>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国家税务总局克拉玛依市克拉玛依区税务局物业管理服务</w:t>
            </w:r>
            <w:r>
              <w:rPr>
                <w:rFonts w:hint="eastAsia" w:ascii="宋体" w:hAnsi="宋体" w:eastAsia="宋体" w:cs="宋体"/>
                <w:color w:val="auto"/>
                <w:sz w:val="24"/>
                <w:szCs w:val="24"/>
                <w:highlight w:val="none"/>
              </w:rPr>
              <w:t>的潜在供应商应在</w:t>
            </w:r>
            <w:r>
              <w:rPr>
                <w:rFonts w:hint="eastAsia" w:cs="宋体"/>
                <w:color w:val="auto"/>
                <w:highlight w:val="none"/>
                <w:lang w:eastAsia="zh-CN"/>
              </w:rPr>
              <w:t>国家税务总局克拉玛依市税务局门户网站</w:t>
            </w:r>
            <w:r>
              <w:rPr>
                <w:rFonts w:hint="eastAsia" w:ascii="宋体" w:hAnsi="宋体" w:eastAsia="宋体" w:cs="宋体"/>
                <w:color w:val="auto"/>
                <w:sz w:val="24"/>
                <w:szCs w:val="24"/>
                <w:highlight w:val="none"/>
              </w:rPr>
              <w:t>获取采购文件，并于</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0（北京时间）前提交响应文件。</w:t>
            </w:r>
          </w:p>
        </w:tc>
      </w:tr>
    </w:tbl>
    <w:p w14:paraId="3F26AF9E">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一、项目基本情况</w:t>
      </w:r>
    </w:p>
    <w:p w14:paraId="2D030689">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KQSWJ（ZC）2025-03</w:t>
      </w:r>
      <w:r>
        <w:rPr>
          <w:rFonts w:hint="eastAsia" w:ascii="宋体" w:hAnsi="宋体" w:eastAsia="宋体" w:cs="宋体"/>
          <w:color w:val="auto"/>
          <w:sz w:val="24"/>
          <w:szCs w:val="24"/>
          <w:highlight w:val="none"/>
        </w:rPr>
        <w:t> </w:t>
      </w:r>
    </w:p>
    <w:p w14:paraId="4831F566">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cs="宋体"/>
          <w:color w:val="auto"/>
          <w:sz w:val="24"/>
          <w:szCs w:val="24"/>
          <w:highlight w:val="none"/>
          <w:lang w:eastAsia="zh-CN"/>
        </w:rPr>
        <w:t>国家税务总局克拉玛依市克拉玛依区税务局物业管理服务</w:t>
      </w:r>
      <w:r>
        <w:rPr>
          <w:rFonts w:hint="eastAsia" w:ascii="宋体" w:hAnsi="宋体" w:eastAsia="宋体" w:cs="宋体"/>
          <w:color w:val="auto"/>
          <w:sz w:val="24"/>
          <w:szCs w:val="24"/>
          <w:highlight w:val="none"/>
        </w:rPr>
        <w:t> </w:t>
      </w:r>
    </w:p>
    <w:p w14:paraId="2564190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r>
        <w:rPr>
          <w:rFonts w:hint="eastAsia" w:cs="宋体"/>
          <w:color w:val="auto"/>
          <w:sz w:val="24"/>
          <w:szCs w:val="24"/>
          <w:highlight w:val="none"/>
          <w:lang w:val="en-US" w:eastAsia="zh-CN"/>
        </w:rPr>
        <w:t>简易磋商</w:t>
      </w:r>
      <w:r>
        <w:rPr>
          <w:rFonts w:hint="eastAsia" w:ascii="宋体" w:hAnsi="宋体" w:eastAsia="宋体" w:cs="宋体"/>
          <w:color w:val="auto"/>
          <w:sz w:val="24"/>
          <w:szCs w:val="24"/>
          <w:highlight w:val="none"/>
        </w:rPr>
        <w:t> </w:t>
      </w:r>
    </w:p>
    <w:p w14:paraId="0CD9F27A">
      <w:pPr>
        <w:widowControl/>
        <w:wordWrap/>
        <w:adjustRightInd/>
        <w:snapToGrid/>
        <w:spacing w:line="360" w:lineRule="auto"/>
        <w:ind w:left="0" w:leftChars="0" w:right="0" w:firstLine="480" w:firstLineChars="200"/>
        <w:jc w:val="left"/>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kern w:val="0"/>
          <w:sz w:val="24"/>
          <w:szCs w:val="24"/>
          <w:highlight w:val="none"/>
          <w:lang w:val="en-US" w:eastAsia="zh-CN" w:bidi="ar-SA"/>
        </w:rPr>
        <w:t xml:space="preserve">：700000  </w:t>
      </w:r>
    </w:p>
    <w:p w14:paraId="2B98714B">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cs="宋体"/>
          <w:color w:val="auto"/>
          <w:sz w:val="24"/>
          <w:szCs w:val="24"/>
          <w:highlight w:val="none"/>
          <w:lang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700000</w:t>
      </w:r>
      <w:r>
        <w:rPr>
          <w:rFonts w:hint="eastAsia"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79EE23A9">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cs="宋体"/>
          <w:b w:val="0"/>
          <w:bCs w:val="0"/>
          <w:color w:val="auto"/>
          <w:sz w:val="24"/>
          <w:highlight w:val="none"/>
          <w:lang w:eastAsia="zh-CN"/>
        </w:rPr>
        <w:t>详见采购文件。</w:t>
      </w:r>
    </w:p>
    <w:p w14:paraId="51153C23">
      <w:pPr>
        <w:widowControl/>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数量：</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p>
    <w:p w14:paraId="5F905D5E">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cs="宋体"/>
          <w:color w:val="auto"/>
          <w:sz w:val="24"/>
          <w:szCs w:val="24"/>
          <w:highlight w:val="none"/>
          <w:lang w:val="en-US" w:eastAsia="zh-CN"/>
        </w:rPr>
        <w:t>700000</w:t>
      </w:r>
      <w:r>
        <w:rPr>
          <w:rFonts w:hint="eastAsia"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 </w:t>
      </w:r>
    </w:p>
    <w:p w14:paraId="26B10804">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cs="宋体"/>
          <w:color w:val="auto"/>
          <w:sz w:val="24"/>
          <w:szCs w:val="24"/>
          <w:highlight w:val="none"/>
          <w:lang w:val="en-US" w:eastAsia="zh-CN"/>
        </w:rPr>
        <w:t>1项</w:t>
      </w:r>
      <w:r>
        <w:rPr>
          <w:rFonts w:hint="eastAsia" w:ascii="宋体" w:hAnsi="宋体" w:eastAsia="宋体" w:cs="宋体"/>
          <w:color w:val="auto"/>
          <w:sz w:val="24"/>
          <w:szCs w:val="24"/>
          <w:highlight w:val="none"/>
        </w:rPr>
        <w:t> </w:t>
      </w:r>
    </w:p>
    <w:p w14:paraId="69740D71">
      <w:pPr>
        <w:keepNext w:val="0"/>
        <w:keepLines w:val="0"/>
        <w:pageBreakBefore w:val="0"/>
        <w:kinsoku/>
        <w:wordWrap/>
        <w:overflowPunct/>
        <w:topLinePunct w:val="0"/>
        <w:autoSpaceDE/>
        <w:autoSpaceDN/>
        <w:bidi w:val="0"/>
        <w:adjustRightInd/>
        <w:spacing w:line="460" w:lineRule="exact"/>
        <w:ind w:firstLine="48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color w:val="auto"/>
          <w:sz w:val="24"/>
          <w:szCs w:val="24"/>
          <w:highlight w:val="none"/>
        </w:rPr>
        <w:t>简要规格描述：物业管理服务包括基本服务、房屋维护服务、公用设施设备维护服务、保洁服务、绿化服务、会议服务等。</w:t>
      </w:r>
    </w:p>
    <w:p w14:paraId="183ECF70">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cs="宋体"/>
          <w:color w:val="auto"/>
          <w:sz w:val="24"/>
          <w:szCs w:val="24"/>
          <w:highlight w:val="none"/>
          <w:lang w:val="en-US" w:eastAsia="zh-CN"/>
        </w:rPr>
        <w:t>本预算为一年的预算。</w:t>
      </w:r>
      <w:r>
        <w:rPr>
          <w:rFonts w:hint="eastAsia" w:ascii="宋体" w:hAnsi="宋体" w:eastAsia="宋体" w:cs="宋体"/>
          <w:color w:val="auto"/>
          <w:sz w:val="24"/>
          <w:szCs w:val="24"/>
          <w:highlight w:val="none"/>
        </w:rPr>
        <w:t> </w:t>
      </w:r>
    </w:p>
    <w:p w14:paraId="67CB7816">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详见采购文件</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w:t>
      </w:r>
    </w:p>
    <w:p w14:paraId="3B2E6894">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24"/>
          <w:szCs w:val="24"/>
          <w:highlight w:val="none"/>
        </w:rPr>
        <w:t>本项目</w:t>
      </w:r>
      <w:r>
        <w:rPr>
          <w:rFonts w:hint="eastAsia"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  </w:t>
      </w:r>
    </w:p>
    <w:p w14:paraId="16DB3288">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二、申请人的资格要求：</w:t>
      </w:r>
    </w:p>
    <w:p w14:paraId="5CB4E4A6">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450AA15">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cs="宋体"/>
          <w:color w:val="auto"/>
          <w:sz w:val="24"/>
          <w:szCs w:val="24"/>
          <w:highlight w:val="none"/>
          <w:lang w:val="en-US" w:eastAsia="zh-CN"/>
        </w:rPr>
        <w:t>本项目专门面向中小企业</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w:t>
      </w:r>
    </w:p>
    <w:p w14:paraId="1C1635D9">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cs="宋体"/>
          <w:color w:val="auto"/>
          <w:sz w:val="24"/>
          <w:highlight w:val="none"/>
          <w:lang w:val="en-US" w:eastAsia="zh-CN"/>
        </w:rPr>
        <w:t>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w:t>
      </w:r>
    </w:p>
    <w:p w14:paraId="6CC57FB3">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三、获取采购文件</w:t>
      </w:r>
    </w:p>
    <w:p w14:paraId="6B072063">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日至</w:t>
      </w:r>
      <w:r>
        <w:rPr>
          <w:rFonts w:hint="eastAsia"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日，每天上午10:</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0至1</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0，下午1</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0至19:</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14:paraId="0D02857C">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cs="宋体"/>
          <w:color w:val="auto"/>
          <w:highlight w:val="none"/>
          <w:lang w:eastAsia="zh-CN"/>
        </w:rPr>
        <w:t>国家税务总局克拉玛依市税务局门户网站</w:t>
      </w:r>
      <w:r>
        <w:rPr>
          <w:rFonts w:hint="eastAsia" w:ascii="宋体" w:hAnsi="宋体" w:eastAsia="宋体" w:cs="宋体"/>
          <w:color w:val="auto"/>
          <w:sz w:val="24"/>
          <w:szCs w:val="24"/>
          <w:highlight w:val="none"/>
        </w:rPr>
        <w:t> </w:t>
      </w:r>
    </w:p>
    <w:p w14:paraId="1990F159">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方式：线</w:t>
      </w:r>
      <w:r>
        <w:rPr>
          <w:rFonts w:hint="eastAsia" w:cs="宋体"/>
          <w:color w:val="auto"/>
          <w:sz w:val="24"/>
          <w:szCs w:val="24"/>
          <w:highlight w:val="none"/>
          <w:lang w:val="en-US" w:eastAsia="zh-CN"/>
        </w:rPr>
        <w:t>上</w:t>
      </w:r>
      <w:r>
        <w:rPr>
          <w:rFonts w:hint="eastAsia" w:ascii="宋体" w:hAnsi="宋体" w:eastAsia="宋体" w:cs="宋体"/>
          <w:color w:val="auto"/>
          <w:sz w:val="24"/>
          <w:szCs w:val="24"/>
          <w:highlight w:val="none"/>
        </w:rPr>
        <w:t>获取 </w:t>
      </w:r>
    </w:p>
    <w:p w14:paraId="71E84AB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 xml:space="preserve">0 </w:t>
      </w:r>
      <w:r>
        <w:rPr>
          <w:rFonts w:hint="eastAsia" w:ascii="宋体" w:hAnsi="宋体" w:eastAsia="宋体" w:cs="宋体"/>
          <w:color w:val="auto"/>
          <w:sz w:val="24"/>
          <w:szCs w:val="24"/>
          <w:highlight w:val="none"/>
        </w:rPr>
        <w:t> </w:t>
      </w:r>
    </w:p>
    <w:p w14:paraId="430D58AA">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四、响应文件提交</w:t>
      </w:r>
      <w:r>
        <w:rPr>
          <w:rFonts w:hint="eastAsia" w:ascii="宋体" w:hAnsi="宋体" w:eastAsia="宋体" w:cs="宋体"/>
          <w:color w:val="auto"/>
          <w:sz w:val="24"/>
          <w:szCs w:val="24"/>
          <w:highlight w:val="none"/>
        </w:rPr>
        <w:t> </w:t>
      </w:r>
    </w:p>
    <w:p w14:paraId="1EB0375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14:paraId="4FA9EBDE">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地点：新疆天麒工程项目管理咨询有限责任公司一楼</w:t>
      </w:r>
      <w:r>
        <w:rPr>
          <w:rFonts w:hint="eastAsia" w:cs="宋体"/>
          <w:color w:val="auto"/>
          <w:sz w:val="24"/>
          <w:szCs w:val="24"/>
          <w:highlight w:val="none"/>
          <w:lang w:val="en-US" w:eastAsia="zh-CN"/>
        </w:rPr>
        <w:t>开</w:t>
      </w:r>
      <w:r>
        <w:rPr>
          <w:rFonts w:hint="eastAsia" w:ascii="宋体" w:hAnsi="宋体" w:eastAsia="宋体" w:cs="宋体"/>
          <w:color w:val="auto"/>
          <w:sz w:val="24"/>
          <w:szCs w:val="24"/>
          <w:highlight w:val="none"/>
        </w:rPr>
        <w:t>标室（克拉玛依市通讯路44号） </w:t>
      </w:r>
    </w:p>
    <w:p w14:paraId="6D6D1BA9">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五、响应文件开启</w:t>
      </w:r>
      <w:r>
        <w:rPr>
          <w:rFonts w:hint="eastAsia" w:ascii="宋体" w:hAnsi="宋体" w:eastAsia="宋体" w:cs="宋体"/>
          <w:color w:val="auto"/>
          <w:sz w:val="24"/>
          <w:szCs w:val="24"/>
          <w:highlight w:val="none"/>
        </w:rPr>
        <w:t> </w:t>
      </w:r>
    </w:p>
    <w:p w14:paraId="21874DDC">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14:paraId="5E0DAE35">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地点：新疆天麒工程项目管理咨询有限责任公司一楼评标室（克拉玛依市通讯路44号） </w:t>
      </w:r>
    </w:p>
    <w:p w14:paraId="37FF4CB0">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六、公告期限</w:t>
      </w:r>
    </w:p>
    <w:p w14:paraId="68C0F772">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14:paraId="3B779570">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七、其他补充事宜</w:t>
      </w:r>
      <w:r>
        <w:rPr>
          <w:rFonts w:hint="eastAsia" w:ascii="宋体" w:hAnsi="宋体" w:eastAsia="宋体" w:cs="宋体"/>
          <w:color w:val="auto"/>
          <w:sz w:val="24"/>
          <w:szCs w:val="24"/>
          <w:highlight w:val="none"/>
        </w:rPr>
        <w:t> </w:t>
      </w:r>
    </w:p>
    <w:p w14:paraId="11C6B411">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需将所投项目名称、项目编号、单位名称、地址、联系人、联系方式和电子邮箱号写在一张 A4 纸上并加盖公章，扫描件发送至邮箱：603781401@qq.com，邮件名称必须为：项目名称+项目编号+供应商名称</w:t>
      </w:r>
      <w:r>
        <w:rPr>
          <w:rFonts w:hint="eastAsia" w:ascii="宋体" w:hAnsi="宋体" w:eastAsia="宋体" w:cs="宋体"/>
          <w:color w:val="auto"/>
          <w:sz w:val="24"/>
          <w:szCs w:val="24"/>
          <w:highlight w:val="none"/>
          <w:lang w:eastAsia="zh-CN"/>
        </w:rPr>
        <w:t>。</w:t>
      </w:r>
    </w:p>
    <w:p w14:paraId="2E7A19A1">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八、凡对本次招标提出询问，请按以下方式联系</w:t>
      </w:r>
    </w:p>
    <w:p w14:paraId="22DF8488">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E0A4D09">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称：国家税务总局克拉玛依市克拉玛依区税务局</w:t>
      </w:r>
    </w:p>
    <w:p w14:paraId="0688E3D8">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址：克拉玛依市迎宾路46号 </w:t>
      </w:r>
    </w:p>
    <w:p w14:paraId="4AA2530B">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2" w:name="OLE_LINK2"/>
      <w:r>
        <w:rPr>
          <w:rFonts w:hint="eastAsia" w:ascii="宋体" w:hAnsi="宋体" w:eastAsia="宋体" w:cs="宋体"/>
          <w:color w:val="auto"/>
          <w:sz w:val="24"/>
          <w:szCs w:val="24"/>
          <w:highlight w:val="none"/>
        </w:rPr>
        <w:t>19609900371</w:t>
      </w:r>
      <w:bookmarkEnd w:id="2"/>
      <w:r>
        <w:rPr>
          <w:rFonts w:hint="eastAsia" w:ascii="宋体" w:hAnsi="宋体" w:eastAsia="宋体" w:cs="宋体"/>
          <w:color w:val="auto"/>
          <w:sz w:val="24"/>
          <w:szCs w:val="24"/>
          <w:highlight w:val="none"/>
        </w:rPr>
        <w:t xml:space="preserve">  </w:t>
      </w:r>
    </w:p>
    <w:p w14:paraId="37DFB0DB">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bookmarkStart w:id="3" w:name="_Toc35393638"/>
      <w:bookmarkStart w:id="4" w:name="_Toc28359020"/>
      <w:bookmarkStart w:id="5" w:name="_Toc35393807"/>
      <w:bookmarkStart w:id="6" w:name="_Toc28359097"/>
      <w:r>
        <w:rPr>
          <w:rFonts w:hint="eastAsia" w:ascii="宋体" w:hAnsi="宋体" w:eastAsia="宋体" w:cs="宋体"/>
          <w:color w:val="auto"/>
          <w:sz w:val="24"/>
          <w:szCs w:val="24"/>
          <w:highlight w:val="none"/>
        </w:rPr>
        <w:t>2.采购代理机构信息</w:t>
      </w:r>
      <w:bookmarkEnd w:id="3"/>
      <w:bookmarkEnd w:id="4"/>
      <w:bookmarkEnd w:id="5"/>
      <w:bookmarkEnd w:id="6"/>
    </w:p>
    <w:p w14:paraId="7F5CB61D">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称：新疆天麒工程项目管理咨询有限责任公司</w:t>
      </w:r>
    </w:p>
    <w:p w14:paraId="2D1F867F">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址：新疆克拉玛依市通讯路44号</w:t>
      </w:r>
    </w:p>
    <w:p w14:paraId="3B916CC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联系方式：0990-6230002</w:t>
      </w:r>
    </w:p>
    <w:p w14:paraId="5E0DFAF3">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bookmarkStart w:id="7" w:name="_Toc35393639"/>
      <w:bookmarkStart w:id="8" w:name="_Toc28359021"/>
      <w:bookmarkStart w:id="9" w:name="_Toc35393808"/>
      <w:bookmarkStart w:id="10" w:name="_Toc28359098"/>
      <w:r>
        <w:rPr>
          <w:rFonts w:hint="eastAsia" w:ascii="宋体" w:hAnsi="宋体" w:eastAsia="宋体" w:cs="宋体"/>
          <w:color w:val="auto"/>
          <w:sz w:val="24"/>
          <w:szCs w:val="24"/>
          <w:highlight w:val="none"/>
        </w:rPr>
        <w:t>3.项目联系方式</w:t>
      </w:r>
      <w:bookmarkEnd w:id="7"/>
      <w:bookmarkEnd w:id="8"/>
      <w:bookmarkEnd w:id="9"/>
      <w:bookmarkEnd w:id="10"/>
    </w:p>
    <w:p w14:paraId="0D32FA62">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bookmarkStart w:id="11" w:name="OLE_LINK3"/>
      <w:r>
        <w:rPr>
          <w:rFonts w:hint="eastAsia" w:ascii="宋体" w:hAnsi="宋体" w:eastAsia="宋体" w:cs="宋体"/>
          <w:color w:val="auto"/>
          <w:sz w:val="24"/>
          <w:szCs w:val="24"/>
          <w:highlight w:val="none"/>
        </w:rPr>
        <w:t>金政浩</w:t>
      </w:r>
      <w:bookmarkEnd w:id="11"/>
      <w:r>
        <w:rPr>
          <w:rFonts w:hint="eastAsia" w:ascii="宋体" w:hAnsi="宋体" w:eastAsia="宋体" w:cs="宋体"/>
          <w:color w:val="auto"/>
          <w:sz w:val="24"/>
          <w:szCs w:val="24"/>
          <w:highlight w:val="none"/>
        </w:rPr>
        <w:t>（采购人）、姚磊  于秀（采购代理机构）</w:t>
      </w:r>
    </w:p>
    <w:p w14:paraId="4E05D84B">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话：19609900371、0990-6230002</w:t>
      </w:r>
    </w:p>
    <w:p w14:paraId="6E2B16A5">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4FEAA807">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1907B9C6">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606DE699">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556DED7F">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7B02C62D">
      <w:pPr>
        <w:spacing w:line="3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第二章  供应商须知</w:t>
      </w:r>
    </w:p>
    <w:p w14:paraId="4F9AB517">
      <w:pPr>
        <w:widowControl w:val="0"/>
        <w:wordWrap/>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前  附  表</w:t>
      </w:r>
    </w:p>
    <w:tbl>
      <w:tblPr>
        <w:tblStyle w:val="59"/>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382"/>
      </w:tblGrid>
      <w:tr w14:paraId="46A9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58" w:type="dxa"/>
            <w:tcBorders>
              <w:top w:val="single" w:color="auto" w:sz="4" w:space="0"/>
              <w:left w:val="single" w:color="auto" w:sz="4" w:space="0"/>
              <w:bottom w:val="single" w:color="auto" w:sz="4" w:space="0"/>
              <w:right w:val="single" w:color="auto" w:sz="4" w:space="0"/>
            </w:tcBorders>
            <w:vAlign w:val="center"/>
          </w:tcPr>
          <w:p w14:paraId="6DDA7CDA">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82" w:type="dxa"/>
            <w:tcBorders>
              <w:top w:val="single" w:color="auto" w:sz="4" w:space="0"/>
              <w:left w:val="single" w:color="auto" w:sz="4" w:space="0"/>
              <w:bottom w:val="single" w:color="auto" w:sz="4" w:space="0"/>
              <w:right w:val="single" w:color="auto" w:sz="4" w:space="0"/>
            </w:tcBorders>
            <w:vAlign w:val="center"/>
          </w:tcPr>
          <w:p w14:paraId="77CBEA5C">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204F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58" w:type="dxa"/>
            <w:tcBorders>
              <w:top w:val="single" w:color="auto" w:sz="4" w:space="0"/>
              <w:left w:val="single" w:color="auto" w:sz="4" w:space="0"/>
              <w:bottom w:val="single" w:color="auto" w:sz="4" w:space="0"/>
              <w:right w:val="single" w:color="auto" w:sz="4" w:space="0"/>
            </w:tcBorders>
            <w:vAlign w:val="center"/>
          </w:tcPr>
          <w:p w14:paraId="1F081082">
            <w:pPr>
              <w:pStyle w:val="35"/>
              <w:widowControl w:val="0"/>
              <w:wordWrap/>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82" w:type="dxa"/>
            <w:tcBorders>
              <w:top w:val="single" w:color="auto" w:sz="4" w:space="0"/>
              <w:left w:val="single" w:color="auto" w:sz="4" w:space="0"/>
              <w:bottom w:val="single" w:color="auto" w:sz="4" w:space="0"/>
              <w:right w:val="single" w:color="auto" w:sz="4" w:space="0"/>
            </w:tcBorders>
            <w:vAlign w:val="center"/>
          </w:tcPr>
          <w:p w14:paraId="30BB4902">
            <w:pPr>
              <w:pStyle w:val="33"/>
              <w:widowControl w:val="0"/>
              <w:wordWrap/>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国家税务总局克拉玛依市克拉玛依区税务局物业管理服务</w:t>
            </w:r>
          </w:p>
          <w:p w14:paraId="44E395FF">
            <w:pPr>
              <w:pStyle w:val="33"/>
              <w:widowControl w:val="0"/>
              <w:wordWrap/>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采购文件编号：</w:t>
            </w:r>
            <w:r>
              <w:rPr>
                <w:rFonts w:hint="eastAsia" w:hAnsi="宋体" w:cs="宋体"/>
                <w:color w:val="auto"/>
                <w:sz w:val="24"/>
                <w:szCs w:val="24"/>
                <w:highlight w:val="none"/>
                <w:lang w:eastAsia="zh-CN"/>
              </w:rPr>
              <w:t>KQSWJ（ZC）2025-03</w:t>
            </w:r>
          </w:p>
        </w:tc>
      </w:tr>
      <w:tr w14:paraId="3823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trPr>
        <w:tc>
          <w:tcPr>
            <w:tcW w:w="758" w:type="dxa"/>
            <w:tcBorders>
              <w:top w:val="single" w:color="auto" w:sz="4" w:space="0"/>
              <w:left w:val="single" w:color="auto" w:sz="4" w:space="0"/>
              <w:bottom w:val="single" w:color="auto" w:sz="4" w:space="0"/>
              <w:right w:val="single" w:color="auto" w:sz="4" w:space="0"/>
            </w:tcBorders>
            <w:vAlign w:val="center"/>
          </w:tcPr>
          <w:p w14:paraId="766EDF02">
            <w:pPr>
              <w:pStyle w:val="35"/>
              <w:widowControl w:val="0"/>
              <w:wordWrap/>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82" w:type="dxa"/>
            <w:tcBorders>
              <w:top w:val="single" w:color="auto" w:sz="4" w:space="0"/>
              <w:left w:val="single" w:color="auto" w:sz="4" w:space="0"/>
              <w:bottom w:val="single" w:color="auto" w:sz="4" w:space="0"/>
              <w:right w:val="single" w:color="auto" w:sz="4" w:space="0"/>
            </w:tcBorders>
            <w:vAlign w:val="center"/>
          </w:tcPr>
          <w:p w14:paraId="02E28B95">
            <w:pPr>
              <w:pStyle w:val="33"/>
              <w:spacing w:line="360" w:lineRule="auto"/>
              <w:rPr>
                <w:rFonts w:hint="eastAsia" w:hAnsi="宋体" w:cs="宋体"/>
                <w:color w:val="auto"/>
                <w:sz w:val="24"/>
                <w:szCs w:val="24"/>
                <w:highlight w:val="none"/>
              </w:rPr>
            </w:pPr>
            <w:r>
              <w:rPr>
                <w:rFonts w:hint="eastAsia" w:hAnsi="宋体" w:cs="宋体"/>
                <w:color w:val="auto"/>
                <w:sz w:val="24"/>
                <w:szCs w:val="24"/>
                <w:highlight w:val="none"/>
              </w:rPr>
              <w:t>采购人：国家税务总局克拉玛依市克拉玛依区税务局</w:t>
            </w:r>
          </w:p>
          <w:p w14:paraId="796F8588">
            <w:pPr>
              <w:pStyle w:val="33"/>
              <w:spacing w:line="360" w:lineRule="auto"/>
              <w:rPr>
                <w:rFonts w:hAnsi="宋体" w:cs="宋体"/>
                <w:color w:val="auto"/>
                <w:sz w:val="24"/>
                <w:szCs w:val="24"/>
                <w:highlight w:val="none"/>
              </w:rPr>
            </w:pPr>
            <w:r>
              <w:rPr>
                <w:rFonts w:hint="eastAsia" w:hAnsi="宋体" w:cs="宋体"/>
                <w:color w:val="auto"/>
                <w:sz w:val="24"/>
                <w:szCs w:val="24"/>
                <w:highlight w:val="none"/>
              </w:rPr>
              <w:t xml:space="preserve">地  址：克拉玛依市迎宾路46号     邮政编码：834000   </w:t>
            </w:r>
          </w:p>
          <w:p w14:paraId="6DE71BEB">
            <w:pPr>
              <w:pStyle w:val="33"/>
              <w:widowControl w:val="0"/>
              <w:wordWrap/>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rPr>
              <w:t>联系人：</w:t>
            </w:r>
            <w:r>
              <w:rPr>
                <w:rFonts w:hint="eastAsia" w:hAnsi="宋体" w:cs="宋体"/>
                <w:color w:val="auto"/>
                <w:sz w:val="24"/>
                <w:highlight w:val="none"/>
              </w:rPr>
              <w:t>金政浩</w:t>
            </w:r>
            <w:r>
              <w:rPr>
                <w:rFonts w:hint="eastAsia" w:hAnsi="宋体" w:cs="宋体"/>
                <w:color w:val="auto"/>
                <w:sz w:val="24"/>
                <w:szCs w:val="24"/>
                <w:highlight w:val="none"/>
              </w:rPr>
              <w:t xml:space="preserve">                    联系电话：</w:t>
            </w:r>
            <w:r>
              <w:rPr>
                <w:rFonts w:hint="eastAsia" w:hAnsi="宋体" w:cs="宋体"/>
                <w:color w:val="auto"/>
                <w:sz w:val="24"/>
                <w:highlight w:val="none"/>
              </w:rPr>
              <w:t>19609900371</w:t>
            </w:r>
            <w:r>
              <w:rPr>
                <w:rFonts w:hint="eastAsia" w:hAnsi="宋体" w:cs="宋体"/>
                <w:color w:val="auto"/>
                <w:sz w:val="24"/>
                <w:szCs w:val="24"/>
                <w:highlight w:val="none"/>
              </w:rPr>
              <w:t xml:space="preserve"> </w:t>
            </w:r>
          </w:p>
        </w:tc>
      </w:tr>
      <w:tr w14:paraId="79E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758" w:type="dxa"/>
            <w:tcBorders>
              <w:top w:val="single" w:color="auto" w:sz="4" w:space="0"/>
              <w:left w:val="single" w:color="auto" w:sz="4" w:space="0"/>
              <w:bottom w:val="single" w:color="auto" w:sz="4" w:space="0"/>
              <w:right w:val="single" w:color="auto" w:sz="4" w:space="0"/>
            </w:tcBorders>
            <w:vAlign w:val="center"/>
          </w:tcPr>
          <w:p w14:paraId="0F8B5DBA">
            <w:pPr>
              <w:pStyle w:val="35"/>
              <w:widowControl w:val="0"/>
              <w:wordWrap/>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82" w:type="dxa"/>
            <w:tcBorders>
              <w:top w:val="single" w:color="auto" w:sz="4" w:space="0"/>
              <w:left w:val="single" w:color="auto" w:sz="4" w:space="0"/>
              <w:bottom w:val="single" w:color="auto" w:sz="4" w:space="0"/>
              <w:right w:val="single" w:color="auto" w:sz="4" w:space="0"/>
            </w:tcBorders>
            <w:vAlign w:val="center"/>
          </w:tcPr>
          <w:p w14:paraId="4AF821A1">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采购代理机构：新疆天麒工程项目管理咨询有限责任公司</w:t>
            </w:r>
          </w:p>
          <w:p w14:paraId="3D0CCFD0">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地址：克拉玛依市通讯路44号     邮政编码：834000</w:t>
            </w:r>
          </w:p>
          <w:p w14:paraId="439B56A2">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姚磊  </w:t>
            </w:r>
            <w:r>
              <w:rPr>
                <w:rFonts w:hint="eastAsia" w:hAnsi="宋体" w:cs="宋体"/>
                <w:color w:val="auto"/>
                <w:sz w:val="24"/>
                <w:szCs w:val="24"/>
                <w:highlight w:val="none"/>
                <w:lang w:val="en-US" w:eastAsia="zh-CN"/>
              </w:rPr>
              <w:t>于秀</w:t>
            </w:r>
            <w:r>
              <w:rPr>
                <w:rFonts w:hint="eastAsia" w:ascii="宋体" w:hAnsi="宋体" w:eastAsia="宋体" w:cs="宋体"/>
                <w:color w:val="auto"/>
                <w:sz w:val="24"/>
                <w:szCs w:val="24"/>
                <w:highlight w:val="none"/>
              </w:rPr>
              <w:t xml:space="preserve">            联系电话：0990-</w:t>
            </w:r>
            <w:r>
              <w:rPr>
                <w:rFonts w:hint="eastAsia" w:ascii="宋体" w:hAnsi="宋体" w:eastAsia="宋体" w:cs="宋体"/>
                <w:color w:val="auto"/>
                <w:sz w:val="24"/>
                <w:szCs w:val="24"/>
                <w:highlight w:val="none"/>
                <w:lang w:val="en-US" w:eastAsia="zh-CN"/>
              </w:rPr>
              <w:t>6230002</w:t>
            </w:r>
          </w:p>
        </w:tc>
      </w:tr>
      <w:tr w14:paraId="540E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758" w:type="dxa"/>
            <w:tcBorders>
              <w:top w:val="single" w:color="auto" w:sz="4" w:space="0"/>
              <w:left w:val="single" w:color="auto" w:sz="4" w:space="0"/>
              <w:bottom w:val="single" w:color="auto" w:sz="4" w:space="0"/>
              <w:right w:val="single" w:color="auto" w:sz="4" w:space="0"/>
            </w:tcBorders>
            <w:vAlign w:val="center"/>
          </w:tcPr>
          <w:p w14:paraId="34C71071">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382" w:type="dxa"/>
            <w:tcBorders>
              <w:top w:val="single" w:color="auto" w:sz="4" w:space="0"/>
              <w:left w:val="single" w:color="auto" w:sz="4" w:space="0"/>
              <w:bottom w:val="single" w:color="auto" w:sz="4" w:space="0"/>
              <w:right w:val="single" w:color="auto" w:sz="4" w:space="0"/>
            </w:tcBorders>
            <w:vAlign w:val="center"/>
          </w:tcPr>
          <w:p w14:paraId="7A7F0EF7">
            <w:pPr>
              <w:widowControl w:val="0"/>
              <w:wordWrap/>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磋商有效期：递交响应文件截止日起90天（日历日）</w:t>
            </w:r>
          </w:p>
        </w:tc>
      </w:tr>
      <w:tr w14:paraId="7BE8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58" w:type="dxa"/>
            <w:tcBorders>
              <w:top w:val="single" w:color="auto" w:sz="4" w:space="0"/>
              <w:left w:val="single" w:color="auto" w:sz="4" w:space="0"/>
              <w:bottom w:val="single" w:color="auto" w:sz="4" w:space="0"/>
              <w:right w:val="single" w:color="auto" w:sz="4" w:space="0"/>
            </w:tcBorders>
            <w:vAlign w:val="center"/>
          </w:tcPr>
          <w:p w14:paraId="3380054E">
            <w:pPr>
              <w:pStyle w:val="33"/>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w:t>
            </w:r>
          </w:p>
        </w:tc>
        <w:tc>
          <w:tcPr>
            <w:tcW w:w="9382" w:type="dxa"/>
            <w:tcBorders>
              <w:top w:val="single" w:color="auto" w:sz="4" w:space="0"/>
              <w:left w:val="single" w:color="auto" w:sz="4" w:space="0"/>
              <w:bottom w:val="single" w:color="auto" w:sz="4" w:space="0"/>
              <w:right w:val="single" w:color="auto" w:sz="4" w:space="0"/>
            </w:tcBorders>
            <w:vAlign w:val="center"/>
          </w:tcPr>
          <w:p w14:paraId="29C9FAB2">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highlight w:val="none"/>
              </w:rPr>
              <w:t>响应文件的份数：</w:t>
            </w:r>
            <w:r>
              <w:rPr>
                <w:rFonts w:hint="eastAsia" w:ascii="宋体" w:hAnsi="宋体" w:eastAsia="宋体" w:cs="宋体"/>
                <w:b/>
                <w:color w:val="auto"/>
                <w:w w:val="100"/>
                <w:sz w:val="24"/>
                <w:highlight w:val="none"/>
                <w:lang w:eastAsia="zh-CN"/>
              </w:rPr>
              <w:t>一式肆份</w:t>
            </w:r>
            <w:r>
              <w:rPr>
                <w:rFonts w:hint="eastAsia" w:ascii="宋体" w:hAnsi="宋体" w:eastAsia="宋体" w:cs="宋体"/>
                <w:b/>
                <w:color w:val="auto"/>
                <w:w w:val="100"/>
                <w:sz w:val="24"/>
                <w:highlight w:val="none"/>
              </w:rPr>
              <w:t>，其中正本</w:t>
            </w:r>
            <w:r>
              <w:rPr>
                <w:rFonts w:hint="eastAsia" w:ascii="宋体" w:hAnsi="宋体" w:eastAsia="宋体" w:cs="宋体"/>
                <w:b/>
                <w:color w:val="auto"/>
                <w:w w:val="100"/>
                <w:sz w:val="24"/>
                <w:highlight w:val="none"/>
                <w:u w:val="single"/>
              </w:rPr>
              <w:t>壹</w:t>
            </w:r>
            <w:r>
              <w:rPr>
                <w:rFonts w:hint="eastAsia" w:ascii="宋体" w:hAnsi="宋体" w:eastAsia="宋体" w:cs="宋体"/>
                <w:b/>
                <w:color w:val="auto"/>
                <w:w w:val="100"/>
                <w:sz w:val="24"/>
                <w:highlight w:val="none"/>
              </w:rPr>
              <w:t>份，副本</w:t>
            </w:r>
            <w:r>
              <w:rPr>
                <w:rFonts w:hint="eastAsia" w:ascii="宋体" w:hAnsi="宋体" w:eastAsia="宋体" w:cs="宋体"/>
                <w:b/>
                <w:color w:val="auto"/>
                <w:w w:val="100"/>
                <w:sz w:val="24"/>
                <w:highlight w:val="none"/>
                <w:u w:val="single"/>
              </w:rPr>
              <w:t>叁</w:t>
            </w:r>
            <w:r>
              <w:rPr>
                <w:rFonts w:hint="eastAsia" w:ascii="宋体" w:hAnsi="宋体" w:eastAsia="宋体" w:cs="宋体"/>
                <w:b/>
                <w:color w:val="auto"/>
                <w:w w:val="100"/>
                <w:sz w:val="24"/>
                <w:highlight w:val="none"/>
              </w:rPr>
              <w:t>份</w:t>
            </w:r>
            <w:r>
              <w:rPr>
                <w:rFonts w:hint="eastAsia" w:hAnsi="宋体" w:cs="宋体"/>
                <w:b/>
                <w:color w:val="auto"/>
                <w:w w:val="100"/>
                <w:sz w:val="24"/>
                <w:highlight w:val="none"/>
                <w:lang w:eastAsia="zh-CN"/>
              </w:rPr>
              <w:t>，</w:t>
            </w:r>
            <w:r>
              <w:rPr>
                <w:rFonts w:hint="eastAsia" w:hAnsi="宋体" w:cs="宋体"/>
                <w:b/>
                <w:color w:val="auto"/>
                <w:w w:val="100"/>
                <w:sz w:val="24"/>
                <w:highlight w:val="none"/>
                <w:lang w:val="en-US" w:eastAsia="zh-CN"/>
              </w:rPr>
              <w:t>电子版壹份</w:t>
            </w:r>
            <w:r>
              <w:rPr>
                <w:rFonts w:hint="eastAsia" w:ascii="宋体" w:hAnsi="宋体" w:eastAsia="宋体" w:cs="宋体"/>
                <w:b/>
                <w:color w:val="auto"/>
                <w:w w:val="100"/>
                <w:sz w:val="24"/>
                <w:highlight w:val="none"/>
              </w:rPr>
              <w:t>。</w:t>
            </w:r>
          </w:p>
        </w:tc>
      </w:tr>
      <w:tr w14:paraId="2AE3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58" w:type="dxa"/>
            <w:tcBorders>
              <w:top w:val="single" w:color="auto" w:sz="4" w:space="0"/>
              <w:left w:val="single" w:color="auto" w:sz="4" w:space="0"/>
              <w:bottom w:val="single" w:color="auto" w:sz="4" w:space="0"/>
              <w:right w:val="single" w:color="auto" w:sz="4" w:space="0"/>
            </w:tcBorders>
            <w:vAlign w:val="center"/>
          </w:tcPr>
          <w:p w14:paraId="02C90362">
            <w:pPr>
              <w:widowControl w:val="0"/>
              <w:wordWrap/>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9382" w:type="dxa"/>
            <w:tcBorders>
              <w:top w:val="single" w:color="auto" w:sz="4" w:space="0"/>
              <w:left w:val="single" w:color="auto" w:sz="4" w:space="0"/>
              <w:bottom w:val="single" w:color="auto" w:sz="4" w:space="0"/>
              <w:right w:val="single" w:color="auto" w:sz="4" w:space="0"/>
            </w:tcBorders>
            <w:vAlign w:val="center"/>
          </w:tcPr>
          <w:p w14:paraId="56D41266">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  </w:t>
            </w:r>
          </w:p>
          <w:p w14:paraId="11757C8A">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递交响应文件时间：</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 ～1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  </w:t>
            </w:r>
          </w:p>
          <w:p w14:paraId="469831BC">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highlight w:val="none"/>
              </w:rPr>
              <w:t>递交响应文件地点：新疆天麒工程项目管理咨询有限责任公司一楼</w:t>
            </w:r>
            <w:r>
              <w:rPr>
                <w:rFonts w:hint="eastAsia" w:ascii="宋体" w:hAnsi="宋体" w:eastAsia="宋体" w:cs="宋体"/>
                <w:color w:val="auto"/>
                <w:w w:val="100"/>
                <w:sz w:val="24"/>
                <w:highlight w:val="none"/>
                <w:lang w:val="en-US" w:eastAsia="zh-CN"/>
              </w:rPr>
              <w:t>开标</w:t>
            </w:r>
            <w:r>
              <w:rPr>
                <w:rFonts w:hint="eastAsia" w:ascii="宋体" w:hAnsi="宋体" w:eastAsia="宋体" w:cs="宋体"/>
                <w:color w:val="auto"/>
                <w:w w:val="100"/>
                <w:sz w:val="24"/>
                <w:highlight w:val="none"/>
              </w:rPr>
              <w:t>室（克拉玛依市通讯路44号）</w:t>
            </w:r>
          </w:p>
        </w:tc>
      </w:tr>
      <w:tr w14:paraId="1A1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rPr>
        <w:tc>
          <w:tcPr>
            <w:tcW w:w="758" w:type="dxa"/>
            <w:tcBorders>
              <w:top w:val="single" w:color="auto" w:sz="4" w:space="0"/>
              <w:left w:val="single" w:color="auto" w:sz="4" w:space="0"/>
              <w:bottom w:val="single" w:color="auto" w:sz="4" w:space="0"/>
              <w:right w:val="single" w:color="auto" w:sz="4" w:space="0"/>
            </w:tcBorders>
            <w:vAlign w:val="center"/>
          </w:tcPr>
          <w:p w14:paraId="1D112037">
            <w:pPr>
              <w:widowControl w:val="0"/>
              <w:wordWrap/>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9382" w:type="dxa"/>
            <w:tcBorders>
              <w:top w:val="single" w:color="auto" w:sz="4" w:space="0"/>
              <w:left w:val="single" w:color="auto" w:sz="4" w:space="0"/>
              <w:bottom w:val="single" w:color="auto" w:sz="4" w:space="0"/>
              <w:right w:val="single" w:color="auto" w:sz="4" w:space="0"/>
            </w:tcBorders>
            <w:vAlign w:val="center"/>
          </w:tcPr>
          <w:p w14:paraId="0B83E8A2">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   </w:t>
            </w:r>
          </w:p>
          <w:p w14:paraId="1A9A6271">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rPr>
              <w:t>磋商</w:t>
            </w:r>
            <w:r>
              <w:rPr>
                <w:rFonts w:hint="eastAsia" w:ascii="宋体" w:hAnsi="宋体" w:eastAsia="宋体" w:cs="宋体"/>
                <w:color w:val="auto"/>
                <w:w w:val="100"/>
                <w:sz w:val="24"/>
                <w:highlight w:val="none"/>
              </w:rPr>
              <w:t xml:space="preserve">地点：新疆天麒工程项目管理咨询有限责任公司一楼评标室（克拉玛依市通讯路44号） </w:t>
            </w:r>
          </w:p>
        </w:tc>
      </w:tr>
      <w:tr w14:paraId="1272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758" w:type="dxa"/>
            <w:tcBorders>
              <w:top w:val="single" w:color="auto" w:sz="4" w:space="0"/>
              <w:left w:val="single" w:color="auto" w:sz="4" w:space="0"/>
              <w:bottom w:val="single" w:color="auto" w:sz="4" w:space="0"/>
              <w:right w:val="single" w:color="auto" w:sz="4" w:space="0"/>
            </w:tcBorders>
            <w:vAlign w:val="center"/>
          </w:tcPr>
          <w:p w14:paraId="08A330A0">
            <w:pPr>
              <w:pStyle w:val="33"/>
              <w:widowControl w:val="0"/>
              <w:wordWrap/>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p>
        </w:tc>
        <w:tc>
          <w:tcPr>
            <w:tcW w:w="9382" w:type="dxa"/>
            <w:tcBorders>
              <w:top w:val="single" w:color="auto" w:sz="4" w:space="0"/>
              <w:left w:val="single" w:color="auto" w:sz="4" w:space="0"/>
              <w:bottom w:val="single" w:color="auto" w:sz="4" w:space="0"/>
              <w:right w:val="single" w:color="auto" w:sz="4" w:space="0"/>
            </w:tcBorders>
            <w:vAlign w:val="center"/>
          </w:tcPr>
          <w:p w14:paraId="33FBB68C">
            <w:pPr>
              <w:pStyle w:val="33"/>
              <w:widowControl w:val="0"/>
              <w:wordWrap/>
              <w:adjustRightInd/>
              <w:snapToGrid/>
              <w:spacing w:line="360" w:lineRule="auto"/>
              <w:textAlignment w:val="auto"/>
              <w:rPr>
                <w:rFonts w:hint="eastAsia" w:ascii="宋体" w:hAnsi="宋体" w:eastAsia="宋体" w:cs="宋体"/>
                <w:b/>
                <w:bCs/>
                <w:color w:val="auto"/>
                <w:sz w:val="24"/>
                <w:szCs w:val="24"/>
                <w:highlight w:val="none"/>
              </w:rPr>
            </w:pPr>
            <w:r>
              <w:rPr>
                <w:rFonts w:hint="eastAsia" w:hAnsi="宋体" w:cs="宋体"/>
                <w:b/>
                <w:color w:val="auto"/>
                <w:sz w:val="24"/>
                <w:szCs w:val="24"/>
                <w:highlight w:val="none"/>
                <w:lang w:eastAsia="zh-CN"/>
              </w:rPr>
              <w:t>本项目设定最高限价</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val="en-US" w:eastAsia="zh-CN"/>
              </w:rPr>
              <w:t>70</w:t>
            </w:r>
            <w:r>
              <w:rPr>
                <w:rFonts w:hint="eastAsia" w:ascii="宋体" w:hAnsi="宋体" w:eastAsia="宋体" w:cs="宋体"/>
                <w:b/>
                <w:color w:val="auto"/>
                <w:sz w:val="24"/>
                <w:szCs w:val="24"/>
                <w:highlight w:val="none"/>
              </w:rPr>
              <w:t>万元</w:t>
            </w:r>
            <w:r>
              <w:rPr>
                <w:rFonts w:hint="eastAsia" w:hAnsi="宋体" w:cs="宋体"/>
                <w:b/>
                <w:color w:val="auto"/>
                <w:sz w:val="24"/>
                <w:szCs w:val="24"/>
                <w:highlight w:val="none"/>
                <w:lang w:val="en-US" w:eastAsia="zh-CN"/>
              </w:rPr>
              <w:t>/年</w:t>
            </w:r>
            <w:r>
              <w:rPr>
                <w:rFonts w:hint="eastAsia" w:ascii="宋体" w:hAnsi="宋体" w:eastAsia="宋体" w:cs="宋体"/>
                <w:b/>
                <w:color w:val="auto"/>
                <w:sz w:val="24"/>
                <w:szCs w:val="24"/>
                <w:highlight w:val="none"/>
              </w:rPr>
              <w:t>，供应商的商务报价如超过</w:t>
            </w:r>
            <w:r>
              <w:rPr>
                <w:rFonts w:hint="eastAsia" w:hAnsi="宋体" w:cs="宋体"/>
                <w:b/>
                <w:color w:val="auto"/>
                <w:sz w:val="24"/>
                <w:szCs w:val="24"/>
                <w:highlight w:val="none"/>
                <w:lang w:eastAsia="zh-CN"/>
              </w:rPr>
              <w:t>最高限价</w:t>
            </w:r>
            <w:r>
              <w:rPr>
                <w:rFonts w:hint="eastAsia" w:ascii="宋体" w:hAnsi="宋体" w:eastAsia="宋体" w:cs="宋体"/>
                <w:b/>
                <w:color w:val="auto"/>
                <w:sz w:val="24"/>
                <w:szCs w:val="24"/>
                <w:highlight w:val="none"/>
              </w:rPr>
              <w:t>，则该供应商的响应文件作无效响应处理。</w:t>
            </w:r>
          </w:p>
        </w:tc>
      </w:tr>
      <w:tr w14:paraId="6827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758" w:type="dxa"/>
            <w:tcBorders>
              <w:top w:val="single" w:color="auto" w:sz="4" w:space="0"/>
              <w:left w:val="single" w:color="auto" w:sz="4" w:space="0"/>
              <w:bottom w:val="single" w:color="auto" w:sz="4" w:space="0"/>
              <w:right w:val="single" w:color="auto" w:sz="4" w:space="0"/>
            </w:tcBorders>
            <w:vAlign w:val="center"/>
          </w:tcPr>
          <w:p w14:paraId="2A6C9169">
            <w:pPr>
              <w:pStyle w:val="33"/>
              <w:spacing w:line="460" w:lineRule="exact"/>
              <w:jc w:val="center"/>
              <w:rPr>
                <w:rFonts w:hint="eastAsia" w:hAnsi="宋体" w:cs="宋体"/>
                <w:color w:val="auto"/>
                <w:sz w:val="24"/>
                <w:szCs w:val="24"/>
                <w:highlight w:val="none"/>
                <w:lang w:val="en-US" w:eastAsia="zh-CN"/>
              </w:rPr>
            </w:pPr>
            <w:r>
              <w:rPr>
                <w:rFonts w:hint="eastAsia" w:hAnsi="宋体" w:cs="宋体"/>
                <w:b w:val="0"/>
                <w:bCs w:val="0"/>
                <w:color w:val="auto"/>
                <w:kern w:val="2"/>
                <w:sz w:val="24"/>
                <w:szCs w:val="24"/>
                <w:highlight w:val="none"/>
                <w:lang w:val="en-US" w:eastAsia="zh-CN"/>
              </w:rPr>
              <w:t>9</w:t>
            </w:r>
          </w:p>
        </w:tc>
        <w:tc>
          <w:tcPr>
            <w:tcW w:w="9382" w:type="dxa"/>
            <w:tcBorders>
              <w:top w:val="single" w:color="auto" w:sz="4" w:space="0"/>
              <w:left w:val="single" w:color="auto" w:sz="4" w:space="0"/>
              <w:bottom w:val="single" w:color="auto" w:sz="4" w:space="0"/>
              <w:right w:val="single" w:color="auto" w:sz="4" w:space="0"/>
            </w:tcBorders>
            <w:vAlign w:val="center"/>
          </w:tcPr>
          <w:p w14:paraId="41C70082">
            <w:pPr>
              <w:keepNext w:val="0"/>
              <w:keepLines w:val="0"/>
              <w:pageBreakBefore w:val="0"/>
              <w:kinsoku/>
              <w:wordWrap/>
              <w:overflowPunct/>
              <w:topLinePunct w:val="0"/>
              <w:autoSpaceDE/>
              <w:autoSpaceDN/>
              <w:bidi w:val="0"/>
              <w:spacing w:line="360" w:lineRule="auto"/>
              <w:ind w:right="0" w:rightChars="0"/>
              <w:rPr>
                <w:rFonts w:hint="eastAsia" w:hAnsi="宋体" w:cs="宋体"/>
                <w:b/>
                <w:color w:val="auto"/>
                <w:sz w:val="24"/>
                <w:szCs w:val="24"/>
                <w:highlight w:val="none"/>
                <w:lang w:eastAsia="zh-CN"/>
              </w:rPr>
            </w:pPr>
            <w:r>
              <w:rPr>
                <w:rFonts w:hint="eastAsia" w:ascii="宋体" w:hAnsi="宋体" w:eastAsia="宋体" w:cs="宋体"/>
                <w:b w:val="0"/>
                <w:bCs w:val="0"/>
                <w:color w:val="auto"/>
                <w:sz w:val="24"/>
                <w:highlight w:val="none"/>
              </w:rPr>
              <w:t>采购代理服务费</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由成交供应商向采购代理机构支付本项目采购代理服务费</w:t>
            </w:r>
            <w:r>
              <w:rPr>
                <w:rFonts w:hint="eastAsia" w:ascii="宋体" w:hAnsi="宋体" w:eastAsia="宋体" w:cs="宋体"/>
                <w:b w:val="0"/>
                <w:bCs w:val="0"/>
                <w:color w:val="auto"/>
                <w:sz w:val="24"/>
                <w:highlight w:val="none"/>
                <w:lang w:val="en-US" w:eastAsia="zh-CN"/>
              </w:rPr>
              <w:t>后</w:t>
            </w:r>
            <w:r>
              <w:rPr>
                <w:rFonts w:hint="eastAsia" w:ascii="宋体" w:hAnsi="宋体" w:eastAsia="宋体" w:cs="宋体"/>
                <w:b w:val="0"/>
                <w:bCs w:val="0"/>
                <w:color w:val="auto"/>
                <w:sz w:val="24"/>
                <w:highlight w:val="none"/>
              </w:rPr>
              <w:t>领取成交通知书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采购代理服务费为</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0.35</w:t>
            </w:r>
            <w:r>
              <w:rPr>
                <w:rFonts w:hint="eastAsia" w:ascii="宋体" w:hAnsi="宋体" w:eastAsia="宋体" w:cs="宋体"/>
                <w:b w:val="0"/>
                <w:bCs w:val="0"/>
                <w:color w:val="auto"/>
                <w:sz w:val="24"/>
                <w:highlight w:val="none"/>
                <w:lang w:val="en-US" w:eastAsia="zh-CN"/>
              </w:rPr>
              <w:t>万元（大写：人民币</w:t>
            </w:r>
            <w:r>
              <w:rPr>
                <w:rFonts w:hint="eastAsia" w:ascii="宋体" w:hAnsi="宋体" w:cs="宋体"/>
                <w:b w:val="0"/>
                <w:bCs w:val="0"/>
                <w:color w:val="auto"/>
                <w:sz w:val="24"/>
                <w:highlight w:val="none"/>
                <w:lang w:val="en-US" w:eastAsia="zh-CN"/>
              </w:rPr>
              <w:t>叁仟伍佰</w:t>
            </w:r>
            <w:r>
              <w:rPr>
                <w:rFonts w:hint="eastAsia" w:ascii="宋体" w:hAnsi="宋体" w:eastAsia="宋体" w:cs="宋体"/>
                <w:b w:val="0"/>
                <w:bCs w:val="0"/>
                <w:color w:val="auto"/>
                <w:sz w:val="24"/>
                <w:highlight w:val="none"/>
                <w:lang w:val="en-US" w:eastAsia="zh-CN"/>
              </w:rPr>
              <w:t>元整） 。</w:t>
            </w:r>
          </w:p>
        </w:tc>
      </w:tr>
    </w:tbl>
    <w:p w14:paraId="28DBE289">
      <w:pPr>
        <w:widowControl w:val="0"/>
        <w:wordWrap/>
        <w:adjustRightInd/>
        <w:snapToGrid/>
        <w:spacing w:line="360" w:lineRule="auto"/>
        <w:jc w:val="center"/>
        <w:textAlignment w:val="auto"/>
        <w:rPr>
          <w:rFonts w:hint="eastAsia" w:ascii="宋体" w:hAnsi="宋体" w:eastAsia="宋体" w:cs="宋体"/>
          <w:b/>
          <w:bCs/>
          <w:color w:val="auto"/>
          <w:sz w:val="24"/>
          <w:szCs w:val="24"/>
          <w:highlight w:val="none"/>
        </w:rPr>
      </w:pPr>
    </w:p>
    <w:p w14:paraId="1DA8B691">
      <w:pPr>
        <w:widowControl w:val="0"/>
        <w:wordWrap/>
        <w:adjustRightInd/>
        <w:snapToGrid/>
        <w:spacing w:line="360" w:lineRule="auto"/>
        <w:jc w:val="center"/>
        <w:textAlignment w:val="auto"/>
        <w:rPr>
          <w:rFonts w:hint="eastAsia" w:ascii="宋体" w:hAnsi="宋体" w:eastAsia="宋体" w:cs="宋体"/>
          <w:b/>
          <w:bCs/>
          <w:color w:val="auto"/>
          <w:sz w:val="24"/>
          <w:szCs w:val="24"/>
          <w:highlight w:val="none"/>
        </w:rPr>
      </w:pPr>
    </w:p>
    <w:p w14:paraId="57C8A440">
      <w:pPr>
        <w:rPr>
          <w:rFonts w:hint="eastAsia" w:ascii="宋体" w:hAnsi="宋体" w:eastAsia="宋体" w:cs="宋体"/>
          <w:b/>
          <w:bCs/>
          <w:color w:val="auto"/>
          <w:sz w:val="24"/>
          <w:szCs w:val="24"/>
          <w:highlight w:val="none"/>
        </w:rPr>
      </w:pPr>
    </w:p>
    <w:p w14:paraId="362526D6">
      <w:pPr>
        <w:wordWrap/>
        <w:spacing w:line="360" w:lineRule="auto"/>
        <w:jc w:val="center"/>
        <w:rPr>
          <w:rFonts w:hint="eastAsia" w:ascii="宋体" w:hAnsi="宋体" w:eastAsia="宋体" w:cs="宋体"/>
          <w:b/>
          <w:bCs/>
          <w:color w:val="auto"/>
          <w:sz w:val="28"/>
          <w:szCs w:val="28"/>
          <w:highlight w:val="none"/>
        </w:rPr>
      </w:pPr>
    </w:p>
    <w:p w14:paraId="08746ED8">
      <w:pPr>
        <w:wordWrap/>
        <w:spacing w:line="360" w:lineRule="auto"/>
        <w:jc w:val="center"/>
        <w:rPr>
          <w:rFonts w:hint="eastAsia" w:ascii="宋体" w:hAnsi="宋体" w:eastAsia="宋体" w:cs="宋体"/>
          <w:b/>
          <w:bCs/>
          <w:color w:val="auto"/>
          <w:sz w:val="28"/>
          <w:szCs w:val="28"/>
          <w:highlight w:val="none"/>
        </w:rPr>
      </w:pPr>
    </w:p>
    <w:p w14:paraId="7C7EB3AA">
      <w:pPr>
        <w:wordWrap/>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w:t>
      </w:r>
      <w:bookmarkEnd w:id="1"/>
      <w:bookmarkStart w:id="12" w:name="_Toc154996576"/>
      <w:r>
        <w:rPr>
          <w:rFonts w:hint="eastAsia" w:ascii="宋体" w:hAnsi="宋体" w:eastAsia="宋体" w:cs="宋体"/>
          <w:b/>
          <w:bCs/>
          <w:color w:val="auto"/>
          <w:sz w:val="28"/>
          <w:szCs w:val="28"/>
          <w:highlight w:val="none"/>
        </w:rPr>
        <w:t>说明</w:t>
      </w:r>
    </w:p>
    <w:p w14:paraId="4CA7BC15">
      <w:pPr>
        <w:pStyle w:val="33"/>
        <w:wordWrap/>
        <w:spacing w:line="360" w:lineRule="auto"/>
        <w:ind w:firstLine="480" w:firstLineChars="200"/>
        <w:outlineLvl w:val="1"/>
        <w:rPr>
          <w:rFonts w:hint="eastAsia" w:ascii="宋体" w:hAnsi="宋体" w:eastAsia="宋体" w:cs="宋体"/>
          <w:color w:val="auto"/>
          <w:sz w:val="24"/>
          <w:highlight w:val="none"/>
        </w:rPr>
      </w:pPr>
      <w:bookmarkStart w:id="13" w:name="_Toc233274811"/>
      <w:bookmarkStart w:id="14" w:name="_Toc243907571"/>
      <w:bookmarkStart w:id="15" w:name="_Toc246216180"/>
      <w:bookmarkStart w:id="16" w:name="_Toc243906311"/>
    </w:p>
    <w:p w14:paraId="26702737">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1、适用范围</w:t>
      </w:r>
      <w:bookmarkEnd w:id="13"/>
      <w:bookmarkEnd w:id="14"/>
      <w:bookmarkEnd w:id="15"/>
      <w:bookmarkEnd w:id="16"/>
      <w:r>
        <w:rPr>
          <w:rFonts w:hint="eastAsia" w:ascii="宋体" w:hAnsi="宋体" w:eastAsia="宋体" w:cs="宋体"/>
          <w:color w:val="auto"/>
          <w:sz w:val="24"/>
          <w:highlight w:val="none"/>
        </w:rPr>
        <w:t>及磋商依据</w:t>
      </w:r>
    </w:p>
    <w:p w14:paraId="1DB1810D">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14:paraId="3CBEA79C">
      <w:pPr>
        <w:pStyle w:val="53"/>
        <w:wordWrap/>
        <w:spacing w:before="0" w:beforeAutospacing="0" w:after="0" w:afterAutospacing="0" w:line="360" w:lineRule="auto"/>
        <w:ind w:left="0" w:firstLine="48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本采购文件仅针对于</w:t>
      </w:r>
      <w:r>
        <w:rPr>
          <w:rFonts w:hint="eastAsia" w:cs="宋体"/>
          <w:color w:val="auto"/>
          <w:highlight w:val="none"/>
          <w:lang w:eastAsia="zh-CN"/>
        </w:rPr>
        <w:t>国家税务总局克拉玛依市克拉玛依区税务局物业管理服务</w:t>
      </w:r>
      <w:r>
        <w:rPr>
          <w:rFonts w:hint="eastAsia" w:ascii="宋体" w:hAnsi="宋体" w:eastAsia="宋体" w:cs="宋体"/>
          <w:color w:val="auto"/>
          <w:highlight w:val="none"/>
        </w:rPr>
        <w:t>。</w:t>
      </w:r>
    </w:p>
    <w:p w14:paraId="0281DF64">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14:paraId="20CDCBF8">
      <w:pPr>
        <w:widowControl/>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根据《中华人民共和国政府采购法》、《中华人民共和国政府采购法实施条例》、《财政部关于印发〈政府采购竞争性磋商采购方式管理暂行办法〉的通知》（财库〔2014〕214号）及有关法律、法规。</w:t>
      </w:r>
    </w:p>
    <w:p w14:paraId="59C445F6">
      <w:pPr>
        <w:pStyle w:val="33"/>
        <w:wordWrap/>
        <w:spacing w:line="360" w:lineRule="auto"/>
        <w:ind w:left="0" w:firstLine="480" w:firstLineChars="200"/>
        <w:jc w:val="left"/>
        <w:outlineLvl w:val="9"/>
        <w:rPr>
          <w:rFonts w:hint="eastAsia" w:ascii="宋体" w:hAnsi="宋体" w:eastAsia="宋体" w:cs="宋体"/>
          <w:color w:val="auto"/>
          <w:sz w:val="24"/>
          <w:highlight w:val="none"/>
        </w:rPr>
      </w:pPr>
      <w:bookmarkStart w:id="17" w:name="_Toc233274812"/>
      <w:bookmarkStart w:id="18" w:name="_Toc243906312"/>
      <w:bookmarkStart w:id="19" w:name="_Toc243907572"/>
      <w:bookmarkStart w:id="20" w:name="_Toc246216181"/>
      <w:r>
        <w:rPr>
          <w:rFonts w:hint="eastAsia" w:ascii="宋体" w:hAnsi="宋体" w:eastAsia="宋体" w:cs="宋体"/>
          <w:color w:val="auto"/>
          <w:sz w:val="24"/>
          <w:highlight w:val="none"/>
        </w:rPr>
        <w:t>2、定义</w:t>
      </w:r>
      <w:bookmarkEnd w:id="17"/>
      <w:bookmarkEnd w:id="18"/>
      <w:bookmarkEnd w:id="19"/>
      <w:bookmarkEnd w:id="20"/>
    </w:p>
    <w:p w14:paraId="76B8616F">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hAnsi="宋体" w:cs="宋体"/>
          <w:color w:val="auto"/>
          <w:sz w:val="24"/>
          <w:szCs w:val="24"/>
          <w:highlight w:val="none"/>
          <w:lang w:eastAsia="zh-CN"/>
        </w:rPr>
        <w:t>国家税务总局克拉玛依市克拉玛依区税务局</w:t>
      </w:r>
      <w:r>
        <w:rPr>
          <w:rFonts w:hint="eastAsia" w:ascii="宋体" w:hAnsi="宋体" w:eastAsia="宋体" w:cs="宋体"/>
          <w:color w:val="auto"/>
          <w:sz w:val="24"/>
          <w:highlight w:val="none"/>
        </w:rPr>
        <w:t>，在签订和执行合同阶段称“甲方”。</w:t>
      </w:r>
    </w:p>
    <w:p w14:paraId="29502CD5">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highlight w:val="none"/>
        </w:rPr>
        <w:t>系指新疆天麒工程项目管理咨询有限责任公司。</w:t>
      </w:r>
    </w:p>
    <w:p w14:paraId="06ABE757">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 “供应商”系指具备资格并按采购文件要求提交响应文件的法人，供应商若成交，在签订和执行合同阶段称“乙方”。</w:t>
      </w:r>
    </w:p>
    <w:p w14:paraId="1141CF74">
      <w:pPr>
        <w:pStyle w:val="33"/>
        <w:wordWrap/>
        <w:spacing w:line="360" w:lineRule="auto"/>
        <w:ind w:left="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2.4 “采购文件”系指由采购人向供应商发出的本</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项目的全部文件（包括项目采购需求、修改文件、补充</w:t>
      </w:r>
      <w:r>
        <w:rPr>
          <w:rFonts w:hint="eastAsia" w:ascii="宋体" w:hAnsi="宋体" w:eastAsia="宋体" w:cs="宋体"/>
          <w:color w:val="auto"/>
          <w:sz w:val="24"/>
          <w:szCs w:val="24"/>
          <w:highlight w:val="none"/>
        </w:rPr>
        <w:t>文件、答疑纪要、各种通知和附件等）。</w:t>
      </w:r>
    </w:p>
    <w:p w14:paraId="1B24DCF3">
      <w:pPr>
        <w:pStyle w:val="33"/>
        <w:wordWrap/>
        <w:spacing w:line="360" w:lineRule="auto"/>
        <w:ind w:left="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“响应文件”系指供应商根据采购文件提交的所有文件。</w:t>
      </w:r>
    </w:p>
    <w:p w14:paraId="564AF5FD">
      <w:pPr>
        <w:keepNext w:val="0"/>
        <w:keepLines w:val="0"/>
        <w:pageBreakBefore w:val="0"/>
        <w:kinsoku/>
        <w:wordWrap/>
        <w:overflowPunct/>
        <w:topLinePunct w:val="0"/>
        <w:autoSpaceDE/>
        <w:autoSpaceDN/>
        <w:bidi w:val="0"/>
        <w:adjustRightInd/>
        <w:spacing w:line="460" w:lineRule="exact"/>
        <w:ind w:firstLine="480" w:firstLineChars="20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“服务”系指技术规范及标准、项目采购需求及合同主要条款、本采购文件规定，成交供应商</w:t>
      </w:r>
      <w:r>
        <w:rPr>
          <w:rFonts w:hint="eastAsia" w:ascii="宋体" w:hAnsi="宋体" w:cs="宋体"/>
          <w:b/>
          <w:bCs/>
          <w:color w:val="auto"/>
          <w:sz w:val="24"/>
          <w:highlight w:val="none"/>
          <w:lang w:val="en-US" w:eastAsia="zh-CN"/>
        </w:rPr>
        <w:t>在服务期限内完成国家税务总局克拉玛依市克拉玛依区税</w:t>
      </w:r>
      <w:r>
        <w:rPr>
          <w:rFonts w:hint="eastAsia" w:ascii="宋体" w:hAnsi="宋体" w:eastAsia="宋体" w:cs="宋体"/>
          <w:b/>
          <w:bCs/>
          <w:color w:val="auto"/>
          <w:sz w:val="24"/>
          <w:highlight w:val="none"/>
          <w:lang w:val="en-US" w:eastAsia="zh-CN"/>
        </w:rPr>
        <w:t>务局办公楼物业管理服务，包括基本服务、房屋维护服务、公用设施设备维护服务、保洁服务、绿化服务、会议服务等</w:t>
      </w:r>
      <w:r>
        <w:rPr>
          <w:rFonts w:hint="eastAsia" w:ascii="宋体" w:hAnsi="宋体" w:cs="宋体"/>
          <w:b/>
          <w:bCs/>
          <w:color w:val="auto"/>
          <w:sz w:val="24"/>
          <w:highlight w:val="none"/>
          <w:lang w:val="en-US" w:eastAsia="zh-CN"/>
        </w:rPr>
        <w:t>以及合同主要内容、技术规范及标准、项目采购需求、本招标文件约定的全部内容并配合采购人完成此项服务相关的全部工作。</w:t>
      </w:r>
    </w:p>
    <w:p w14:paraId="17EF8D8D">
      <w:pPr>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凡提及的“天、日期、星期、月份和年份”系指公历日历的日历天、日期、星期、月份和年份。 </w:t>
      </w:r>
    </w:p>
    <w:p w14:paraId="0EF10CE4">
      <w:pPr>
        <w:pStyle w:val="33"/>
        <w:wordWrap/>
        <w:spacing w:line="360" w:lineRule="auto"/>
        <w:ind w:left="0" w:firstLine="480" w:firstLineChars="200"/>
        <w:jc w:val="left"/>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 xml:space="preserve"> </w:t>
      </w:r>
      <w:bookmarkStart w:id="21" w:name="_Toc246216182"/>
      <w:bookmarkStart w:id="22" w:name="_Toc243907573"/>
      <w:bookmarkStart w:id="23" w:name="_Toc243906313"/>
      <w:bookmarkStart w:id="24" w:name="_Toc233274813"/>
      <w:r>
        <w:rPr>
          <w:rFonts w:hint="eastAsia" w:ascii="宋体" w:hAnsi="宋体" w:eastAsia="宋体" w:cs="宋体"/>
          <w:b/>
          <w:color w:val="auto"/>
          <w:sz w:val="24"/>
          <w:szCs w:val="24"/>
          <w:highlight w:val="none"/>
        </w:rPr>
        <w:t>3、</w:t>
      </w:r>
      <w:bookmarkEnd w:id="21"/>
      <w:bookmarkEnd w:id="22"/>
      <w:bookmarkEnd w:id="23"/>
      <w:bookmarkEnd w:id="24"/>
      <w:r>
        <w:rPr>
          <w:rFonts w:hint="eastAsia" w:ascii="宋体" w:hAnsi="宋体" w:eastAsia="宋体" w:cs="宋体"/>
          <w:b/>
          <w:color w:val="auto"/>
          <w:sz w:val="24"/>
          <w:szCs w:val="24"/>
          <w:highlight w:val="none"/>
        </w:rPr>
        <w:t>采购范围及</w:t>
      </w:r>
      <w:r>
        <w:rPr>
          <w:rFonts w:hint="eastAsia" w:hAnsi="宋体" w:cs="宋体"/>
          <w:b/>
          <w:color w:val="auto"/>
          <w:sz w:val="24"/>
          <w:szCs w:val="24"/>
          <w:highlight w:val="none"/>
          <w:lang w:eastAsia="zh-CN"/>
        </w:rPr>
        <w:t>服务期限</w:t>
      </w:r>
    </w:p>
    <w:p w14:paraId="6B87B1DD">
      <w:pPr>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3.1</w:t>
      </w:r>
      <w:r>
        <w:rPr>
          <w:rFonts w:hint="eastAsia" w:ascii="宋体" w:hAnsi="宋体" w:eastAsia="宋体" w:cs="宋体"/>
          <w:b/>
          <w:color w:val="auto"/>
          <w:sz w:val="24"/>
          <w:highlight w:val="none"/>
        </w:rPr>
        <w:t>采购范围：</w:t>
      </w:r>
      <w:bookmarkStart w:id="25" w:name="_Toc243906314"/>
      <w:bookmarkStart w:id="26" w:name="_Toc233274814"/>
      <w:bookmarkStart w:id="27" w:name="_Toc246216183"/>
      <w:bookmarkStart w:id="28" w:name="_Toc243907574"/>
      <w:r>
        <w:rPr>
          <w:rFonts w:hint="eastAsia" w:ascii="宋体" w:hAnsi="宋体" w:cs="宋体"/>
          <w:b/>
          <w:bCs/>
          <w:color w:val="auto"/>
          <w:sz w:val="24"/>
          <w:highlight w:val="none"/>
          <w:lang w:val="en-US" w:eastAsia="zh-CN"/>
        </w:rPr>
        <w:t>在服务期限内完成国家税务总局克拉玛依市克拉玛依区税务局办公楼物业管理服务，包括基本服务、房屋维护服务、公用设施设备维护服务、保洁服务、绿化服务、会议服务等以及合同主要内容、技术规范及标准、项目采购需求、本招标文件约定的全部内容并配合采购人完成此项服务相关的全部工作。</w:t>
      </w:r>
    </w:p>
    <w:p w14:paraId="3CEA0561">
      <w:pPr>
        <w:wordWrap/>
        <w:spacing w:line="360" w:lineRule="auto"/>
        <w:ind w:left="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rPr>
        <w:t>3.2</w:t>
      </w:r>
      <w:r>
        <w:rPr>
          <w:rFonts w:hint="eastAsia" w:ascii="宋体" w:hAnsi="宋体" w:cs="宋体"/>
          <w:b w:val="0"/>
          <w:bCs/>
          <w:color w:val="auto"/>
          <w:sz w:val="24"/>
          <w:highlight w:val="none"/>
          <w:lang w:eastAsia="zh-CN"/>
        </w:rPr>
        <w:t>服务期限</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lang w:val="en-US" w:eastAsia="zh-CN"/>
        </w:rPr>
        <w:t>2026年1月1日至2028年12月31日。</w:t>
      </w:r>
    </w:p>
    <w:p w14:paraId="7AA6DBBA">
      <w:pPr>
        <w:wordWrap/>
        <w:spacing w:line="360" w:lineRule="auto"/>
        <w:ind w:left="0" w:firstLine="480" w:firstLineChars="200"/>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4、合格供应商资格要求</w:t>
      </w:r>
    </w:p>
    <w:p w14:paraId="5772CDCA">
      <w:pPr>
        <w:wordWrap/>
        <w:spacing w:line="360" w:lineRule="auto"/>
        <w:ind w:left="0" w:firstLine="480" w:firstLineChars="200"/>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4.1详见第一章“采购公告”中的供应商资格要求。</w:t>
      </w:r>
    </w:p>
    <w:bookmarkEnd w:id="25"/>
    <w:bookmarkEnd w:id="26"/>
    <w:bookmarkEnd w:id="27"/>
    <w:bookmarkEnd w:id="28"/>
    <w:p w14:paraId="79F778A9">
      <w:pPr>
        <w:wordWrap/>
        <w:snapToGrid w:val="0"/>
        <w:spacing w:line="360" w:lineRule="auto"/>
        <w:ind w:left="0" w:firstLine="482" w:firstLineChars="200"/>
        <w:jc w:val="left"/>
        <w:outlineLvl w:val="9"/>
        <w:rPr>
          <w:rFonts w:hint="eastAsia" w:ascii="宋体" w:hAnsi="宋体" w:eastAsia="宋体" w:cs="宋体"/>
          <w:b/>
          <w:color w:val="auto"/>
          <w:sz w:val="24"/>
          <w:highlight w:val="none"/>
        </w:rPr>
      </w:pPr>
      <w:bookmarkStart w:id="29" w:name="_Toc243906315"/>
      <w:bookmarkStart w:id="30" w:name="_Toc243907575"/>
      <w:bookmarkStart w:id="31" w:name="_Toc245897275"/>
      <w:bookmarkStart w:id="32" w:name="_Toc233274815"/>
      <w:r>
        <w:rPr>
          <w:rFonts w:hint="eastAsia" w:ascii="宋体" w:hAnsi="宋体" w:eastAsia="宋体" w:cs="宋体"/>
          <w:b/>
          <w:color w:val="auto"/>
          <w:sz w:val="24"/>
          <w:highlight w:val="none"/>
        </w:rPr>
        <w:t>4.2单位负责人为同一人或者存在直接控股、管理关系的不同供应商，不得参加同一合同项下的政府采购活动。</w:t>
      </w:r>
    </w:p>
    <w:p w14:paraId="2D3F4995">
      <w:pPr>
        <w:wordWrap/>
        <w:snapToGrid w:val="0"/>
        <w:spacing w:line="360" w:lineRule="auto"/>
        <w:ind w:left="0" w:firstLine="482" w:firstLineChars="20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4.3为采购项目提供整体设计、规范编制或者项目管理、监理、检测等服务的供应商，不得再参加该采购项目的其他采购活动。</w:t>
      </w:r>
    </w:p>
    <w:p w14:paraId="76C0DE68">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5、回避。政府采购活动中，采购人员及相关人员与供应商有下列利害关系之一的，应当回避：</w:t>
      </w:r>
    </w:p>
    <w:p w14:paraId="430DD52C">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5.1参加采购活动前3年内与供应商存在劳动关系；</w:t>
      </w:r>
    </w:p>
    <w:p w14:paraId="401ADE21">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5.2参加采购活动前3年内担任供应商的董事、监事；</w:t>
      </w:r>
    </w:p>
    <w:p w14:paraId="2F1A16CB">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5.3参加采购活动前3年内是供应商的控股股东或者实际控制人；</w:t>
      </w:r>
    </w:p>
    <w:p w14:paraId="58544914">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5.4与供应商的法定代表人或者负责人有夫妻、直系血亲、三代以内旁系血亲或者近姻亲关系；</w:t>
      </w:r>
    </w:p>
    <w:p w14:paraId="775310E0">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5.5与供应商有其他可能影响政府采购活动公平、公正进行的关系。</w:t>
      </w:r>
    </w:p>
    <w:p w14:paraId="32626DF4">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评标小组成员。</w:t>
      </w:r>
    </w:p>
    <w:p w14:paraId="0094AF9A">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38418F31">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bookmarkEnd w:id="29"/>
      <w:bookmarkEnd w:id="30"/>
      <w:bookmarkEnd w:id="31"/>
      <w:bookmarkEnd w:id="32"/>
      <w:r>
        <w:rPr>
          <w:rFonts w:hint="eastAsia" w:ascii="宋体" w:hAnsi="宋体" w:eastAsia="宋体" w:cs="宋体"/>
          <w:color w:val="auto"/>
          <w:sz w:val="24"/>
          <w:highlight w:val="none"/>
        </w:rPr>
        <w:t>参与磋商费用</w:t>
      </w:r>
    </w:p>
    <w:p w14:paraId="7A0C7E62">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6.1供应商应承担所有与磋商准备和磋商有关的全部费用，不论磋商结果如何，采购人和采购代理机构无义务和责任承担供应商所发生的一切费用。</w:t>
      </w:r>
    </w:p>
    <w:p w14:paraId="4AE64A7A">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6.2供应商在磋商准备、实地考察和磋商的全过程中，如果发生人身伤亡、财物或其它任何损失，不论何种原因所造成，均由供应商自行承担全部责任和损失。</w:t>
      </w:r>
    </w:p>
    <w:p w14:paraId="358972D5">
      <w:pPr>
        <w:pStyle w:val="33"/>
        <w:wordWrap/>
        <w:spacing w:line="360" w:lineRule="auto"/>
        <w:ind w:left="0" w:firstLine="480" w:firstLineChars="200"/>
        <w:jc w:val="left"/>
        <w:outlineLvl w:val="9"/>
        <w:rPr>
          <w:rFonts w:hint="eastAsia" w:ascii="宋体" w:hAnsi="宋体" w:eastAsia="宋体" w:cs="宋体"/>
          <w:color w:val="auto"/>
          <w:sz w:val="24"/>
          <w:highlight w:val="none"/>
        </w:rPr>
      </w:pPr>
      <w:bookmarkStart w:id="33" w:name="_Toc233274816"/>
      <w:bookmarkStart w:id="34" w:name="_Toc245897276"/>
      <w:bookmarkStart w:id="35" w:name="_Toc243906316"/>
      <w:bookmarkStart w:id="36" w:name="_Toc243907576"/>
      <w:r>
        <w:rPr>
          <w:rFonts w:hint="eastAsia" w:ascii="宋体" w:hAnsi="宋体" w:eastAsia="宋体" w:cs="宋体"/>
          <w:color w:val="auto"/>
          <w:sz w:val="24"/>
          <w:highlight w:val="none"/>
        </w:rPr>
        <w:t>7、法律适用</w:t>
      </w:r>
      <w:bookmarkEnd w:id="33"/>
      <w:bookmarkEnd w:id="34"/>
      <w:bookmarkEnd w:id="35"/>
      <w:bookmarkEnd w:id="36"/>
    </w:p>
    <w:p w14:paraId="34504F8A">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7.1本次磋商活动及由本次磋商产生的合同受中国法律制约和保护。</w:t>
      </w:r>
    </w:p>
    <w:p w14:paraId="5625EB1D">
      <w:pPr>
        <w:pStyle w:val="33"/>
        <w:wordWrap/>
        <w:spacing w:line="360" w:lineRule="auto"/>
        <w:ind w:left="0" w:firstLine="480" w:firstLineChars="200"/>
        <w:jc w:val="left"/>
        <w:outlineLvl w:val="9"/>
        <w:rPr>
          <w:rFonts w:hint="eastAsia" w:ascii="宋体" w:hAnsi="宋体" w:eastAsia="宋体" w:cs="宋体"/>
          <w:color w:val="auto"/>
          <w:sz w:val="24"/>
          <w:highlight w:val="none"/>
        </w:rPr>
      </w:pPr>
      <w:bookmarkStart w:id="37" w:name="_Toc243907577"/>
      <w:bookmarkStart w:id="38" w:name="_Toc233274817"/>
      <w:bookmarkStart w:id="39" w:name="_Toc245897277"/>
      <w:bookmarkStart w:id="40" w:name="_Toc243906317"/>
      <w:r>
        <w:rPr>
          <w:rFonts w:hint="eastAsia" w:ascii="宋体" w:hAnsi="宋体" w:eastAsia="宋体" w:cs="宋体"/>
          <w:color w:val="auto"/>
          <w:sz w:val="24"/>
          <w:highlight w:val="none"/>
        </w:rPr>
        <w:t>8、采购文件的约束力</w:t>
      </w:r>
      <w:bookmarkEnd w:id="37"/>
      <w:bookmarkEnd w:id="38"/>
      <w:bookmarkEnd w:id="39"/>
      <w:bookmarkEnd w:id="40"/>
    </w:p>
    <w:p w14:paraId="0EAE8881">
      <w:pPr>
        <w:pStyle w:val="33"/>
        <w:wordWrap/>
        <w:spacing w:line="360" w:lineRule="auto"/>
        <w:ind w:left="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8.1供应商若成交，即被认为接受了本采购文件中的所有条件和规定。是采购人与成交供应商签订合同的依据且是合同的组成部分。</w:t>
      </w:r>
    </w:p>
    <w:bookmarkEnd w:id="12"/>
    <w:p w14:paraId="4E6181E4">
      <w:pPr>
        <w:wordWrap/>
        <w:spacing w:line="360" w:lineRule="auto"/>
        <w:ind w:left="0" w:firstLine="480" w:firstLineChars="200"/>
        <w:jc w:val="left"/>
        <w:outlineLvl w:val="9"/>
        <w:rPr>
          <w:rFonts w:hint="eastAsia" w:ascii="宋体" w:hAnsi="宋体" w:eastAsia="宋体" w:cs="宋体"/>
          <w:color w:val="auto"/>
          <w:sz w:val="24"/>
          <w:highlight w:val="none"/>
        </w:rPr>
      </w:pPr>
    </w:p>
    <w:p w14:paraId="1AF9ACBD">
      <w:pPr>
        <w:pStyle w:val="33"/>
        <w:wordWrap/>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B  采购文件</w:t>
      </w:r>
    </w:p>
    <w:p w14:paraId="5E3C80E7">
      <w:pPr>
        <w:pStyle w:val="33"/>
        <w:wordWrap/>
        <w:spacing w:line="360" w:lineRule="auto"/>
        <w:ind w:firstLine="480" w:firstLineChars="200"/>
        <w:outlineLvl w:val="1"/>
        <w:rPr>
          <w:rFonts w:hint="eastAsia" w:ascii="宋体" w:hAnsi="宋体" w:eastAsia="宋体" w:cs="宋体"/>
          <w:color w:val="auto"/>
          <w:sz w:val="24"/>
          <w:highlight w:val="none"/>
        </w:rPr>
      </w:pPr>
      <w:bookmarkStart w:id="41" w:name="_Toc243906319"/>
      <w:bookmarkStart w:id="42" w:name="_Toc243907579"/>
      <w:bookmarkStart w:id="43" w:name="_Toc233274819"/>
      <w:bookmarkStart w:id="44" w:name="_Toc246216188"/>
    </w:p>
    <w:p w14:paraId="1084CB2C">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9、采购文件的组成</w:t>
      </w:r>
      <w:bookmarkEnd w:id="41"/>
      <w:bookmarkEnd w:id="42"/>
      <w:bookmarkEnd w:id="43"/>
      <w:bookmarkEnd w:id="44"/>
    </w:p>
    <w:p w14:paraId="6849346B">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9.1 本采购文件是对</w:t>
      </w:r>
      <w:r>
        <w:rPr>
          <w:rFonts w:hint="eastAsia" w:ascii="宋体" w:hAnsi="宋体" w:cs="宋体"/>
          <w:color w:val="auto"/>
          <w:sz w:val="24"/>
          <w:highlight w:val="none"/>
          <w:lang w:eastAsia="zh-CN"/>
        </w:rPr>
        <w:t>国家税务总局克拉玛依市克拉玛依区税务局物业管理服务</w:t>
      </w:r>
      <w:r>
        <w:rPr>
          <w:rFonts w:hint="eastAsia" w:ascii="宋体" w:hAnsi="宋体" w:eastAsia="宋体" w:cs="宋体"/>
          <w:color w:val="auto"/>
          <w:sz w:val="24"/>
          <w:highlight w:val="none"/>
        </w:rPr>
        <w:t>公开程序、合同文本进行说明。采购文件包括下列内容：</w:t>
      </w:r>
    </w:p>
    <w:p w14:paraId="38966473">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采购公告</w:t>
      </w:r>
    </w:p>
    <w:p w14:paraId="0E974335">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26D0AFC5">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项目采购需求及合同主要条款</w:t>
      </w:r>
    </w:p>
    <w:p w14:paraId="4737CAAD">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536E3687">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14:paraId="3734EC22">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9.2 采购文件以中文编印，以中文文本为准。</w:t>
      </w:r>
    </w:p>
    <w:p w14:paraId="036D46F8">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除非有特殊要求，采购文件不单独提供</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项目使用地的自然环境、气候条件、劳动力及公用设施等情况，供应商被视为熟悉上述条件或若成交履行合同有关的一切情况。</w:t>
      </w:r>
    </w:p>
    <w:p w14:paraId="3DC939D5">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14:paraId="0A0A06FC">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bookmarkStart w:id="45" w:name="_Toc233274820"/>
      <w:bookmarkStart w:id="46" w:name="_Toc243907580"/>
      <w:bookmarkStart w:id="47" w:name="_Toc245897280"/>
      <w:bookmarkStart w:id="48" w:name="_Toc243906320"/>
      <w:r>
        <w:rPr>
          <w:rFonts w:hint="eastAsia" w:ascii="宋体" w:hAnsi="宋体" w:eastAsia="宋体" w:cs="宋体"/>
          <w:color w:val="auto"/>
          <w:sz w:val="24"/>
          <w:highlight w:val="none"/>
        </w:rPr>
        <w:t>10、采购文件的澄清</w:t>
      </w:r>
      <w:bookmarkEnd w:id="45"/>
      <w:bookmarkEnd w:id="46"/>
      <w:bookmarkEnd w:id="47"/>
      <w:bookmarkEnd w:id="48"/>
    </w:p>
    <w:p w14:paraId="4051A1B9">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10.1 供应商对磋商文件如有疑问，可要求澄清，应以书面形式（必须加盖供应商公章）</w:t>
      </w:r>
      <w:r>
        <w:rPr>
          <w:rFonts w:hint="eastAsia" w:ascii="宋体" w:hAnsi="宋体" w:eastAsia="宋体" w:cs="宋体"/>
          <w:color w:val="auto"/>
          <w:sz w:val="24"/>
          <w:szCs w:val="24"/>
          <w:highlight w:val="none"/>
        </w:rPr>
        <w:t>送达至新疆天麒工程项目管理咨询有限责任公司或发至603781401@qq.com。</w:t>
      </w:r>
      <w:r>
        <w:rPr>
          <w:rFonts w:hint="eastAsia" w:ascii="宋体" w:hAnsi="宋体" w:eastAsia="宋体" w:cs="宋体"/>
          <w:color w:val="auto"/>
          <w:sz w:val="24"/>
          <w:highlight w:val="none"/>
        </w:rPr>
        <w:t>采购人和采购代理机构将视情况以书面形式予以答复，并发至领取磋商文件的每位供应商。答复中包括所提问题，但不包括问题的来源。</w:t>
      </w:r>
    </w:p>
    <w:p w14:paraId="0BA4C380">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10.2 如果上述答复涉及对采购文件的修改或补充，则它将被视为采购文件的组成部分。凡原先所发采购文件中的内容与答复中的内容不一致之处，以最后书面答复为准。任何电话或口头咨询和答复的意思解释均不具有法律约束力。</w:t>
      </w:r>
    </w:p>
    <w:p w14:paraId="5E2BE0EF">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bookmarkStart w:id="49" w:name="_Toc243906321"/>
      <w:bookmarkStart w:id="50" w:name="_Toc245897281"/>
      <w:bookmarkStart w:id="51" w:name="_Toc233274821"/>
      <w:bookmarkStart w:id="52" w:name="_Toc243907581"/>
      <w:r>
        <w:rPr>
          <w:rFonts w:hint="eastAsia" w:ascii="宋体" w:hAnsi="宋体" w:eastAsia="宋体" w:cs="宋体"/>
          <w:color w:val="auto"/>
          <w:sz w:val="24"/>
          <w:highlight w:val="none"/>
        </w:rPr>
        <w:t>11、采购文件的修改和补充</w:t>
      </w:r>
      <w:r>
        <w:rPr>
          <w:rFonts w:hint="eastAsia" w:ascii="宋体" w:hAnsi="宋体" w:eastAsia="宋体" w:cs="宋体"/>
          <w:color w:val="auto"/>
          <w:sz w:val="24"/>
          <w:highlight w:val="none"/>
        </w:rPr>
        <w:tab/>
      </w:r>
    </w:p>
    <w:p w14:paraId="1B226E3A">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hAnsi="宋体" w:cs="宋体"/>
          <w:color w:val="auto"/>
          <w:sz w:val="24"/>
          <w:highlight w:val="none"/>
        </w:rPr>
        <w:t>在递交响应文件截止日期</w:t>
      </w:r>
      <w:r>
        <w:rPr>
          <w:rFonts w:hint="eastAsia" w:hAnsi="宋体" w:cs="宋体"/>
          <w:color w:val="auto"/>
          <w:sz w:val="24"/>
          <w:highlight w:val="none"/>
          <w:lang w:val="en-US" w:eastAsia="zh-CN"/>
        </w:rPr>
        <w:t>5</w:t>
      </w:r>
      <w:r>
        <w:rPr>
          <w:rFonts w:hint="eastAsia" w:hAnsi="宋体" w:cs="宋体"/>
          <w:color w:val="auto"/>
          <w:sz w:val="24"/>
          <w:highlight w:val="none"/>
        </w:rPr>
        <w:t>日前的任何时候，采购人可主动地或依据供应商要求澄清的疑问而修改、补充磋商文件，采购代理机构将对修改和补充的内容以书面形式发至所有获取磋商文件的每位供应商，修改和补充文件将作为磋商文件的组成部分，对所有供应商具有约束力。</w:t>
      </w:r>
    </w:p>
    <w:bookmarkEnd w:id="49"/>
    <w:bookmarkEnd w:id="50"/>
    <w:bookmarkEnd w:id="51"/>
    <w:bookmarkEnd w:id="52"/>
    <w:p w14:paraId="7835DFD4">
      <w:pPr>
        <w:pStyle w:val="33"/>
        <w:spacing w:line="360" w:lineRule="auto"/>
        <w:ind w:firstLine="480" w:firstLineChars="200"/>
        <w:rPr>
          <w:rFonts w:hint="eastAsia" w:hAnsi="宋体" w:cs="宋体"/>
          <w:color w:val="auto"/>
          <w:sz w:val="24"/>
          <w:highlight w:val="none"/>
        </w:rPr>
      </w:pPr>
      <w:bookmarkStart w:id="53" w:name="_Toc243906322"/>
      <w:bookmarkStart w:id="54" w:name="_Toc246216191"/>
      <w:bookmarkStart w:id="55" w:name="_Toc233274822"/>
      <w:bookmarkStart w:id="56" w:name="_Toc243907582"/>
      <w:bookmarkStart w:id="57" w:name="_Toc154996580"/>
      <w:r>
        <w:rPr>
          <w:rFonts w:hint="eastAsia" w:hAnsi="宋体" w:cs="宋体"/>
          <w:color w:val="auto"/>
          <w:sz w:val="24"/>
          <w:highlight w:val="none"/>
        </w:rPr>
        <w:t>11.2为使供应商在准备响应文件时有合理的时间考虑磋商文件的修改或补充，采购代理机构可延长递交响应文件截止时间和开启时间，但至少应当在规定的递交响应文件的截止时间</w:t>
      </w:r>
      <w:r>
        <w:rPr>
          <w:rFonts w:hint="eastAsia" w:hAnsi="宋体" w:cs="宋体"/>
          <w:color w:val="auto"/>
          <w:sz w:val="24"/>
          <w:highlight w:val="none"/>
          <w:u w:val="single"/>
          <w:lang w:val="en-US" w:eastAsia="zh-CN"/>
        </w:rPr>
        <w:t>5</w:t>
      </w:r>
      <w:r>
        <w:rPr>
          <w:rFonts w:hint="eastAsia" w:hAnsi="宋体" w:cs="宋体"/>
          <w:color w:val="auto"/>
          <w:sz w:val="24"/>
          <w:highlight w:val="none"/>
        </w:rPr>
        <w:t>日前，以书面形式通知所有领取磋商文件的每位供应商，不足</w:t>
      </w:r>
      <w:r>
        <w:rPr>
          <w:rFonts w:hint="eastAsia" w:hAnsi="宋体" w:cs="宋体"/>
          <w:color w:val="auto"/>
          <w:sz w:val="24"/>
          <w:highlight w:val="none"/>
          <w:lang w:val="en-US" w:eastAsia="zh-CN"/>
        </w:rPr>
        <w:t>5</w:t>
      </w:r>
      <w:r>
        <w:rPr>
          <w:rFonts w:hint="eastAsia" w:hAnsi="宋体" w:cs="宋体"/>
          <w:color w:val="auto"/>
          <w:sz w:val="24"/>
          <w:highlight w:val="none"/>
        </w:rPr>
        <w:t>日的，应当顺延提交响应文件截止日期。</w:t>
      </w:r>
    </w:p>
    <w:p w14:paraId="5FCEDF29">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11.3供应商在每次收到采购代理机构发至的书面文件后，应在收到后24小时内以书面形式并加盖供应商公章予以确认。</w:t>
      </w:r>
    </w:p>
    <w:p w14:paraId="51EE0A31">
      <w:pPr>
        <w:pStyle w:val="33"/>
        <w:wordWrap/>
        <w:spacing w:line="360" w:lineRule="auto"/>
        <w:jc w:val="center"/>
        <w:outlineLvl w:val="1"/>
        <w:rPr>
          <w:rFonts w:hint="eastAsia" w:ascii="宋体" w:hAnsi="宋体" w:eastAsia="宋体" w:cs="宋体"/>
          <w:b/>
          <w:bCs/>
          <w:color w:val="auto"/>
          <w:sz w:val="28"/>
          <w:szCs w:val="28"/>
          <w:highlight w:val="none"/>
        </w:rPr>
      </w:pPr>
    </w:p>
    <w:p w14:paraId="352704A9">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C 响应文件的编写</w:t>
      </w:r>
      <w:bookmarkEnd w:id="53"/>
      <w:bookmarkEnd w:id="54"/>
      <w:bookmarkEnd w:id="55"/>
      <w:bookmarkEnd w:id="56"/>
    </w:p>
    <w:p w14:paraId="6D3146A2">
      <w:pPr>
        <w:pStyle w:val="33"/>
        <w:wordWrap/>
        <w:spacing w:line="360" w:lineRule="auto"/>
        <w:ind w:firstLine="480" w:firstLineChars="200"/>
        <w:rPr>
          <w:rFonts w:hint="eastAsia" w:ascii="宋体" w:hAnsi="宋体" w:eastAsia="宋体" w:cs="宋体"/>
          <w:color w:val="auto"/>
          <w:sz w:val="24"/>
          <w:highlight w:val="none"/>
        </w:rPr>
      </w:pPr>
    </w:p>
    <w:p w14:paraId="50559A72">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58" w:name="_Toc233274823"/>
      <w:bookmarkStart w:id="59" w:name="_Toc245897283"/>
      <w:bookmarkStart w:id="60" w:name="_Toc243906323"/>
      <w:bookmarkStart w:id="61" w:name="_Toc243907583"/>
      <w:r>
        <w:rPr>
          <w:rFonts w:hint="eastAsia" w:ascii="宋体" w:hAnsi="宋体" w:eastAsia="宋体" w:cs="宋体"/>
          <w:color w:val="auto"/>
          <w:sz w:val="24"/>
          <w:szCs w:val="24"/>
          <w:highlight w:val="none"/>
        </w:rPr>
        <w:t>1</w:t>
      </w:r>
      <w:bookmarkEnd w:id="58"/>
      <w:r>
        <w:rPr>
          <w:rFonts w:hint="eastAsia" w:ascii="宋体" w:hAnsi="宋体" w:eastAsia="宋体" w:cs="宋体"/>
          <w:color w:val="auto"/>
          <w:sz w:val="24"/>
          <w:szCs w:val="24"/>
          <w:highlight w:val="none"/>
        </w:rPr>
        <w:t>2、响应文件的编写</w:t>
      </w:r>
      <w:bookmarkEnd w:id="59"/>
      <w:bookmarkEnd w:id="60"/>
      <w:bookmarkEnd w:id="61"/>
    </w:p>
    <w:p w14:paraId="132ADB9F">
      <w:pPr>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必须详细阅读采购文件的章、节、条款、格式等所有内容，按采购文件的要求提交响应文件，并保证所提供的全部文件及相关资料的真实性，以使其对采购文件做出实质性投标。供应商应仔细阅读并充分理解采购文件、技术规范及标准、项目采购需求及合同主要条款后</w:t>
      </w:r>
      <w:r>
        <w:rPr>
          <w:rFonts w:hint="eastAsia" w:ascii="宋体" w:hAnsi="宋体" w:eastAsia="宋体" w:cs="宋体"/>
          <w:b/>
          <w:color w:val="auto"/>
          <w:sz w:val="24"/>
          <w:szCs w:val="24"/>
          <w:highlight w:val="none"/>
        </w:rPr>
        <w:t>编制响应文件</w:t>
      </w:r>
      <w:r>
        <w:rPr>
          <w:rFonts w:hint="eastAsia" w:ascii="宋体" w:hAnsi="宋体" w:eastAsia="宋体" w:cs="宋体"/>
          <w:color w:val="auto"/>
          <w:sz w:val="24"/>
          <w:szCs w:val="24"/>
          <w:highlight w:val="none"/>
        </w:rPr>
        <w:t>。</w:t>
      </w:r>
    </w:p>
    <w:p w14:paraId="6AE2EC7A">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62" w:name="_Toc245897284"/>
      <w:bookmarkStart w:id="63" w:name="_Toc233274824"/>
      <w:bookmarkStart w:id="64" w:name="_Toc243907584"/>
      <w:bookmarkStart w:id="65" w:name="_Toc243906324"/>
      <w:r>
        <w:rPr>
          <w:rFonts w:hint="eastAsia" w:ascii="宋体" w:hAnsi="宋体" w:eastAsia="宋体" w:cs="宋体"/>
          <w:color w:val="auto"/>
          <w:sz w:val="24"/>
          <w:szCs w:val="24"/>
          <w:highlight w:val="none"/>
        </w:rPr>
        <w:t>13、响应文件的语言及计量单位</w:t>
      </w:r>
      <w:bookmarkEnd w:id="62"/>
      <w:bookmarkEnd w:id="63"/>
      <w:bookmarkEnd w:id="64"/>
      <w:bookmarkEnd w:id="65"/>
    </w:p>
    <w:p w14:paraId="2FA285E7">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2C75A310">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除在采购文件的项目采购需求中另有规定外，计量单位应使用中华人民共和国法定计量单位（国际单位制和国家选定的其它计量单位）。如供应商采用其它计量单位，需事先得到采购人的同意。</w:t>
      </w:r>
    </w:p>
    <w:p w14:paraId="0D28F4BE">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w w:val="100"/>
          <w:sz w:val="24"/>
          <w:highlight w:val="none"/>
        </w:rPr>
      </w:pPr>
      <w:bookmarkStart w:id="66" w:name="_Toc243907585"/>
      <w:bookmarkStart w:id="67" w:name="_Toc243906325"/>
      <w:bookmarkStart w:id="68" w:name="_Toc233274825"/>
      <w:bookmarkStart w:id="69" w:name="_Toc245897285"/>
      <w:r>
        <w:rPr>
          <w:rFonts w:hint="eastAsia" w:ascii="宋体" w:hAnsi="宋体" w:eastAsia="宋体" w:cs="宋体"/>
          <w:b/>
          <w:color w:val="auto"/>
          <w:sz w:val="24"/>
          <w:szCs w:val="24"/>
          <w:highlight w:val="none"/>
        </w:rPr>
        <w:t>14、</w:t>
      </w:r>
      <w:bookmarkEnd w:id="66"/>
      <w:bookmarkEnd w:id="67"/>
      <w:bookmarkEnd w:id="68"/>
      <w:bookmarkEnd w:id="69"/>
      <w:r>
        <w:rPr>
          <w:rFonts w:hint="eastAsia" w:ascii="宋体" w:hAnsi="宋体" w:eastAsia="宋体" w:cs="宋体"/>
          <w:b/>
          <w:color w:val="auto"/>
          <w:sz w:val="24"/>
          <w:szCs w:val="24"/>
          <w:highlight w:val="none"/>
        </w:rPr>
        <w:t>响应文件的组成：</w:t>
      </w:r>
      <w:r>
        <w:rPr>
          <w:rFonts w:hint="eastAsia" w:ascii="宋体" w:hAnsi="宋体" w:eastAsia="宋体" w:cs="宋体"/>
          <w:b/>
          <w:color w:val="auto"/>
          <w:w w:val="100"/>
          <w:sz w:val="24"/>
          <w:highlight w:val="none"/>
          <w:lang w:eastAsia="zh-CN"/>
        </w:rPr>
        <w:t>一式肆份</w:t>
      </w:r>
      <w:r>
        <w:rPr>
          <w:rFonts w:hint="eastAsia" w:ascii="宋体" w:hAnsi="宋体" w:eastAsia="宋体" w:cs="宋体"/>
          <w:b/>
          <w:color w:val="auto"/>
          <w:w w:val="100"/>
          <w:sz w:val="24"/>
          <w:highlight w:val="none"/>
        </w:rPr>
        <w:t>，其中正本壹份，副本</w:t>
      </w:r>
      <w:r>
        <w:rPr>
          <w:rFonts w:hint="eastAsia" w:ascii="宋体" w:hAnsi="宋体" w:eastAsia="宋体" w:cs="宋体"/>
          <w:b/>
          <w:color w:val="auto"/>
          <w:w w:val="100"/>
          <w:sz w:val="24"/>
          <w:highlight w:val="none"/>
          <w:lang w:val="en-US" w:eastAsia="zh-CN"/>
        </w:rPr>
        <w:t>叁</w:t>
      </w:r>
      <w:r>
        <w:rPr>
          <w:rFonts w:hint="eastAsia" w:ascii="宋体" w:hAnsi="宋体" w:eastAsia="宋体" w:cs="宋体"/>
          <w:b/>
          <w:color w:val="auto"/>
          <w:w w:val="100"/>
          <w:sz w:val="24"/>
          <w:highlight w:val="none"/>
        </w:rPr>
        <w:t>份</w:t>
      </w:r>
      <w:r>
        <w:rPr>
          <w:rFonts w:hint="eastAsia" w:hAnsi="宋体" w:cs="宋体"/>
          <w:b/>
          <w:color w:val="auto"/>
          <w:w w:val="100"/>
          <w:sz w:val="24"/>
          <w:highlight w:val="none"/>
          <w:lang w:eastAsia="zh-CN"/>
        </w:rPr>
        <w:t>，</w:t>
      </w:r>
      <w:r>
        <w:rPr>
          <w:rFonts w:hint="eastAsia" w:hAnsi="宋体" w:cs="宋体"/>
          <w:b/>
          <w:color w:val="auto"/>
          <w:w w:val="100"/>
          <w:sz w:val="24"/>
          <w:highlight w:val="none"/>
          <w:lang w:val="en-US" w:eastAsia="zh-CN"/>
        </w:rPr>
        <w:t>电子版壹份</w:t>
      </w:r>
      <w:r>
        <w:rPr>
          <w:rFonts w:hint="eastAsia" w:ascii="宋体" w:hAnsi="宋体" w:eastAsia="宋体" w:cs="宋体"/>
          <w:b/>
          <w:color w:val="auto"/>
          <w:w w:val="100"/>
          <w:sz w:val="24"/>
          <w:highlight w:val="none"/>
        </w:rPr>
        <w:t>，需编制目录及页码，在每一份响应文件上要明确注明“正本”或“副本”字样，如正、副本之间有差异，以正本为准。</w:t>
      </w:r>
    </w:p>
    <w:p w14:paraId="77016C1C">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各供应商应对照第三章“</w:t>
      </w:r>
      <w:r>
        <w:rPr>
          <w:rFonts w:hint="eastAsia" w:ascii="宋体" w:hAnsi="宋体" w:eastAsia="宋体" w:cs="宋体"/>
          <w:color w:val="auto"/>
          <w:sz w:val="24"/>
          <w:szCs w:val="24"/>
          <w:highlight w:val="none"/>
        </w:rPr>
        <w:t>项目采购需求及合同主要条款</w:t>
      </w:r>
      <w:r>
        <w:rPr>
          <w:rFonts w:hint="eastAsia" w:ascii="宋体" w:hAnsi="宋体" w:eastAsia="宋体" w:cs="宋体"/>
          <w:b/>
          <w:color w:val="auto"/>
          <w:sz w:val="24"/>
          <w:szCs w:val="24"/>
          <w:highlight w:val="none"/>
        </w:rPr>
        <w:t>”及第五章“</w:t>
      </w:r>
      <w:r>
        <w:rPr>
          <w:rFonts w:hint="eastAsia" w:ascii="宋体" w:hAnsi="宋体" w:eastAsia="宋体" w:cs="宋体"/>
          <w:b/>
          <w:color w:val="auto"/>
          <w:sz w:val="24"/>
          <w:szCs w:val="24"/>
          <w:highlight w:val="none"/>
          <w:lang w:eastAsia="zh-CN"/>
        </w:rPr>
        <w:t>评审标准</w:t>
      </w:r>
      <w:r>
        <w:rPr>
          <w:rFonts w:hint="eastAsia" w:ascii="宋体" w:hAnsi="宋体" w:eastAsia="宋体" w:cs="宋体"/>
          <w:b/>
          <w:color w:val="auto"/>
          <w:sz w:val="24"/>
          <w:szCs w:val="24"/>
          <w:highlight w:val="none"/>
        </w:rPr>
        <w:t>（综合评分法）”提供必要的证明资料，响应文件应包括以下内容（但不限于以下内容）：</w:t>
      </w:r>
    </w:p>
    <w:p w14:paraId="0B761ED4">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响应文件封面；</w:t>
      </w:r>
    </w:p>
    <w:p w14:paraId="76E685E0">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响应函（详见格式1）；</w:t>
      </w:r>
    </w:p>
    <w:p w14:paraId="267CED98">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法定代表人资格证明书（详见格式2）；</w:t>
      </w:r>
    </w:p>
    <w:p w14:paraId="06615290">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法定代表人授权书（详见格式3）；</w:t>
      </w:r>
    </w:p>
    <w:p w14:paraId="25B2ACC8">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供应商资格声明（详见格式4）；</w:t>
      </w:r>
    </w:p>
    <w:p w14:paraId="597FAC7E">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政府采购领域诚信承诺书（详见格式5）</w:t>
      </w:r>
    </w:p>
    <w:p w14:paraId="23C9F970">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中小企业声明函（详见格式6）</w:t>
      </w:r>
    </w:p>
    <w:p w14:paraId="5F8DF155">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有效期内的营业执照（复印件）；</w:t>
      </w:r>
    </w:p>
    <w:p w14:paraId="27A0A015">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商务报价一览表（首次）（详见格式7）；</w:t>
      </w:r>
    </w:p>
    <w:p w14:paraId="79E98DB8">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商务条款响应偏离表（详见格式8）；</w:t>
      </w:r>
    </w:p>
    <w:p w14:paraId="57CA59AA">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近三年（202</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年1月1日至今）同类项目业绩表（详见格式</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w:t>
      </w:r>
    </w:p>
    <w:p w14:paraId="76A977B0">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zh-CN"/>
        </w:rPr>
        <w:t>技术条款响应偏离表（详见格式1</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zh-CN"/>
        </w:rPr>
        <w:t>）；</w:t>
      </w:r>
    </w:p>
    <w:p w14:paraId="32306284">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eastAsia="zh-CN"/>
        </w:rPr>
        <w:t>物业服务人员配置（物业服务人员人数岗位配备合理及综合素质）</w:t>
      </w:r>
      <w:r>
        <w:rPr>
          <w:rFonts w:hint="eastAsia" w:ascii="宋体" w:hAnsi="宋体" w:eastAsia="宋体" w:cs="宋体"/>
          <w:bCs/>
          <w:color w:val="auto"/>
          <w:sz w:val="24"/>
          <w:highlight w:val="none"/>
          <w:lang w:val="zh-CN"/>
        </w:rPr>
        <w:t>；</w:t>
      </w:r>
    </w:p>
    <w:p w14:paraId="53043116">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实施方案及计划；</w:t>
      </w:r>
    </w:p>
    <w:p w14:paraId="0395B75D">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物业服务设备及服务用品投入；</w:t>
      </w:r>
    </w:p>
    <w:p w14:paraId="23733076">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安全措施、突发事件应急预案；</w:t>
      </w:r>
    </w:p>
    <w:p w14:paraId="5F744D78">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制定的节能措施；</w:t>
      </w:r>
    </w:p>
    <w:p w14:paraId="0625B0C6">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服务承诺；</w:t>
      </w:r>
    </w:p>
    <w:p w14:paraId="1FAD5793">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服务总体方案及质量保证措施（提供具体可行、详细的服务方案、服务质量目标以及保证措施）；</w:t>
      </w:r>
    </w:p>
    <w:p w14:paraId="69A25C83">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rPr>
        <w:t>资格性/符合性自查表（详见文件格式1</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rPr>
        <w:t>）；</w:t>
      </w:r>
    </w:p>
    <w:p w14:paraId="512C3124">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磋商文件要求提供的其它材料以及供应商认为需要提交的材料。</w:t>
      </w:r>
    </w:p>
    <w:p w14:paraId="45369DD1">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特别说明：①上述各种证件、证书复印件须加盖供应商公章。</w:t>
      </w:r>
    </w:p>
    <w:p w14:paraId="691E8D30">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 供应商应如实提供投标资料，并保证真实可靠，不得弄虚作假。如供应商隐瞒事实真相、弄虚作假，一经查实，取消该供应商的投标资格，若成交的，取消其中标资格。</w:t>
      </w:r>
    </w:p>
    <w:p w14:paraId="32408A14">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70" w:name="_Toc245897286"/>
      <w:bookmarkStart w:id="71" w:name="_Toc243906326"/>
      <w:bookmarkStart w:id="72" w:name="_Toc243907587"/>
      <w:bookmarkStart w:id="73" w:name="_Toc233274827"/>
      <w:bookmarkStart w:id="74" w:name="_Toc246216196"/>
      <w:r>
        <w:rPr>
          <w:rFonts w:hint="eastAsia" w:ascii="宋体" w:hAnsi="宋体" w:eastAsia="宋体" w:cs="宋体"/>
          <w:color w:val="auto"/>
          <w:sz w:val="24"/>
          <w:szCs w:val="24"/>
          <w:highlight w:val="none"/>
        </w:rPr>
        <w:t>15、响应文件格式</w:t>
      </w:r>
      <w:bookmarkEnd w:id="70"/>
    </w:p>
    <w:p w14:paraId="7FC5026B">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15.1供应商应按采购文件提供的格式及商务报价说明完整地填写所提供的合同项目、服务以及单价等内容。</w:t>
      </w:r>
    </w:p>
    <w:bookmarkEnd w:id="71"/>
    <w:bookmarkEnd w:id="72"/>
    <w:bookmarkEnd w:id="73"/>
    <w:bookmarkEnd w:id="74"/>
    <w:p w14:paraId="50D1C3C0">
      <w:pPr>
        <w:pStyle w:val="33"/>
        <w:spacing w:line="360" w:lineRule="auto"/>
        <w:ind w:firstLine="480" w:firstLineChars="200"/>
        <w:outlineLvl w:val="1"/>
        <w:rPr>
          <w:rFonts w:hint="eastAsia" w:hAnsi="宋体" w:cs="宋体"/>
          <w:color w:val="auto"/>
          <w:sz w:val="24"/>
          <w:highlight w:val="none"/>
        </w:rPr>
      </w:pPr>
      <w:bookmarkStart w:id="75" w:name="_Toc233274829"/>
      <w:bookmarkStart w:id="76" w:name="_Toc245897289"/>
      <w:bookmarkStart w:id="77" w:name="_Toc243907589"/>
      <w:bookmarkStart w:id="78" w:name="_Toc243906328"/>
      <w:r>
        <w:rPr>
          <w:rFonts w:hint="eastAsia" w:hAnsi="宋体" w:cs="宋体"/>
          <w:color w:val="auto"/>
          <w:sz w:val="24"/>
          <w:highlight w:val="none"/>
        </w:rPr>
        <w:t>1</w:t>
      </w:r>
      <w:r>
        <w:rPr>
          <w:rFonts w:hint="eastAsia" w:hAnsi="宋体" w:cs="宋体"/>
          <w:color w:val="auto"/>
          <w:sz w:val="24"/>
          <w:highlight w:val="none"/>
          <w:lang w:val="en-US" w:eastAsia="zh-CN"/>
        </w:rPr>
        <w:t>6</w:t>
      </w:r>
      <w:r>
        <w:rPr>
          <w:rFonts w:hint="eastAsia" w:hAnsi="宋体" w:cs="宋体"/>
          <w:color w:val="auto"/>
          <w:sz w:val="24"/>
          <w:highlight w:val="none"/>
        </w:rPr>
        <w:t>、商务报价</w:t>
      </w:r>
    </w:p>
    <w:p w14:paraId="6ED712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.1供应商的商务报价应是为采购人提供全部合同服务，并保证合同条款、技术规范及标准、项目采购需求、本磋商文件约定的所有费用的总和。</w:t>
      </w:r>
    </w:p>
    <w:p w14:paraId="75FB8F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任何因供应商忽视或误解采购范围、技术规范及标准、项目采购需求、合同条款和项目现场情况，若成交，采购人将不予批准由此而产生的索赔或服务期延长申请。</w:t>
      </w:r>
    </w:p>
    <w:p w14:paraId="53EDD472">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商务报价中不得包含合同条款、技术规范及标准、项目采购需求、本磋商文件要求以外的其他内容。</w:t>
      </w:r>
    </w:p>
    <w:p w14:paraId="6FD970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.2商务报价总价应包括的内容和计价因素</w:t>
      </w:r>
    </w:p>
    <w:p w14:paraId="63A63ACC">
      <w:pPr>
        <w:wordWrap/>
        <w:spacing w:line="360" w:lineRule="auto"/>
        <w:ind w:left="0" w:firstLine="480" w:firstLineChars="200"/>
        <w:jc w:val="left"/>
        <w:outlineLvl w:val="9"/>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b/>
          <w:bCs/>
          <w:color w:val="auto"/>
          <w:sz w:val="24"/>
          <w:highlight w:val="none"/>
          <w:lang w:val="en-US" w:eastAsia="zh-CN"/>
        </w:rPr>
        <w:t>在服务期限内完成国家税务总局克拉玛依市克拉玛依区税务局办公楼物业管理服务，包括基本服务、房屋维护服务、公用设施设备维护服务、保洁服务、绿化服务、会议服务等以及合同主要内容、技术规范及标准、项目采购需求、本招标文件约定的全部内容并配合采购人完成此项服务相关的全部工作。</w:t>
      </w:r>
    </w:p>
    <w:p w14:paraId="609D64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根据对本磋商文件、技术规范和标准、项目采购需求、合同条款的理解，应达到的技术指标、检验及验收标准等要求，结合市场情况进行商务报价。供应商应充分考虑合同执行期内各类市场风险和国家政策性调整风险等因素对商务报价的影响。</w:t>
      </w:r>
    </w:p>
    <w:p w14:paraId="3B25356F">
      <w:pPr>
        <w:spacing w:line="360" w:lineRule="auto"/>
        <w:ind w:firstLine="480" w:firstLineChars="200"/>
        <w:rPr>
          <w:rFonts w:hint="eastAsia" w:ascii="宋体" w:hAnsi="宋体" w:cs="宋体"/>
          <w:color w:val="auto"/>
          <w:sz w:val="24"/>
          <w:highlight w:val="none"/>
        </w:rPr>
      </w:pPr>
      <w:bookmarkStart w:id="79" w:name="_Toc233274828"/>
      <w:bookmarkStart w:id="80" w:name="_Toc246216197"/>
      <w:bookmarkStart w:id="81" w:name="_Toc243906327"/>
      <w:bookmarkStart w:id="82" w:name="_Toc243907588"/>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.3供应商应按照磋商文件所附的格式完整地填写商务报价一览表。</w:t>
      </w:r>
      <w:r>
        <w:rPr>
          <w:rFonts w:hint="eastAsia" w:ascii="宋体" w:hAnsi="宋体" w:cs="宋体"/>
          <w:b/>
          <w:color w:val="auto"/>
          <w:sz w:val="24"/>
          <w:highlight w:val="none"/>
        </w:rPr>
        <w:t>供应商应对采购范围内的全部内容进行报价。</w:t>
      </w:r>
    </w:p>
    <w:p w14:paraId="28A41A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.4供应商若成交，不得以任何理由在合同执行期间予以价格调整。任何包含价格调整的要求将被认为是非响应而予以拒绝。</w:t>
      </w:r>
    </w:p>
    <w:bookmarkEnd w:id="79"/>
    <w:bookmarkEnd w:id="80"/>
    <w:bookmarkEnd w:id="81"/>
    <w:bookmarkEnd w:id="82"/>
    <w:p w14:paraId="5F5A9168">
      <w:pPr>
        <w:pStyle w:val="33"/>
        <w:spacing w:line="360" w:lineRule="auto"/>
        <w:ind w:firstLine="480" w:firstLineChars="200"/>
        <w:outlineLvl w:val="1"/>
        <w:rPr>
          <w:rFonts w:hint="eastAsia" w:hAnsi="宋体" w:cs="宋体"/>
          <w:color w:val="auto"/>
          <w:sz w:val="24"/>
          <w:highlight w:val="none"/>
        </w:rPr>
      </w:pPr>
      <w:bookmarkStart w:id="83" w:name="_Toc245897288"/>
      <w:r>
        <w:rPr>
          <w:rFonts w:hint="eastAsia" w:hAnsi="宋体" w:cs="宋体"/>
          <w:color w:val="auto"/>
          <w:sz w:val="24"/>
          <w:highlight w:val="none"/>
        </w:rPr>
        <w:t>1</w:t>
      </w:r>
      <w:r>
        <w:rPr>
          <w:rFonts w:hint="eastAsia" w:hAnsi="宋体" w:cs="宋体"/>
          <w:color w:val="auto"/>
          <w:sz w:val="24"/>
          <w:highlight w:val="none"/>
          <w:lang w:val="en-US" w:eastAsia="zh-CN"/>
        </w:rPr>
        <w:t>7</w:t>
      </w:r>
      <w:r>
        <w:rPr>
          <w:rFonts w:hint="eastAsia" w:hAnsi="宋体" w:cs="宋体"/>
          <w:color w:val="auto"/>
          <w:sz w:val="24"/>
          <w:highlight w:val="none"/>
        </w:rPr>
        <w:t>、商务报价货币</w:t>
      </w:r>
      <w:bookmarkEnd w:id="83"/>
    </w:p>
    <w:p w14:paraId="1A830EF5">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.1商务报价一览表和响应文件中的所有报价一律使用人民币（RMB）填报。</w:t>
      </w:r>
    </w:p>
    <w:p w14:paraId="47DCEC1A">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、供应商资格证明文件</w:t>
      </w:r>
      <w:bookmarkEnd w:id="75"/>
      <w:bookmarkEnd w:id="76"/>
      <w:bookmarkEnd w:id="77"/>
      <w:bookmarkEnd w:id="78"/>
    </w:p>
    <w:p w14:paraId="34C19DFD">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.1 供应商必须提交证明其有资格参加公开和中标后有能力履行合同的文件。</w:t>
      </w:r>
    </w:p>
    <w:p w14:paraId="69797613">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84" w:name="_Toc233274830"/>
      <w:bookmarkStart w:id="85" w:name="_Toc245897290"/>
      <w:bookmarkStart w:id="86" w:name="_Toc243907590"/>
      <w:bookmarkStart w:id="87" w:name="_Toc243906329"/>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、提供的服务符合采购文件规定的技术</w:t>
      </w:r>
      <w:bookmarkEnd w:id="84"/>
      <w:bookmarkEnd w:id="85"/>
      <w:bookmarkEnd w:id="86"/>
      <w:bookmarkEnd w:id="87"/>
      <w:r>
        <w:rPr>
          <w:rFonts w:hint="eastAsia" w:ascii="宋体" w:hAnsi="宋体" w:eastAsia="宋体" w:cs="宋体"/>
          <w:color w:val="auto"/>
          <w:sz w:val="24"/>
          <w:szCs w:val="24"/>
          <w:highlight w:val="none"/>
        </w:rPr>
        <w:t>响应文件</w:t>
      </w:r>
    </w:p>
    <w:p w14:paraId="74F1E664">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.1 供应商须提交证明其拟供服务符合采购文件、技术规范及标准、项目采购需求规定的技术响应文件，作为响应文件的一部分；</w:t>
      </w:r>
    </w:p>
    <w:p w14:paraId="0464C76B">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.2上述文件可以是文字资料和数据，并须提供项目主要技术性能的详细描述及货物清单和所提供服务的详细说明；</w:t>
      </w:r>
    </w:p>
    <w:p w14:paraId="51D812C2">
      <w:pPr>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.3供应商应逐条对采购文件、项目采购需求及合同主要条款等进行仔细阅读，提出自己提供的服务是否对其做出了实质性的响应。</w:t>
      </w:r>
    </w:p>
    <w:p w14:paraId="659795AF">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88" w:name="_Toc245897291"/>
      <w:bookmarkStart w:id="89" w:name="_Toc243906330"/>
      <w:bookmarkStart w:id="90" w:name="_Toc233274831"/>
      <w:bookmarkStart w:id="91" w:name="_Toc243907591"/>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、响应文件有效期</w:t>
      </w:r>
      <w:bookmarkEnd w:id="88"/>
      <w:bookmarkEnd w:id="89"/>
      <w:bookmarkEnd w:id="90"/>
      <w:bookmarkEnd w:id="91"/>
    </w:p>
    <w:p w14:paraId="61CA6DF4">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有效期为递交响应文件截止之日起90天（日历日）。供应商的响应文件有效期比规定的有效期短的，将被视为非响应而予以拒绝。</w:t>
      </w:r>
    </w:p>
    <w:p w14:paraId="5142B631">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.2 特殊情况下，在原有效期届满之前，采购人可征得供应商的同意延长其有效期，这种要求与答复均应以书面形式。供应商拒绝延长的，其响应文件失效。同意延长有效期的供应商，既不要求也不允许其修改响应文件</w:t>
      </w:r>
      <w:r>
        <w:rPr>
          <w:rFonts w:hint="eastAsia" w:hAnsi="宋体" w:cs="宋体"/>
          <w:color w:val="auto"/>
          <w:sz w:val="24"/>
          <w:szCs w:val="24"/>
          <w:highlight w:val="none"/>
          <w:lang w:eastAsia="zh-CN"/>
        </w:rPr>
        <w:t>。</w:t>
      </w:r>
    </w:p>
    <w:bookmarkEnd w:id="57"/>
    <w:p w14:paraId="320F47C5">
      <w:pPr>
        <w:pStyle w:val="33"/>
        <w:spacing w:line="360" w:lineRule="auto"/>
        <w:ind w:firstLine="480" w:firstLineChars="200"/>
        <w:outlineLvl w:val="1"/>
        <w:rPr>
          <w:rFonts w:hint="eastAsia" w:ascii="宋体" w:hAnsi="宋体" w:eastAsia="宋体" w:cs="宋体"/>
          <w:color w:val="auto"/>
          <w:sz w:val="24"/>
          <w:highlight w:val="none"/>
        </w:rPr>
      </w:pPr>
      <w:bookmarkStart w:id="92" w:name="_Toc243906331"/>
      <w:bookmarkStart w:id="93" w:name="_Toc245897292"/>
      <w:bookmarkStart w:id="94" w:name="_Toc233274832"/>
      <w:bookmarkStart w:id="95" w:name="_Toc243907592"/>
      <w:bookmarkStart w:id="96" w:name="_Toc243907594"/>
      <w:bookmarkStart w:id="97" w:name="_Toc233274834"/>
      <w:bookmarkStart w:id="98" w:name="_Toc243906333"/>
      <w:bookmarkStart w:id="99" w:name="_Toc246216203"/>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、响应文件的签署及规定</w:t>
      </w:r>
      <w:bookmarkEnd w:id="92"/>
      <w:bookmarkEnd w:id="93"/>
      <w:bookmarkEnd w:id="94"/>
      <w:bookmarkEnd w:id="95"/>
    </w:p>
    <w:p w14:paraId="40F6A55C">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b/>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.1供应商应提交本须知第1</w:t>
      </w:r>
      <w:r>
        <w:rPr>
          <w:rFonts w:hint="eastAsia" w:ascii="宋体" w:hAnsi="宋体" w:eastAsia="宋体" w:cs="宋体"/>
          <w:color w:val="auto"/>
          <w:w w:val="100"/>
          <w:sz w:val="24"/>
          <w:highlight w:val="none"/>
          <w:lang w:val="en-US" w:eastAsia="zh-CN"/>
        </w:rPr>
        <w:t>4</w:t>
      </w:r>
      <w:r>
        <w:rPr>
          <w:rFonts w:hint="eastAsia" w:ascii="宋体" w:hAnsi="宋体" w:eastAsia="宋体" w:cs="宋体"/>
          <w:color w:val="auto"/>
          <w:w w:val="100"/>
          <w:sz w:val="24"/>
          <w:highlight w:val="none"/>
        </w:rPr>
        <w:t>条规定的</w:t>
      </w:r>
      <w:r>
        <w:rPr>
          <w:rFonts w:hint="eastAsia" w:ascii="宋体" w:hAnsi="宋体" w:eastAsia="宋体" w:cs="宋体"/>
          <w:b/>
          <w:color w:val="auto"/>
          <w:w w:val="100"/>
          <w:sz w:val="24"/>
          <w:highlight w:val="none"/>
        </w:rPr>
        <w:t>书面响应文件</w:t>
      </w:r>
      <w:r>
        <w:rPr>
          <w:rFonts w:hint="eastAsia" w:ascii="宋体" w:hAnsi="宋体" w:eastAsia="宋体" w:cs="宋体"/>
          <w:b/>
          <w:color w:val="auto"/>
          <w:w w:val="100"/>
          <w:sz w:val="24"/>
          <w:highlight w:val="none"/>
          <w:lang w:eastAsia="zh-CN"/>
        </w:rPr>
        <w:t>一式肆份</w:t>
      </w:r>
      <w:r>
        <w:rPr>
          <w:rFonts w:hint="eastAsia" w:ascii="宋体" w:hAnsi="宋体" w:eastAsia="宋体" w:cs="宋体"/>
          <w:color w:val="auto"/>
          <w:w w:val="100"/>
          <w:sz w:val="24"/>
          <w:highlight w:val="none"/>
        </w:rPr>
        <w:t>，其中：</w:t>
      </w:r>
      <w:r>
        <w:rPr>
          <w:rFonts w:hint="eastAsia" w:ascii="宋体" w:hAnsi="宋体" w:eastAsia="宋体" w:cs="宋体"/>
          <w:b/>
          <w:color w:val="auto"/>
          <w:w w:val="100"/>
          <w:sz w:val="24"/>
          <w:highlight w:val="none"/>
          <w:u w:val="single"/>
        </w:rPr>
        <w:t>壹份正本</w:t>
      </w:r>
      <w:r>
        <w:rPr>
          <w:rFonts w:hint="eastAsia" w:ascii="宋体" w:hAnsi="宋体" w:eastAsia="宋体" w:cs="宋体"/>
          <w:b/>
          <w:color w:val="auto"/>
          <w:w w:val="100"/>
          <w:sz w:val="24"/>
          <w:highlight w:val="none"/>
        </w:rPr>
        <w:t>和</w:t>
      </w:r>
      <w:r>
        <w:rPr>
          <w:rFonts w:hint="eastAsia" w:ascii="宋体" w:hAnsi="宋体" w:eastAsia="宋体" w:cs="宋体"/>
          <w:b/>
          <w:color w:val="auto"/>
          <w:w w:val="100"/>
          <w:sz w:val="24"/>
          <w:highlight w:val="none"/>
          <w:u w:val="single"/>
          <w:lang w:eastAsia="zh-CN"/>
        </w:rPr>
        <w:t>叁份副本</w:t>
      </w:r>
      <w:r>
        <w:rPr>
          <w:rFonts w:hint="eastAsia" w:ascii="宋体" w:hAnsi="宋体" w:eastAsia="宋体" w:cs="宋体"/>
          <w:color w:val="auto"/>
          <w:w w:val="100"/>
          <w:sz w:val="24"/>
          <w:highlight w:val="none"/>
        </w:rPr>
        <w:t>，</w:t>
      </w:r>
      <w:r>
        <w:rPr>
          <w:rFonts w:hint="eastAsia" w:hAnsi="宋体" w:cs="宋体"/>
          <w:b/>
          <w:color w:val="auto"/>
          <w:w w:val="100"/>
          <w:sz w:val="24"/>
          <w:highlight w:val="none"/>
          <w:lang w:val="en-US" w:eastAsia="zh-CN"/>
        </w:rPr>
        <w:t>电子版（光盘或U盘）壹份，</w:t>
      </w:r>
      <w:r>
        <w:rPr>
          <w:rFonts w:hint="eastAsia" w:ascii="宋体" w:hAnsi="宋体" w:eastAsia="宋体" w:cs="宋体"/>
          <w:color w:val="auto"/>
          <w:w w:val="100"/>
          <w:sz w:val="24"/>
          <w:highlight w:val="none"/>
        </w:rPr>
        <w:t>在每一份响应文件上应明确注明“正本”或“副本”字样，如正、副本之间有差异，以正本为准。</w:t>
      </w:r>
    </w:p>
    <w:p w14:paraId="41D1F76D">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.2响应文件正本和副本须打印并由法定代表人或委托代理人签字或盖章。响应文件应加盖供应商的公章。</w:t>
      </w:r>
    </w:p>
    <w:p w14:paraId="6952C16D">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.3 除供应商对错误做必要修改外，响应文件中不许有增删、涂改或改写。若确有修改必须由签署响应文件的委托代理人签字或盖章。</w:t>
      </w:r>
    </w:p>
    <w:p w14:paraId="51B457A7">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.4响应文件副本的上述签名及盖章之处既可由供应商的法定代表人或其委托代理人签字或盖章，也可通过复印正本将上述签名及盖章复制到副本上。</w:t>
      </w:r>
    </w:p>
    <w:p w14:paraId="6C18C81E">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.5 采购人概不接受电报、电传、电话、邮寄以及电子邮件等方式的磋商。</w:t>
      </w:r>
    </w:p>
    <w:p w14:paraId="4EF157E9">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p>
    <w:p w14:paraId="475B44B9">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D  响应文件的递交、修改和撤回</w:t>
      </w:r>
      <w:bookmarkEnd w:id="96"/>
      <w:bookmarkEnd w:id="97"/>
      <w:bookmarkEnd w:id="98"/>
      <w:bookmarkEnd w:id="99"/>
    </w:p>
    <w:p w14:paraId="7F34DCD9">
      <w:pPr>
        <w:pStyle w:val="33"/>
        <w:wordWrap/>
        <w:spacing w:line="360" w:lineRule="auto"/>
        <w:ind w:firstLine="482" w:firstLineChars="200"/>
        <w:jc w:val="center"/>
        <w:rPr>
          <w:rFonts w:hint="eastAsia" w:ascii="宋体" w:hAnsi="宋体" w:eastAsia="宋体" w:cs="宋体"/>
          <w:b/>
          <w:bCs/>
          <w:color w:val="auto"/>
          <w:sz w:val="24"/>
          <w:highlight w:val="none"/>
        </w:rPr>
      </w:pPr>
    </w:p>
    <w:p w14:paraId="0A9E61A2">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23、响应文件的密封和标记</w:t>
      </w:r>
    </w:p>
    <w:p w14:paraId="6DF1AB69">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b/>
          <w:color w:val="auto"/>
          <w:w w:val="100"/>
          <w:sz w:val="21"/>
          <w:highlight w:val="none"/>
        </w:rPr>
      </w:pPr>
      <w:r>
        <w:rPr>
          <w:rFonts w:hint="eastAsia" w:ascii="宋体" w:hAnsi="宋体" w:eastAsia="宋体" w:cs="宋体"/>
          <w:color w:val="auto"/>
          <w:w w:val="100"/>
          <w:sz w:val="24"/>
          <w:highlight w:val="none"/>
        </w:rPr>
        <w:t>23.1</w:t>
      </w:r>
      <w:r>
        <w:rPr>
          <w:rFonts w:hint="eastAsia" w:ascii="宋体" w:hAnsi="宋体" w:eastAsia="宋体" w:cs="宋体"/>
          <w:b/>
          <w:color w:val="auto"/>
          <w:w w:val="100"/>
          <w:sz w:val="24"/>
          <w:highlight w:val="none"/>
        </w:rPr>
        <w:t>响应文件均按A4复印纸页面编制、装订。所有响应文件均为明标。</w:t>
      </w:r>
    </w:p>
    <w:p w14:paraId="0EA47FF2">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b/>
          <w:color w:val="auto"/>
          <w:w w:val="100"/>
          <w:sz w:val="24"/>
          <w:highlight w:val="none"/>
        </w:rPr>
      </w:pPr>
      <w:r>
        <w:rPr>
          <w:rFonts w:hint="eastAsia" w:ascii="宋体" w:hAnsi="宋体" w:eastAsia="宋体" w:cs="宋体"/>
          <w:color w:val="auto"/>
          <w:w w:val="100"/>
          <w:sz w:val="24"/>
          <w:highlight w:val="none"/>
        </w:rPr>
        <w:t>23.2</w:t>
      </w:r>
      <w:r>
        <w:rPr>
          <w:rFonts w:hint="eastAsia" w:ascii="宋体" w:hAnsi="宋体" w:eastAsia="宋体" w:cs="宋体"/>
          <w:b/>
          <w:color w:val="auto"/>
          <w:w w:val="100"/>
          <w:sz w:val="24"/>
          <w:highlight w:val="none"/>
        </w:rPr>
        <w:t>供应商应将响应文件装订、密封，并在密封处加盖供应商公章。</w:t>
      </w:r>
    </w:p>
    <w:p w14:paraId="73D7FD6B">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23.3响应文件密封袋上均应写明“采购人”、“项目名称”、“磋商文件编号”、“供应商名称”和“地址”等事项并注明“开启前不准启封”等字样。</w:t>
      </w:r>
    </w:p>
    <w:p w14:paraId="2ED01F0A">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w w:val="100"/>
          <w:sz w:val="24"/>
          <w:highlight w:val="none"/>
        </w:rPr>
        <w:t>23.4未按本要求密封、标记的响应文件，采购人（或采购代理机构）不对后果负责。</w:t>
      </w:r>
    </w:p>
    <w:p w14:paraId="3B7367A8">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24、递交响应文件截止时间</w:t>
      </w:r>
    </w:p>
    <w:p w14:paraId="2BC292B5">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24.1 所有响应文件都必须按采购人在供应商须知前附表中规定的截止时间之前送达。</w:t>
      </w:r>
    </w:p>
    <w:p w14:paraId="4A6218D8">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24.2出现因磋商文件的修改推迟截止日期时，则按采购代理机构修改通知规定的时间递交响应文件。在此情况下，采购人和采购代理机构与供应商之间受截止期制约的所有权利和义务应延长至新的截止期。</w:t>
      </w:r>
    </w:p>
    <w:p w14:paraId="6ADF14FF">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25、迟交的响应文件</w:t>
      </w:r>
    </w:p>
    <w:p w14:paraId="38EC9829">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25.1 采购人将拒绝并原封退回在其规定的截止时间后送达的响应文件。</w:t>
      </w:r>
    </w:p>
    <w:p w14:paraId="6F6C0A70">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26、响应文件的修改和撤回</w:t>
      </w:r>
    </w:p>
    <w:p w14:paraId="28323B98">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26.1 供应商在提交响应文件后可在截止时间前对其响应文件进行修改或撤回，但采购人须在截止时间之前收到该修改或撤回的书面通知，该通知须有法定代表人或经有效授权的委托代理人签字或盖章。</w:t>
      </w:r>
    </w:p>
    <w:p w14:paraId="1AE9C961">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26.2 供应商对响应文件修改的书面材料或撤回的通知应按第2</w:t>
      </w:r>
      <w:r>
        <w:rPr>
          <w:rFonts w:hint="eastAsia" w:ascii="宋体" w:hAnsi="宋体" w:eastAsia="宋体" w:cs="宋体"/>
          <w:color w:val="auto"/>
          <w:w w:val="100"/>
          <w:sz w:val="24"/>
          <w:highlight w:val="none"/>
          <w:lang w:val="en-US" w:eastAsia="zh-CN"/>
        </w:rPr>
        <w:t>3</w:t>
      </w:r>
      <w:r>
        <w:rPr>
          <w:rFonts w:hint="eastAsia" w:ascii="宋体" w:hAnsi="宋体" w:eastAsia="宋体" w:cs="宋体"/>
          <w:color w:val="auto"/>
          <w:w w:val="100"/>
          <w:sz w:val="24"/>
          <w:highlight w:val="none"/>
        </w:rPr>
        <w:t>条和第2</w:t>
      </w:r>
      <w:r>
        <w:rPr>
          <w:rFonts w:hint="eastAsia" w:ascii="宋体" w:hAnsi="宋体" w:eastAsia="宋体" w:cs="宋体"/>
          <w:color w:val="auto"/>
          <w:w w:val="100"/>
          <w:sz w:val="24"/>
          <w:highlight w:val="none"/>
          <w:lang w:val="en-US" w:eastAsia="zh-CN"/>
        </w:rPr>
        <w:t>4</w:t>
      </w:r>
      <w:r>
        <w:rPr>
          <w:rFonts w:hint="eastAsia" w:ascii="宋体" w:hAnsi="宋体" w:eastAsia="宋体" w:cs="宋体"/>
          <w:color w:val="auto"/>
          <w:w w:val="100"/>
          <w:sz w:val="24"/>
          <w:highlight w:val="none"/>
        </w:rPr>
        <w:t>条规定进行编写、密封、标记和递交，并注明“修改响应文件”或“撤回响应文件”字样。</w:t>
      </w:r>
    </w:p>
    <w:p w14:paraId="61CF4485">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6</w:t>
      </w:r>
      <w:r>
        <w:rPr>
          <w:rFonts w:hint="eastAsia" w:ascii="宋体" w:hAnsi="宋体" w:eastAsia="宋体" w:cs="宋体"/>
          <w:color w:val="auto"/>
          <w:w w:val="100"/>
          <w:sz w:val="24"/>
          <w:highlight w:val="none"/>
        </w:rPr>
        <w:t>.3截止时间之后，供应商不得对响应文件做任何修改。</w:t>
      </w:r>
    </w:p>
    <w:p w14:paraId="731B3F42">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6</w:t>
      </w:r>
      <w:r>
        <w:rPr>
          <w:rFonts w:hint="eastAsia" w:ascii="宋体" w:hAnsi="宋体" w:eastAsia="宋体" w:cs="宋体"/>
          <w:color w:val="auto"/>
          <w:w w:val="100"/>
          <w:sz w:val="24"/>
          <w:highlight w:val="none"/>
        </w:rPr>
        <w:t>.4 供应商不得在截止时间起至响应文件有效期期满前撤回响应文件。</w:t>
      </w:r>
    </w:p>
    <w:p w14:paraId="438A851F">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27、递交响应文件</w:t>
      </w:r>
    </w:p>
    <w:p w14:paraId="079FD9DF">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27.1供应商应按本供应商须知前附表规定的时间及地点递交响应文件。</w:t>
      </w:r>
    </w:p>
    <w:p w14:paraId="14B86334">
      <w:pPr>
        <w:pageBreakBefore w:val="0"/>
        <w:kinsoku/>
        <w:wordWrap/>
        <w:topLinePunct w:val="0"/>
        <w:autoSpaceDE/>
        <w:autoSpaceDN/>
        <w:bidi w:val="0"/>
        <w:adjustRightInd/>
        <w:snapToGrid w:val="0"/>
        <w:spacing w:before="0" w:after="0" w:line="360" w:lineRule="auto"/>
        <w:ind w:left="0" w:firstLine="482"/>
        <w:jc w:val="both"/>
        <w:rPr>
          <w:rFonts w:hint="eastAsia" w:ascii="宋体" w:hAnsi="宋体" w:eastAsia="宋体" w:cs="宋体"/>
          <w:b/>
          <w:color w:val="auto"/>
          <w:w w:val="100"/>
          <w:sz w:val="24"/>
          <w:highlight w:val="none"/>
        </w:rPr>
      </w:pPr>
      <w:r>
        <w:rPr>
          <w:rFonts w:hint="eastAsia" w:ascii="宋体" w:hAnsi="宋体" w:eastAsia="宋体" w:cs="宋体"/>
          <w:b/>
          <w:color w:val="auto"/>
          <w:w w:val="100"/>
          <w:sz w:val="24"/>
          <w:highlight w:val="none"/>
        </w:rPr>
        <w:t>27.2有下列情形之一的，采购人不予接收其响应文件：</w:t>
      </w:r>
    </w:p>
    <w:p w14:paraId="654E6DE8">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27.2.1供应商在递交响应文件截止时间后送达或未送达到指定地点的响应文件；</w:t>
      </w:r>
    </w:p>
    <w:p w14:paraId="12EFECD8">
      <w:pPr>
        <w:keepNext w:val="0"/>
        <w:keepLines w:val="0"/>
        <w:pageBreakBefore w:val="0"/>
        <w:kinsoku/>
        <w:wordWrap/>
        <w:overflowPunct/>
        <w:topLinePunct w:val="0"/>
        <w:autoSpaceDE/>
        <w:autoSpaceDN/>
        <w:bidi w:val="0"/>
        <w:spacing w:line="360" w:lineRule="auto"/>
        <w:ind w:right="0" w:rightChars="0" w:firstLine="480" w:firstLineChars="200"/>
        <w:rPr>
          <w:rFonts w:hint="eastAsia" w:ascii="宋体" w:hAnsi="宋体" w:eastAsia="宋体" w:cs="宋体"/>
          <w:b/>
          <w:bCs/>
          <w:color w:val="auto"/>
          <w:sz w:val="24"/>
          <w:highlight w:val="none"/>
        </w:rPr>
      </w:pPr>
      <w:r>
        <w:rPr>
          <w:rFonts w:hint="eastAsia" w:ascii="宋体" w:hAnsi="宋体" w:eastAsia="宋体" w:cs="宋体"/>
          <w:color w:val="auto"/>
          <w:w w:val="100"/>
          <w:sz w:val="24"/>
          <w:highlight w:val="none"/>
        </w:rPr>
        <w:t>27.2.2 响应文件未按磋商文件要求密封的。</w:t>
      </w:r>
    </w:p>
    <w:p w14:paraId="3B746D4C">
      <w:pPr>
        <w:pStyle w:val="70"/>
        <w:rPr>
          <w:rFonts w:hint="eastAsia"/>
          <w:color w:val="auto"/>
          <w:highlight w:val="none"/>
        </w:rPr>
      </w:pPr>
    </w:p>
    <w:p w14:paraId="10D0D9E8">
      <w:pPr>
        <w:wordWrap/>
        <w:spacing w:line="360" w:lineRule="auto"/>
        <w:ind w:firstLine="562" w:firstLineChars="200"/>
        <w:jc w:val="center"/>
        <w:outlineLvl w:val="1"/>
        <w:rPr>
          <w:rFonts w:hint="eastAsia" w:ascii="宋体" w:hAnsi="宋体" w:eastAsia="宋体" w:cs="宋体"/>
          <w:b/>
          <w:bCs/>
          <w:color w:val="auto"/>
          <w:sz w:val="28"/>
          <w:szCs w:val="28"/>
          <w:highlight w:val="none"/>
        </w:rPr>
      </w:pPr>
      <w:bookmarkStart w:id="100" w:name="_Toc246216209"/>
      <w:bookmarkStart w:id="101" w:name="_Toc243906339"/>
      <w:bookmarkStart w:id="102" w:name="_Toc233274840"/>
      <w:bookmarkStart w:id="103" w:name="_Toc243907600"/>
      <w:r>
        <w:rPr>
          <w:rFonts w:hint="eastAsia" w:ascii="宋体" w:hAnsi="宋体" w:eastAsia="宋体" w:cs="宋体"/>
          <w:b/>
          <w:bCs/>
          <w:color w:val="auto"/>
          <w:sz w:val="28"/>
          <w:szCs w:val="28"/>
          <w:highlight w:val="none"/>
        </w:rPr>
        <w:t xml:space="preserve">E  </w:t>
      </w:r>
      <w:bookmarkEnd w:id="100"/>
      <w:bookmarkEnd w:id="101"/>
      <w:bookmarkEnd w:id="102"/>
      <w:bookmarkEnd w:id="103"/>
      <w:r>
        <w:rPr>
          <w:rFonts w:hint="eastAsia" w:ascii="宋体" w:hAnsi="宋体" w:eastAsia="宋体" w:cs="宋体"/>
          <w:b/>
          <w:bCs/>
          <w:color w:val="auto"/>
          <w:sz w:val="28"/>
          <w:szCs w:val="28"/>
          <w:highlight w:val="none"/>
        </w:rPr>
        <w:t>磋商、评审、确定成交供应商</w:t>
      </w:r>
    </w:p>
    <w:p w14:paraId="31237579">
      <w:pPr>
        <w:wordWrap/>
        <w:spacing w:line="360" w:lineRule="auto"/>
        <w:ind w:firstLine="480" w:firstLineChars="200"/>
        <w:rPr>
          <w:rFonts w:hint="eastAsia" w:ascii="宋体" w:hAnsi="宋体" w:eastAsia="宋体" w:cs="宋体"/>
          <w:color w:val="auto"/>
          <w:sz w:val="24"/>
          <w:szCs w:val="20"/>
          <w:highlight w:val="none"/>
        </w:rPr>
      </w:pPr>
    </w:p>
    <w:p w14:paraId="5FED01FC">
      <w:pPr>
        <w:keepNext w:val="0"/>
        <w:keepLines w:val="0"/>
        <w:pageBreakBefore w:val="0"/>
        <w:kinsoku/>
        <w:wordWrap/>
        <w:overflowPunct/>
        <w:topLinePunct w:val="0"/>
        <w:autoSpaceDE/>
        <w:autoSpaceDN/>
        <w:bidi w:val="0"/>
        <w:spacing w:line="360" w:lineRule="auto"/>
        <w:ind w:right="0" w:rightChars="0" w:firstLine="480" w:firstLineChars="200"/>
        <w:outlineLvl w:val="1"/>
        <w:rPr>
          <w:rFonts w:hint="eastAsia" w:ascii="宋体" w:hAnsi="宋体" w:eastAsia="宋体" w:cs="宋体"/>
          <w:color w:val="auto"/>
          <w:sz w:val="24"/>
          <w:szCs w:val="20"/>
          <w:highlight w:val="none"/>
        </w:rPr>
      </w:pPr>
      <w:bookmarkStart w:id="104" w:name="_Toc233274841"/>
      <w:bookmarkStart w:id="105" w:name="_Toc245897301"/>
      <w:bookmarkStart w:id="106" w:name="_Toc243906340"/>
      <w:bookmarkStart w:id="107" w:name="_Toc243907601"/>
      <w:r>
        <w:rPr>
          <w:rFonts w:hint="eastAsia" w:ascii="宋体" w:hAnsi="宋体" w:eastAsia="宋体" w:cs="宋体"/>
          <w:color w:val="auto"/>
          <w:sz w:val="24"/>
          <w:szCs w:val="20"/>
          <w:highlight w:val="none"/>
        </w:rPr>
        <w:t>28、</w:t>
      </w:r>
      <w:bookmarkEnd w:id="104"/>
      <w:bookmarkEnd w:id="105"/>
      <w:bookmarkEnd w:id="106"/>
      <w:bookmarkEnd w:id="107"/>
      <w:r>
        <w:rPr>
          <w:rFonts w:hint="eastAsia" w:ascii="宋体" w:hAnsi="宋体" w:eastAsia="宋体" w:cs="宋体"/>
          <w:color w:val="auto"/>
          <w:sz w:val="24"/>
          <w:szCs w:val="20"/>
          <w:highlight w:val="none"/>
        </w:rPr>
        <w:t>磋商会议</w:t>
      </w:r>
    </w:p>
    <w:p w14:paraId="3ED89776">
      <w:pPr>
        <w:keepNext w:val="0"/>
        <w:keepLines w:val="0"/>
        <w:pageBreakBefore w:val="0"/>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28.1采购人在本供应商须知前附表规定的时间和地点组织磋商会议。</w:t>
      </w:r>
    </w:p>
    <w:p w14:paraId="252FE5B2">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28.2供应商应委派代表参加磋商会议。</w:t>
      </w:r>
      <w:r>
        <w:rPr>
          <w:rFonts w:hint="eastAsia" w:ascii="宋体" w:hAnsi="宋体" w:eastAsia="宋体" w:cs="宋体"/>
          <w:b/>
          <w:color w:val="auto"/>
          <w:w w:val="100"/>
          <w:sz w:val="24"/>
          <w:highlight w:val="none"/>
        </w:rPr>
        <w:t>参加磋商会议的代表应持有法定代表人身份证原件或法定代表人授权委托书及委托代理人身份证原件</w:t>
      </w:r>
      <w:r>
        <w:rPr>
          <w:rFonts w:hint="eastAsia" w:ascii="宋体" w:hAnsi="宋体" w:eastAsia="宋体" w:cs="宋体"/>
          <w:color w:val="auto"/>
          <w:w w:val="100"/>
          <w:sz w:val="24"/>
          <w:highlight w:val="none"/>
        </w:rPr>
        <w:t>。</w:t>
      </w:r>
    </w:p>
    <w:p w14:paraId="48FACB56">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28.3磋商会议由采购代理机构组织并主持。</w:t>
      </w:r>
    </w:p>
    <w:p w14:paraId="67B3DD82">
      <w:pPr>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w w:val="100"/>
          <w:sz w:val="24"/>
          <w:highlight w:val="none"/>
        </w:rPr>
        <w:t>28.4在磋商过程中，工作人员如发现响应文件组成部分不齐全，由磋商小组认定其有效性。磋商小组认定的无效响应文件将不进入磋商、评审阶段</w:t>
      </w:r>
      <w:r>
        <w:rPr>
          <w:rFonts w:hint="eastAsia" w:ascii="宋体" w:hAnsi="宋体" w:eastAsia="宋体" w:cs="宋体"/>
          <w:color w:val="auto"/>
          <w:sz w:val="24"/>
          <w:highlight w:val="none"/>
        </w:rPr>
        <w:t>。</w:t>
      </w:r>
    </w:p>
    <w:p w14:paraId="756F3F94">
      <w:pPr>
        <w:keepNext w:val="0"/>
        <w:keepLines w:val="0"/>
        <w:pageBreakBefore w:val="0"/>
        <w:kinsoku/>
        <w:wordWrap/>
        <w:overflowPunct/>
        <w:topLinePunct w:val="0"/>
        <w:autoSpaceDE/>
        <w:autoSpaceDN/>
        <w:bidi w:val="0"/>
        <w:spacing w:line="360" w:lineRule="auto"/>
        <w:ind w:right="0" w:rightChars="0" w:firstLine="480" w:firstLineChars="200"/>
        <w:outlineLvl w:val="1"/>
        <w:rPr>
          <w:rFonts w:hint="eastAsia" w:ascii="宋体" w:hAnsi="宋体" w:eastAsia="宋体" w:cs="宋体"/>
          <w:color w:val="auto"/>
          <w:sz w:val="24"/>
          <w:szCs w:val="20"/>
          <w:highlight w:val="none"/>
        </w:rPr>
      </w:pPr>
      <w:bookmarkStart w:id="108" w:name="_Toc233274842"/>
      <w:bookmarkStart w:id="109" w:name="_Toc243906341"/>
      <w:bookmarkStart w:id="110" w:name="_Toc245897302"/>
      <w:bookmarkStart w:id="111" w:name="_Toc243907602"/>
      <w:r>
        <w:rPr>
          <w:rFonts w:hint="eastAsia" w:ascii="宋体" w:hAnsi="宋体" w:eastAsia="宋体" w:cs="宋体"/>
          <w:color w:val="auto"/>
          <w:sz w:val="24"/>
          <w:szCs w:val="20"/>
          <w:highlight w:val="none"/>
        </w:rPr>
        <w:t>29、磋商小组</w:t>
      </w:r>
      <w:bookmarkEnd w:id="108"/>
      <w:bookmarkEnd w:id="109"/>
      <w:bookmarkEnd w:id="110"/>
      <w:bookmarkEnd w:id="111"/>
    </w:p>
    <w:p w14:paraId="43EE5EBC">
      <w:pPr>
        <w:widowControl/>
        <w:wordWrap/>
        <w:adjustRightInd/>
        <w:snapToGrid/>
        <w:spacing w:line="360" w:lineRule="auto"/>
        <w:ind w:firstLine="480" w:firstLineChars="200"/>
        <w:jc w:val="lef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29.1磋商小组成员组成：按照</w:t>
      </w:r>
      <w:r>
        <w:rPr>
          <w:rFonts w:hint="eastAsia" w:ascii="宋体" w:hAnsi="宋体" w:eastAsia="宋体" w:cs="宋体"/>
          <w:color w:val="auto"/>
          <w:sz w:val="24"/>
          <w:highlight w:val="none"/>
        </w:rPr>
        <w:t>《中华人民共和国政府采购法》、《政府采购竞争性磋商采购方式管理暂行办法》</w:t>
      </w:r>
      <w:r>
        <w:rPr>
          <w:rFonts w:hint="eastAsia" w:ascii="宋体" w:hAnsi="宋体" w:eastAsia="宋体" w:cs="宋体"/>
          <w:color w:val="auto"/>
          <w:sz w:val="24"/>
          <w:szCs w:val="20"/>
          <w:highlight w:val="none"/>
        </w:rPr>
        <w:t>及相关法律、法规规定组建</w:t>
      </w:r>
      <w:r>
        <w:rPr>
          <w:rFonts w:hint="eastAsia" w:ascii="宋体" w:hAnsi="宋体" w:eastAsia="宋体" w:cs="宋体"/>
          <w:color w:val="auto"/>
          <w:sz w:val="24"/>
          <w:highlight w:val="none"/>
        </w:rPr>
        <w:t>，由采购人代表和评审专家组成</w:t>
      </w:r>
      <w:r>
        <w:rPr>
          <w:rFonts w:hint="eastAsia" w:ascii="宋体" w:hAnsi="宋体" w:eastAsia="宋体" w:cs="宋体"/>
          <w:color w:val="auto"/>
          <w:sz w:val="24"/>
          <w:szCs w:val="20"/>
          <w:highlight w:val="none"/>
        </w:rPr>
        <w:t>。磋商小组将负责对供应商提交的响应文件进行磋商、评审，确保磋商、评审过程公正、合法、保密，并向采购人推荐成交供应商。</w:t>
      </w:r>
    </w:p>
    <w:p w14:paraId="7F3BBA8D">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0"/>
          <w:highlight w:val="none"/>
        </w:rPr>
      </w:pPr>
      <w:bookmarkStart w:id="112" w:name="_Toc243906346"/>
      <w:bookmarkStart w:id="113" w:name="_Toc245897306"/>
      <w:bookmarkStart w:id="114" w:name="_Toc233274845"/>
      <w:bookmarkStart w:id="115" w:name="_Toc243907607"/>
      <w:bookmarkStart w:id="116" w:name="_Toc243906344"/>
      <w:bookmarkStart w:id="117" w:name="_Toc245897304"/>
      <w:bookmarkStart w:id="118" w:name="_Toc233274843"/>
      <w:bookmarkStart w:id="119" w:name="_Toc243907605"/>
      <w:r>
        <w:rPr>
          <w:rFonts w:hint="eastAsia" w:ascii="宋体" w:hAnsi="宋体" w:eastAsia="宋体" w:cs="宋体"/>
          <w:color w:val="auto"/>
          <w:sz w:val="24"/>
          <w:szCs w:val="20"/>
          <w:highlight w:val="none"/>
        </w:rPr>
        <w:t>30、磋商</w:t>
      </w:r>
    </w:p>
    <w:p w14:paraId="7C8FE516">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14:paraId="4F5ADF31">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14:paraId="5BB1CC01">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30.3供应商应当按照磋商文件的变动情况和磋商小组的要求重新提交响应文件，并由其法定代表或委托代理人签字或者加盖公章。由委托代理人签字的，应当附法定代表授权书。</w:t>
      </w:r>
    </w:p>
    <w:p w14:paraId="34438E2D">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30.4磋商文件能够详细列明采购标的的技术、服务要求的，磋商小组在磋商结束后，磋商小组应当要求所有实质性响应的供应商在规定时间内提交最后报价，最后报价是供应商响应文件的有效组成部分。</w:t>
      </w:r>
    </w:p>
    <w:p w14:paraId="37F0CA84">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14:paraId="2B89F4DB">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30.6已提交响应文件的供应商，在提交最后报价之前，可以根据磋商情况退出磋商。</w:t>
      </w:r>
    </w:p>
    <w:p w14:paraId="3EE764BA">
      <w:pPr>
        <w:keepNext w:val="0"/>
        <w:keepLines w:val="0"/>
        <w:pageBreakBefore w:val="0"/>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30.7</w:t>
      </w:r>
      <w:r>
        <w:rPr>
          <w:rFonts w:hint="eastAsia" w:ascii="宋体" w:hAnsi="宋体" w:eastAsia="宋体" w:cs="宋体"/>
          <w:color w:val="auto"/>
          <w:sz w:val="24"/>
          <w:szCs w:val="20"/>
          <w:highlight w:val="none"/>
        </w:rPr>
        <w:t>磋商小组判断响应文件的响应性仅基于响应文件本身而不依靠任何外部证据，但响应文件有不真实、不正确的内容除外。</w:t>
      </w:r>
    </w:p>
    <w:p w14:paraId="70E42444">
      <w:pPr>
        <w:wordWrap/>
        <w:adjustRightInd/>
        <w:snapToGrid/>
        <w:spacing w:line="360" w:lineRule="auto"/>
        <w:ind w:firstLine="480" w:firstLineChars="200"/>
        <w:jc w:val="lef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30.8如果响应文件实质上没有响应磋商文件的要求，磋商小组将予以拒绝，供应商不得通过修正或撤消不符合要求的偏离或保留，而使其成为实质上响应。</w:t>
      </w:r>
    </w:p>
    <w:p w14:paraId="31F0E92A">
      <w:pPr>
        <w:spacing w:line="360" w:lineRule="auto"/>
        <w:ind w:firstLine="480" w:firstLineChars="200"/>
        <w:outlineLvl w:val="1"/>
        <w:rPr>
          <w:rFonts w:hint="eastAsia" w:ascii="宋体" w:hAnsi="宋体" w:cs="宋体"/>
          <w:color w:val="auto"/>
          <w:sz w:val="24"/>
          <w:highlight w:val="none"/>
        </w:rPr>
      </w:pPr>
      <w:bookmarkStart w:id="120" w:name="_Toc245897305"/>
      <w:bookmarkStart w:id="121" w:name="_Toc224623557"/>
      <w:bookmarkStart w:id="122" w:name="_Toc243907606"/>
      <w:bookmarkStart w:id="123" w:name="_Toc224620071"/>
      <w:bookmarkStart w:id="124" w:name="_Toc224622928"/>
      <w:bookmarkStart w:id="125" w:name="_Toc224624628"/>
      <w:bookmarkStart w:id="126" w:name="_Toc224624488"/>
      <w:bookmarkStart w:id="127" w:name="_Toc224623451"/>
      <w:bookmarkStart w:id="128" w:name="_Toc224620150"/>
      <w:bookmarkStart w:id="129" w:name="_Toc224623663"/>
      <w:bookmarkStart w:id="130" w:name="_Toc224624767"/>
      <w:bookmarkStart w:id="131" w:name="_Toc243906345"/>
      <w:r>
        <w:rPr>
          <w:rFonts w:hint="eastAsia" w:ascii="宋体" w:hAnsi="宋体" w:cs="宋体"/>
          <w:color w:val="auto"/>
          <w:sz w:val="24"/>
          <w:highlight w:val="none"/>
        </w:rPr>
        <w:t>31、评审</w:t>
      </w:r>
    </w:p>
    <w:p w14:paraId="61B1B4CD">
      <w:pPr>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color w:val="auto"/>
          <w:sz w:val="24"/>
          <w:highlight w:val="none"/>
        </w:rPr>
        <w:t>31.1经磋商确定最终采购需求和提交最后报价的供应商后，</w:t>
      </w:r>
      <w:r>
        <w:rPr>
          <w:rFonts w:hint="eastAsia" w:ascii="宋体" w:hAnsi="宋体" w:cs="宋体"/>
          <w:b/>
          <w:bCs/>
          <w:color w:val="auto"/>
          <w:sz w:val="24"/>
          <w:highlight w:val="none"/>
        </w:rPr>
        <w:t>由磋商小组采用综合评分法对提交最后报价的供应商响应文件和最后报价进行综合评分。</w:t>
      </w:r>
    </w:p>
    <w:p w14:paraId="7E8A213D">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31.2磋商小组将对实质性响应磋商文件的响应文件进行详细评审和比较。对服务、价格等进行比较，并与磋商文件、项目采购需求和采购人的实际需要进行比较和评价。</w:t>
      </w:r>
    </w:p>
    <w:p w14:paraId="5F087A5E">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31.3商务报价错误的修正</w:t>
      </w:r>
    </w:p>
    <w:p w14:paraId="6BA629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如果发现商务报价存在计算或表达上错误，则按下列原则进行修正：</w:t>
      </w:r>
    </w:p>
    <w:p w14:paraId="1AFCAB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（1）用数字表示的数额与用文字表示的数额不一致时，以文字数额为准；</w:t>
      </w:r>
    </w:p>
    <w:p w14:paraId="3FD52A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（2）单价与工程量的乘积与总价之间不一致时，以单价为准。若单价有明显小数点错位，应以总价为准，并修改单价。</w:t>
      </w:r>
    </w:p>
    <w:p w14:paraId="4A1B478C">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31.4磋商小组将按第31.3条原则修正商务报价，并要求供应商进行确认。确认后的报价和文件将对供应商具有约束力。并以修正后的报价作为评审的依据。</w:t>
      </w:r>
    </w:p>
    <w:bookmarkEnd w:id="120"/>
    <w:bookmarkEnd w:id="121"/>
    <w:bookmarkEnd w:id="122"/>
    <w:bookmarkEnd w:id="123"/>
    <w:bookmarkEnd w:id="124"/>
    <w:bookmarkEnd w:id="125"/>
    <w:bookmarkEnd w:id="126"/>
    <w:bookmarkEnd w:id="127"/>
    <w:bookmarkEnd w:id="128"/>
    <w:bookmarkEnd w:id="129"/>
    <w:bookmarkEnd w:id="130"/>
    <w:bookmarkEnd w:id="131"/>
    <w:p w14:paraId="55AF9387">
      <w:pPr>
        <w:spacing w:line="360" w:lineRule="auto"/>
        <w:ind w:firstLine="480" w:firstLineChars="200"/>
        <w:outlineLvl w:val="1"/>
        <w:rPr>
          <w:rFonts w:hint="eastAsia" w:ascii="宋体" w:hAnsi="宋体" w:cs="宋体"/>
          <w:color w:val="auto"/>
          <w:highlight w:val="none"/>
        </w:rPr>
      </w:pPr>
      <w:r>
        <w:rPr>
          <w:rFonts w:hint="eastAsia" w:ascii="宋体" w:hAnsi="宋体" w:cs="宋体"/>
          <w:color w:val="auto"/>
          <w:sz w:val="24"/>
          <w:highlight w:val="none"/>
        </w:rPr>
        <w:t>32、响应文件的澄清</w:t>
      </w:r>
    </w:p>
    <w:p w14:paraId="558BE8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14:paraId="1933E51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14:paraId="4A8D0A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 磋商小组允许供应商通过澄清答复修正其最后报价中不构成重大偏离的、微小的、非正规的、不一致的或不规范的地方，但这些修正不能影响任何供应商的相关名次排列。</w:t>
      </w:r>
    </w:p>
    <w:p w14:paraId="5EE51EB2">
      <w:pPr>
        <w:spacing w:line="360" w:lineRule="auto"/>
        <w:ind w:firstLine="482" w:firstLineChars="200"/>
        <w:rPr>
          <w:rFonts w:hint="eastAsia" w:ascii="宋体" w:hAnsi="宋体" w:cs="宋体"/>
          <w:color w:val="auto"/>
          <w:sz w:val="24"/>
          <w:szCs w:val="20"/>
          <w:highlight w:val="none"/>
        </w:rPr>
      </w:pPr>
      <w:r>
        <w:rPr>
          <w:rFonts w:hint="eastAsia" w:ascii="宋体" w:hAnsi="宋体" w:cs="宋体"/>
          <w:b/>
          <w:color w:val="auto"/>
          <w:sz w:val="24"/>
          <w:szCs w:val="20"/>
          <w:highlight w:val="none"/>
        </w:rPr>
        <w:t>32.4如果供应商在响应文件中未对磋商文件、技术规格及标准、项目采购需求、合同主要内容等提出偏离意见或澄清，将视同供应商同意上述文件的全部条款和要求。</w:t>
      </w:r>
    </w:p>
    <w:bookmarkEnd w:id="112"/>
    <w:bookmarkEnd w:id="113"/>
    <w:bookmarkEnd w:id="114"/>
    <w:bookmarkEnd w:id="115"/>
    <w:p w14:paraId="6EB1ABCD">
      <w:pPr>
        <w:spacing w:line="360" w:lineRule="auto"/>
        <w:ind w:firstLine="482" w:firstLineChars="200"/>
        <w:outlineLvl w:val="1"/>
        <w:rPr>
          <w:rFonts w:hint="eastAsia" w:ascii="宋体" w:hAnsi="宋体" w:cs="宋体"/>
          <w:color w:val="auto"/>
          <w:sz w:val="24"/>
          <w:szCs w:val="20"/>
          <w:highlight w:val="none"/>
        </w:rPr>
      </w:pPr>
      <w:bookmarkStart w:id="132" w:name="_Toc233274847"/>
      <w:bookmarkStart w:id="133" w:name="_Toc243907609"/>
      <w:bookmarkStart w:id="134" w:name="_Toc243906348"/>
      <w:bookmarkStart w:id="135" w:name="_Toc245897308"/>
      <w:r>
        <w:rPr>
          <w:rFonts w:hint="eastAsia" w:ascii="宋体" w:hAnsi="宋体" w:cs="宋体"/>
          <w:b/>
          <w:color w:val="auto"/>
          <w:sz w:val="24"/>
          <w:szCs w:val="20"/>
          <w:highlight w:val="none"/>
        </w:rPr>
        <w:t>33、重大偏离</w:t>
      </w:r>
    </w:p>
    <w:p w14:paraId="7D63B8FA">
      <w:pPr>
        <w:spacing w:line="360" w:lineRule="auto"/>
        <w:ind w:firstLine="482" w:firstLineChars="200"/>
        <w:rPr>
          <w:rFonts w:hint="eastAsia" w:ascii="宋体" w:hAnsi="宋体" w:cs="宋体"/>
          <w:b/>
          <w:color w:val="auto"/>
          <w:sz w:val="24"/>
          <w:szCs w:val="20"/>
          <w:highlight w:val="none"/>
        </w:rPr>
      </w:pPr>
      <w:bookmarkStart w:id="136" w:name="_Toc243906347"/>
      <w:bookmarkStart w:id="137" w:name="_Toc243907608"/>
      <w:bookmarkStart w:id="138" w:name="_Toc233274846"/>
      <w:bookmarkStart w:id="139" w:name="_Toc245897307"/>
      <w:r>
        <w:rPr>
          <w:rFonts w:hint="eastAsia" w:ascii="宋体" w:hAnsi="宋体" w:cs="宋体"/>
          <w:b/>
          <w:color w:val="auto"/>
          <w:sz w:val="24"/>
          <w:szCs w:val="20"/>
          <w:highlight w:val="none"/>
        </w:rPr>
        <w:t>重大偏离是指实质上影响合同的采购范围、质量和性能、服务</w:t>
      </w:r>
      <w:r>
        <w:rPr>
          <w:rFonts w:hint="eastAsia" w:ascii="宋体" w:hAnsi="宋体" w:cs="宋体"/>
          <w:b/>
          <w:color w:val="auto"/>
          <w:sz w:val="24"/>
          <w:szCs w:val="20"/>
          <w:highlight w:val="none"/>
          <w:lang w:eastAsia="zh-CN"/>
        </w:rPr>
        <w:t>期限</w:t>
      </w:r>
      <w:r>
        <w:rPr>
          <w:rFonts w:hint="eastAsia" w:ascii="宋体" w:hAnsi="宋体" w:cs="宋体"/>
          <w:b/>
          <w:color w:val="auto"/>
          <w:sz w:val="24"/>
          <w:szCs w:val="20"/>
          <w:highlight w:val="none"/>
        </w:rPr>
        <w:t>等，或者实质上不满足磋商文件的要求，而且限制了采购人的</w:t>
      </w:r>
      <w:r>
        <w:rPr>
          <w:rFonts w:hint="eastAsia" w:ascii="宋体" w:hAnsi="宋体" w:cs="宋体"/>
          <w:b/>
          <w:color w:val="auto"/>
          <w:sz w:val="24"/>
          <w:szCs w:val="20"/>
          <w:highlight w:val="none"/>
          <w:lang w:eastAsia="zh-CN"/>
        </w:rPr>
        <w:t>权利</w:t>
      </w:r>
      <w:r>
        <w:rPr>
          <w:rFonts w:hint="eastAsia" w:ascii="宋体" w:hAnsi="宋体" w:cs="宋体"/>
          <w:b/>
          <w:color w:val="auto"/>
          <w:sz w:val="24"/>
          <w:szCs w:val="20"/>
          <w:highlight w:val="none"/>
        </w:rPr>
        <w:t>或减轻了供应商的义务。纠正或承认这些偏离将会对其他实质上响应要求的供应商合理的竞争地位产生不公正的影响。</w:t>
      </w:r>
    </w:p>
    <w:p w14:paraId="7B3B79F6">
      <w:pPr>
        <w:spacing w:line="360" w:lineRule="auto"/>
        <w:ind w:firstLine="482" w:firstLineChars="200"/>
        <w:outlineLvl w:val="1"/>
        <w:rPr>
          <w:rFonts w:hint="eastAsia" w:ascii="宋体" w:hAnsi="宋体" w:cs="宋体"/>
          <w:b/>
          <w:color w:val="auto"/>
          <w:sz w:val="24"/>
          <w:szCs w:val="20"/>
          <w:highlight w:val="none"/>
        </w:rPr>
      </w:pPr>
      <w:r>
        <w:rPr>
          <w:rFonts w:hint="eastAsia" w:ascii="宋体" w:hAnsi="宋体" w:cs="宋体"/>
          <w:b/>
          <w:color w:val="auto"/>
          <w:sz w:val="24"/>
          <w:szCs w:val="20"/>
          <w:highlight w:val="none"/>
        </w:rPr>
        <w:t>34、</w:t>
      </w:r>
      <w:bookmarkEnd w:id="136"/>
      <w:bookmarkEnd w:id="137"/>
      <w:bookmarkEnd w:id="138"/>
      <w:bookmarkEnd w:id="139"/>
      <w:r>
        <w:rPr>
          <w:rFonts w:hint="eastAsia" w:ascii="宋体" w:hAnsi="宋体" w:cs="宋体"/>
          <w:b/>
          <w:color w:val="auto"/>
          <w:sz w:val="24"/>
          <w:szCs w:val="20"/>
          <w:highlight w:val="none"/>
        </w:rPr>
        <w:t>无效响应文件</w:t>
      </w:r>
    </w:p>
    <w:p w14:paraId="480CC94A">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highlight w:val="none"/>
        </w:rPr>
        <w:t>响应文件有下列情形之一的，由磋商小组评审后按无效响应文件处理：</w:t>
      </w:r>
    </w:p>
    <w:p w14:paraId="601FF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b/>
          <w:color w:val="auto"/>
          <w:kern w:val="0"/>
          <w:sz w:val="24"/>
          <w:highlight w:val="none"/>
        </w:rPr>
        <w:t>供应商的商务报价高于采购项目预算；</w:t>
      </w:r>
    </w:p>
    <w:p w14:paraId="129D0B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34.2响应文件附有采购人不能接受条件的；</w:t>
      </w:r>
    </w:p>
    <w:p w14:paraId="0BFEC9FA">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34.3出现重大偏离的；</w:t>
      </w:r>
    </w:p>
    <w:p w14:paraId="586FD558">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34.4对磋商文件提出的实质性要求和条件未能实质性响应；</w:t>
      </w:r>
    </w:p>
    <w:p w14:paraId="35839B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34.5《中华人民共和国政府采购法》、《中华人民共和国政府采购</w:t>
      </w:r>
      <w:r>
        <w:rPr>
          <w:rFonts w:hint="eastAsia" w:ascii="宋体" w:hAnsi="宋体" w:cs="宋体"/>
          <w:color w:val="auto"/>
          <w:sz w:val="24"/>
          <w:highlight w:val="none"/>
          <w:lang w:eastAsia="zh-CN"/>
        </w:rPr>
        <w:t>法</w:t>
      </w:r>
      <w:r>
        <w:rPr>
          <w:rFonts w:hint="eastAsia" w:ascii="宋体" w:hAnsi="宋体" w:cs="宋体"/>
          <w:color w:val="auto"/>
          <w:sz w:val="24"/>
          <w:highlight w:val="none"/>
        </w:rPr>
        <w:t>实施条例》、《政府采购竞争性磋商采购方式管理暂行办法》及相关法律法规及磋商文件明确规定可以作无效响应的其他情形。</w:t>
      </w:r>
    </w:p>
    <w:bookmarkEnd w:id="116"/>
    <w:bookmarkEnd w:id="117"/>
    <w:bookmarkEnd w:id="118"/>
    <w:bookmarkEnd w:id="119"/>
    <w:bookmarkEnd w:id="132"/>
    <w:bookmarkEnd w:id="133"/>
    <w:bookmarkEnd w:id="134"/>
    <w:bookmarkEnd w:id="135"/>
    <w:p w14:paraId="1D235617">
      <w:pPr>
        <w:spacing w:line="360" w:lineRule="auto"/>
        <w:ind w:firstLine="482" w:firstLineChars="200"/>
        <w:outlineLvl w:val="1"/>
        <w:rPr>
          <w:rFonts w:hint="eastAsia" w:ascii="宋体" w:hAnsi="宋体" w:cs="宋体"/>
          <w:b/>
          <w:color w:val="auto"/>
          <w:sz w:val="24"/>
          <w:szCs w:val="20"/>
          <w:highlight w:val="none"/>
        </w:rPr>
      </w:pPr>
      <w:r>
        <w:rPr>
          <w:rFonts w:hint="eastAsia" w:ascii="宋体" w:hAnsi="宋体" w:cs="宋体"/>
          <w:b/>
          <w:color w:val="auto"/>
          <w:sz w:val="24"/>
          <w:szCs w:val="20"/>
          <w:highlight w:val="none"/>
        </w:rPr>
        <w:t>35、评审标准</w:t>
      </w:r>
    </w:p>
    <w:p w14:paraId="6DA411DA">
      <w:pPr>
        <w:spacing w:line="360" w:lineRule="auto"/>
        <w:ind w:firstLine="482" w:firstLineChars="200"/>
        <w:rPr>
          <w:rFonts w:hint="eastAsia" w:ascii="宋体" w:hAnsi="宋体" w:cs="宋体"/>
          <w:color w:val="auto"/>
          <w:sz w:val="24"/>
          <w:szCs w:val="20"/>
          <w:highlight w:val="none"/>
        </w:rPr>
      </w:pPr>
      <w:r>
        <w:rPr>
          <w:rFonts w:hint="eastAsia" w:ascii="宋体" w:hAnsi="宋体" w:cs="宋体"/>
          <w:b/>
          <w:color w:val="auto"/>
          <w:sz w:val="24"/>
          <w:szCs w:val="20"/>
          <w:highlight w:val="none"/>
        </w:rPr>
        <w:t>35.1</w:t>
      </w:r>
      <w:r>
        <w:rPr>
          <w:rFonts w:hint="eastAsia" w:ascii="宋体" w:hAnsi="宋体" w:cs="宋体"/>
          <w:color w:val="auto"/>
          <w:sz w:val="24"/>
          <w:szCs w:val="20"/>
          <w:highlight w:val="none"/>
        </w:rPr>
        <w:t>本项目评审</w:t>
      </w:r>
      <w:r>
        <w:rPr>
          <w:rFonts w:hint="eastAsia" w:ascii="宋体" w:hAnsi="宋体" w:cs="宋体"/>
          <w:b/>
          <w:color w:val="auto"/>
          <w:sz w:val="24"/>
          <w:szCs w:val="20"/>
          <w:highlight w:val="none"/>
        </w:rPr>
        <w:t>采用综合评分法</w:t>
      </w:r>
      <w:r>
        <w:rPr>
          <w:rFonts w:hint="eastAsia" w:ascii="宋体" w:hAnsi="宋体" w:cs="宋体"/>
          <w:color w:val="auto"/>
          <w:sz w:val="24"/>
          <w:szCs w:val="20"/>
          <w:highlight w:val="none"/>
        </w:rPr>
        <w:t>，严格按照磋商文件的要求和条件进行。</w:t>
      </w:r>
    </w:p>
    <w:p w14:paraId="6D82F96F">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35.2信用查询</w:t>
      </w:r>
      <w:r>
        <w:rPr>
          <w:rFonts w:hint="eastAsia" w:ascii="宋体" w:hAnsi="宋体" w:cs="宋体"/>
          <w:b/>
          <w:color w:val="auto"/>
          <w:sz w:val="24"/>
          <w:szCs w:val="20"/>
          <w:highlight w:val="none"/>
        </w:rPr>
        <w:br w:type="textWrapping"/>
      </w:r>
      <w:r>
        <w:rPr>
          <w:rFonts w:hint="eastAsia" w:ascii="宋体" w:hAnsi="宋体" w:cs="宋体"/>
          <w:b/>
          <w:color w:val="auto"/>
          <w:sz w:val="24"/>
          <w:szCs w:val="20"/>
          <w:highlight w:val="none"/>
        </w:rPr>
        <w:t xml:space="preserve">    35.2.1按照《财政部关于在政府采购活动中查询及使用信用记录有关问题的通知》（财库〔2016〕125号）的要求，根据开标当日“信用中国”网站（</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b/>
          <w:color w:val="auto"/>
          <w:sz w:val="24"/>
          <w:szCs w:val="20"/>
          <w:highlight w:val="none"/>
        </w:rPr>
        <w:t>www.creditchina.gov.cn</w:t>
      </w:r>
      <w:r>
        <w:rPr>
          <w:rFonts w:hint="eastAsia" w:ascii="宋体" w:hAnsi="宋体" w:cs="宋体"/>
          <w:b/>
          <w:color w:val="auto"/>
          <w:sz w:val="24"/>
          <w:szCs w:val="20"/>
          <w:highlight w:val="none"/>
        </w:rPr>
        <w:fldChar w:fldCharType="end"/>
      </w:r>
      <w:r>
        <w:rPr>
          <w:rFonts w:hint="eastAsia" w:ascii="宋体" w:hAnsi="宋体" w:cs="宋体"/>
          <w:b/>
          <w:color w:val="auto"/>
          <w:sz w:val="24"/>
          <w:szCs w:val="20"/>
          <w:highlight w:val="none"/>
        </w:rPr>
        <w:t>）、中国政府采购网（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b/>
          <w:color w:val="auto"/>
          <w:sz w:val="24"/>
          <w:szCs w:val="20"/>
          <w:highlight w:val="none"/>
        </w:rPr>
        <w:t>www.ccgp.gov.cn</w:t>
      </w:r>
      <w:r>
        <w:rPr>
          <w:rFonts w:hint="eastAsia" w:ascii="宋体" w:hAnsi="宋体" w:cs="宋体"/>
          <w:b/>
          <w:color w:val="auto"/>
          <w:sz w:val="24"/>
          <w:szCs w:val="20"/>
          <w:highlight w:val="none"/>
        </w:rPr>
        <w:fldChar w:fldCharType="end"/>
      </w:r>
      <w:r>
        <w:rPr>
          <w:rFonts w:hint="eastAsia" w:ascii="宋体" w:hAnsi="宋体" w:cs="宋体"/>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13A6D027">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35.3响应文件初审。初审分为资格性审查和符合性审查。响应文件初审</w:t>
      </w:r>
      <w:r>
        <w:rPr>
          <w:rFonts w:hint="eastAsia" w:ascii="宋体" w:hAnsi="宋体" w:cs="宋体"/>
          <w:b/>
          <w:color w:val="auto"/>
          <w:sz w:val="24"/>
          <w:highlight w:val="none"/>
        </w:rPr>
        <w:t>由磋商小组根据各供应商响应文件进行评审，</w:t>
      </w:r>
      <w:r>
        <w:rPr>
          <w:rFonts w:hint="eastAsia" w:ascii="宋体" w:hAnsi="宋体" w:cs="宋体"/>
          <w:b/>
          <w:color w:val="auto"/>
          <w:sz w:val="24"/>
          <w:szCs w:val="20"/>
          <w:highlight w:val="none"/>
        </w:rPr>
        <w:t>初</w:t>
      </w:r>
      <w:r>
        <w:rPr>
          <w:rFonts w:hint="eastAsia" w:ascii="宋体" w:hAnsi="宋体" w:cs="宋体"/>
          <w:b/>
          <w:color w:val="auto"/>
          <w:sz w:val="24"/>
          <w:highlight w:val="none"/>
        </w:rPr>
        <w:t>审内容详见第</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章“评审标准（综合评分法）”。未通过初审的供应商其响应文件将按照无效磋商处理。</w:t>
      </w:r>
    </w:p>
    <w:p w14:paraId="6A288771">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35.3.1资格性审查。依据法律法规和磋商文件的规定，对响应文件中的资格证明等进行审查，以确定供应商是否具备磋商资格。</w:t>
      </w:r>
    </w:p>
    <w:p w14:paraId="547CB397">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35.3.2符合性审查。依据磋商文件的规定，从响应文件的有效性、完整性和对磋商文件的响应程度进行审查，以确定是否对磋商文件的实质性要求作出响应。</w:t>
      </w:r>
    </w:p>
    <w:p w14:paraId="5F066EE9">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35.3.2.1澄清有关问题。对响应文件中含义不明确、同类问题表述不一致或者有明显文字和计算错误的内容，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14:paraId="7C0F14D4">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35.3.2.2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410B6E5A">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35.4比较与评价。磋商小组按磋商文件中规定的评审标准和标准，对资格性检查和符合性检查合格的响应文件进行商务和技术评估，综合比较与评价。</w:t>
      </w:r>
    </w:p>
    <w:p w14:paraId="442EEF41">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35.5评审分值：总分值为10</w:t>
      </w:r>
      <w:r>
        <w:rPr>
          <w:rFonts w:hint="eastAsia" w:ascii="宋体" w:hAnsi="宋体" w:cs="宋体"/>
          <w:b/>
          <w:color w:val="auto"/>
          <w:sz w:val="24"/>
          <w:szCs w:val="20"/>
          <w:highlight w:val="none"/>
          <w:lang w:val="en-US" w:eastAsia="zh-CN"/>
        </w:rPr>
        <w:t>0</w:t>
      </w:r>
      <w:r>
        <w:rPr>
          <w:rFonts w:hint="eastAsia" w:ascii="宋体" w:hAnsi="宋体" w:cs="宋体"/>
          <w:b/>
          <w:color w:val="auto"/>
          <w:sz w:val="24"/>
          <w:szCs w:val="20"/>
          <w:highlight w:val="none"/>
        </w:rPr>
        <w:t>分</w:t>
      </w:r>
      <w:r>
        <w:rPr>
          <w:rFonts w:hint="eastAsia" w:ascii="宋体" w:hAnsi="宋体" w:cs="宋体"/>
          <w:b/>
          <w:color w:val="auto"/>
          <w:sz w:val="24"/>
          <w:szCs w:val="20"/>
          <w:highlight w:val="none"/>
          <w:lang w:eastAsia="zh-CN"/>
        </w:rPr>
        <w:t>，</w:t>
      </w:r>
      <w:r>
        <w:rPr>
          <w:rFonts w:hint="eastAsia" w:ascii="宋体" w:hAnsi="宋体" w:cs="宋体"/>
          <w:b/>
          <w:color w:val="auto"/>
          <w:sz w:val="24"/>
          <w:szCs w:val="20"/>
          <w:highlight w:val="none"/>
        </w:rPr>
        <w:t>具体评审评分内容详本磋商文件第</w:t>
      </w:r>
      <w:r>
        <w:rPr>
          <w:rFonts w:hint="eastAsia" w:ascii="宋体" w:hAnsi="宋体" w:cs="宋体"/>
          <w:b/>
          <w:color w:val="auto"/>
          <w:sz w:val="24"/>
          <w:szCs w:val="20"/>
          <w:highlight w:val="none"/>
          <w:lang w:val="en-US" w:eastAsia="zh-CN"/>
        </w:rPr>
        <w:t>五</w:t>
      </w:r>
      <w:r>
        <w:rPr>
          <w:rFonts w:hint="eastAsia" w:ascii="宋体" w:hAnsi="宋体" w:cs="宋体"/>
          <w:b/>
          <w:color w:val="auto"/>
          <w:sz w:val="24"/>
          <w:szCs w:val="20"/>
          <w:highlight w:val="none"/>
        </w:rPr>
        <w:t>章“评审标准（综合评分法）”。</w:t>
      </w:r>
    </w:p>
    <w:p w14:paraId="5D2BCBE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szCs w:val="20"/>
          <w:highlight w:val="none"/>
        </w:rPr>
        <w:t>35.6推荐成交候选供应商</w:t>
      </w:r>
    </w:p>
    <w:p w14:paraId="4467A28C">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35.6.1各供应商的评审得分由高至低排序，评审得分排列前3名的供应商被推荐为成交候选供应商。评审得分相同的，按照最后报价由低到高的顺序推荐。评审得分且最后报价相同的，按照技术指标优劣顺序推荐。</w:t>
      </w:r>
    </w:p>
    <w:p w14:paraId="6C55C25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35.6.2评分计算结果保留两位小数，第三位小数四舍五入。</w:t>
      </w:r>
    </w:p>
    <w:p w14:paraId="6B86022A">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highlight w:val="none"/>
        </w:rPr>
        <w:t>35.7</w:t>
      </w:r>
      <w:r>
        <w:rPr>
          <w:rFonts w:hint="eastAsia" w:ascii="宋体" w:hAnsi="宋体" w:cs="宋体"/>
          <w:b/>
          <w:color w:val="auto"/>
          <w:sz w:val="24"/>
          <w:szCs w:val="20"/>
          <w:highlight w:val="none"/>
        </w:rPr>
        <w:t>磋商小组复核。磋商小组评分汇总结束后，磋商小组应当进行评审复核，对拟推荐为成交候选供应商的、报价最低的、供应商资格审查未通过的、供应商响应文件作无效处理的重点复核。</w:t>
      </w:r>
    </w:p>
    <w:p w14:paraId="4CDB7C28">
      <w:pPr>
        <w:wordWrap/>
        <w:adjustRightInd/>
        <w:snapToGrid/>
        <w:spacing w:line="360" w:lineRule="auto"/>
        <w:ind w:firstLine="482" w:firstLineChars="200"/>
        <w:jc w:val="left"/>
        <w:textAlignment w:val="auto"/>
        <w:outlineLvl w:val="9"/>
        <w:rPr>
          <w:rFonts w:hint="eastAsia" w:ascii="宋体" w:hAnsi="宋体" w:eastAsia="宋体" w:cs="宋体"/>
          <w:b/>
          <w:color w:val="auto"/>
          <w:sz w:val="24"/>
          <w:szCs w:val="20"/>
          <w:highlight w:val="none"/>
        </w:rPr>
      </w:pPr>
      <w:r>
        <w:rPr>
          <w:rFonts w:hint="eastAsia" w:ascii="宋体" w:hAnsi="宋体" w:cs="宋体"/>
          <w:b/>
          <w:color w:val="auto"/>
          <w:sz w:val="24"/>
          <w:highlight w:val="none"/>
        </w:rPr>
        <w:t>35.8采购人根据磋商小组推荐的成交候选供应商及有关规定确定成交供应商。</w:t>
      </w:r>
    </w:p>
    <w:p w14:paraId="7F5E43BD">
      <w:pPr>
        <w:spacing w:line="360" w:lineRule="auto"/>
        <w:ind w:firstLine="480" w:firstLineChars="200"/>
        <w:outlineLvl w:val="1"/>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36、采购人依法接受和拒绝任一或所有供应商的</w:t>
      </w:r>
      <w:r>
        <w:rPr>
          <w:rFonts w:hint="eastAsia" w:ascii="宋体" w:hAnsi="宋体" w:cs="宋体"/>
          <w:color w:val="auto"/>
          <w:sz w:val="24"/>
          <w:szCs w:val="20"/>
          <w:highlight w:val="none"/>
          <w:lang w:eastAsia="zh-CN"/>
        </w:rPr>
        <w:t>权力</w:t>
      </w:r>
    </w:p>
    <w:p w14:paraId="5DC44BE8">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采购人保留确定成交供应商之前的任何时候依法接受或拒绝任一或所有供应商的</w:t>
      </w:r>
      <w:r>
        <w:rPr>
          <w:rFonts w:hint="eastAsia" w:ascii="宋体" w:hAnsi="宋体" w:cs="宋体"/>
          <w:color w:val="auto"/>
          <w:sz w:val="24"/>
          <w:szCs w:val="20"/>
          <w:highlight w:val="none"/>
          <w:lang w:eastAsia="zh-CN"/>
        </w:rPr>
        <w:t>权力</w:t>
      </w:r>
      <w:r>
        <w:rPr>
          <w:rFonts w:hint="eastAsia" w:ascii="宋体" w:hAnsi="宋体" w:cs="宋体"/>
          <w:color w:val="auto"/>
          <w:sz w:val="24"/>
          <w:szCs w:val="20"/>
          <w:highlight w:val="none"/>
        </w:rPr>
        <w:t>，对受影响的供应商不承担任何责任，也无义务向受影响的供应商解释采取这一行动的理由。</w:t>
      </w:r>
    </w:p>
    <w:p w14:paraId="2AAC516D">
      <w:pPr>
        <w:spacing w:line="360" w:lineRule="auto"/>
        <w:ind w:firstLine="480" w:firstLineChars="200"/>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37、成交通知书</w:t>
      </w:r>
    </w:p>
    <w:p w14:paraId="4FF2E019">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37.1采购人确定成交供应商后，及时通知采购代理机构，采购代理机构将按程序公告成交结果，同时向成交供应商发出成交通知书，成交通知书一经发出即发生法律效力。</w:t>
      </w:r>
    </w:p>
    <w:p w14:paraId="5019780D">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37.2《成交通知书》将是合同的组成部分。</w:t>
      </w:r>
    </w:p>
    <w:p w14:paraId="6A74E312">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37.3采购人将通知其他未成交的供应商。</w:t>
      </w:r>
    </w:p>
    <w:p w14:paraId="5F3754EF">
      <w:pPr>
        <w:spacing w:line="360" w:lineRule="auto"/>
        <w:ind w:firstLine="480" w:firstLineChars="200"/>
        <w:outlineLvl w:val="1"/>
        <w:rPr>
          <w:rFonts w:hint="eastAsia" w:ascii="宋体" w:hAnsi="宋体" w:cs="宋体"/>
          <w:color w:val="auto"/>
          <w:sz w:val="24"/>
          <w:szCs w:val="20"/>
          <w:highlight w:val="none"/>
        </w:rPr>
      </w:pPr>
      <w:bookmarkStart w:id="140" w:name="_Toc243907611"/>
      <w:bookmarkStart w:id="141" w:name="_Toc243906350"/>
      <w:bookmarkStart w:id="142" w:name="_Toc233274849"/>
      <w:bookmarkStart w:id="143" w:name="_Toc245897310"/>
      <w:r>
        <w:rPr>
          <w:rFonts w:hint="eastAsia" w:ascii="宋体" w:hAnsi="宋体" w:cs="宋体"/>
          <w:color w:val="auto"/>
          <w:sz w:val="24"/>
          <w:szCs w:val="20"/>
          <w:highlight w:val="none"/>
        </w:rPr>
        <w:t>38、纪律与保密事项</w:t>
      </w:r>
      <w:bookmarkEnd w:id="140"/>
      <w:bookmarkEnd w:id="141"/>
      <w:bookmarkEnd w:id="142"/>
      <w:bookmarkEnd w:id="143"/>
    </w:p>
    <w:p w14:paraId="08011E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38.1凡参与磋商工作的有关人员均应自觉接受有关主管部门的监督，不得向他人透露可能影响公平竞争的有关磋商的其他情况。</w:t>
      </w:r>
    </w:p>
    <w:p w14:paraId="3190CD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14:paraId="118315F0">
      <w:pPr>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rPr>
        <w:t>38.3供应商不得与采购人串通磋商，不得向采购人或者磋商小组成员行贿谋取成交，不得以他人名义参与磋商或者以其它任何方式弄虚作假骗取参与磋商。供应商不得以任何方式干扰、影响评审工作。</w:t>
      </w:r>
    </w:p>
    <w:p w14:paraId="2359D6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11DBE9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38.5 磋商之日起直至授予成交供应商合同为止，凡属于对响应文件的审查、澄清、评价、比较有关的资料和成交候选人的推荐情况及与评审有关的其他任何情况均严格保密。</w:t>
      </w:r>
    </w:p>
    <w:p w14:paraId="42E205AA">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38.6从磋商之日起至授予合同期间，供应商试图向磋商小组、采购代理机构施加任何影响或对采购人的比较及授予合同的决定进行影响，都可能导致其响应文件被拒绝。</w:t>
      </w:r>
    </w:p>
    <w:p w14:paraId="102BED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38.7除供应商被要求对响应文件进行澄清外，从磋商之时起至授予合同期间，供应商不得就与其响应文件有关的事项主动与磋商小组、采购代理机构以及采购人联系。</w:t>
      </w:r>
    </w:p>
    <w:p w14:paraId="413BC9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38.8成交供应商确定后，采购人不对未成交供应商就评审过程以及未能成交原因作出任何解释，未成交供应商不得向磋商小组或其他有关人员询问评审过程的情况和索取评审过程的资料。</w:t>
      </w:r>
    </w:p>
    <w:p w14:paraId="55403637">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p>
    <w:p w14:paraId="09546DB9">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F   授予合同</w:t>
      </w:r>
      <w:bookmarkStart w:id="144" w:name="_Toc243907618"/>
      <w:bookmarkStart w:id="145" w:name="_Toc245897315"/>
      <w:bookmarkStart w:id="146" w:name="_Toc233274853"/>
      <w:bookmarkStart w:id="147" w:name="_Toc243906355"/>
    </w:p>
    <w:p w14:paraId="755788C6">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p>
    <w:bookmarkEnd w:id="144"/>
    <w:bookmarkEnd w:id="145"/>
    <w:bookmarkEnd w:id="146"/>
    <w:bookmarkEnd w:id="147"/>
    <w:p w14:paraId="72A7862D">
      <w:pPr>
        <w:pStyle w:val="33"/>
        <w:spacing w:line="360" w:lineRule="auto"/>
        <w:ind w:firstLine="480" w:firstLineChars="200"/>
        <w:outlineLvl w:val="1"/>
        <w:rPr>
          <w:rFonts w:hint="eastAsia" w:hAnsi="宋体" w:cs="宋体"/>
          <w:bCs/>
          <w:color w:val="auto"/>
          <w:sz w:val="24"/>
          <w:szCs w:val="24"/>
          <w:highlight w:val="none"/>
        </w:rPr>
      </w:pPr>
      <w:r>
        <w:rPr>
          <w:rFonts w:hint="eastAsia" w:hAnsi="宋体" w:cs="宋体"/>
          <w:bCs/>
          <w:color w:val="auto"/>
          <w:sz w:val="24"/>
          <w:szCs w:val="24"/>
          <w:highlight w:val="none"/>
        </w:rPr>
        <w:t>39、授予合同标准</w:t>
      </w:r>
    </w:p>
    <w:p w14:paraId="5C8A17A5">
      <w:pPr>
        <w:pStyle w:val="33"/>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39.1本采购项目的采购合同将授予按本须知第35.7条所确定成交供应商。</w:t>
      </w:r>
    </w:p>
    <w:p w14:paraId="0EE184A7">
      <w:pPr>
        <w:pStyle w:val="33"/>
        <w:spacing w:line="360" w:lineRule="auto"/>
        <w:ind w:firstLine="480" w:firstLineChars="200"/>
        <w:outlineLvl w:val="1"/>
        <w:rPr>
          <w:rFonts w:hint="eastAsia" w:hAnsi="宋体" w:cs="宋体"/>
          <w:color w:val="auto"/>
          <w:sz w:val="24"/>
          <w:highlight w:val="none"/>
        </w:rPr>
      </w:pPr>
      <w:bookmarkStart w:id="148" w:name="_Toc243907620"/>
      <w:bookmarkStart w:id="149" w:name="_Toc245897317"/>
      <w:bookmarkStart w:id="150" w:name="_Toc243906357"/>
      <w:bookmarkStart w:id="151" w:name="_Toc233274855"/>
      <w:r>
        <w:rPr>
          <w:rFonts w:hint="eastAsia" w:hAnsi="宋体" w:cs="宋体"/>
          <w:color w:val="auto"/>
          <w:sz w:val="24"/>
          <w:highlight w:val="none"/>
        </w:rPr>
        <w:t>40、签订合同</w:t>
      </w:r>
      <w:bookmarkEnd w:id="148"/>
      <w:bookmarkEnd w:id="149"/>
      <w:bookmarkEnd w:id="150"/>
      <w:bookmarkEnd w:id="151"/>
    </w:p>
    <w:p w14:paraId="7F0C1E24">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40.1成交供应商应当自成交通知书发出之日起三十日内，按照磋商文件和成交供应商的响应文件订立书面合同。成交供应商不得要求订立背离本响应文件合同主要内容等响应文件实质性内容的其他协议。</w:t>
      </w:r>
    </w:p>
    <w:p w14:paraId="1AF03235">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40.2 成交通知书、成交供应商的响应文件及其澄清文件、技术规范及标准、项目采购需求、本磋商文件（含修改文件或补充文件）及答疑纪要等，均为签订合同的依据。</w:t>
      </w:r>
    </w:p>
    <w:p w14:paraId="6E7FF58A">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40.3采购人如不按本须知40.1条规定与成交供应商签订合同，或者采购人、成交供应商签订背离合同实质性内容的协议，由监督管理部门责令其改正。</w:t>
      </w:r>
    </w:p>
    <w:p w14:paraId="0F8CD9D6">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40.4成交供应商如不按本须知40.1条规定与采购人签订合同，则按违约处理，采购人将有权取消成交供应商资格，给采购人造成损失的，还应当予以赔偿，同时依法承担相应的法律责任。</w:t>
      </w:r>
    </w:p>
    <w:p w14:paraId="65E4D489">
      <w:pPr>
        <w:spacing w:line="360" w:lineRule="auto"/>
        <w:ind w:firstLine="482" w:firstLineChars="200"/>
        <w:rPr>
          <w:rFonts w:hint="eastAsia" w:ascii="宋体" w:hAnsi="宋体" w:cs="宋体"/>
          <w:color w:val="auto"/>
          <w:highlight w:val="none"/>
        </w:rPr>
      </w:pPr>
      <w:r>
        <w:rPr>
          <w:rFonts w:hint="eastAsia" w:ascii="宋体" w:hAnsi="宋体" w:cs="宋体"/>
          <w:b/>
          <w:color w:val="auto"/>
          <w:sz w:val="24"/>
          <w:highlight w:val="none"/>
        </w:rPr>
        <w:t>40.5成交供应商拒绝与采购人签订合同的，采购人可以按照评审报告推荐的成交候选人名单排序，确定下一名候选人为成交供应商，并组织重新选定的成交供应商和采购人签订合同，也可以重新开展政府采购活动。</w:t>
      </w:r>
    </w:p>
    <w:p w14:paraId="1CE47E85">
      <w:pPr>
        <w:spacing w:line="360" w:lineRule="auto"/>
        <w:ind w:firstLine="480" w:firstLineChars="200"/>
        <w:outlineLvl w:val="1"/>
        <w:rPr>
          <w:rFonts w:hint="eastAsia" w:ascii="宋体" w:hAnsi="宋体" w:cs="宋体"/>
          <w:color w:val="auto"/>
          <w:highlight w:val="none"/>
        </w:rPr>
      </w:pPr>
      <w:bookmarkStart w:id="152" w:name="_Toc245897318"/>
      <w:bookmarkStart w:id="153" w:name="_Toc243907621"/>
      <w:r>
        <w:rPr>
          <w:rFonts w:hint="eastAsia" w:ascii="宋体" w:hAnsi="宋体" w:cs="宋体"/>
          <w:color w:val="auto"/>
          <w:sz w:val="24"/>
          <w:highlight w:val="none"/>
        </w:rPr>
        <w:t>41、合同的签订准则</w:t>
      </w:r>
      <w:bookmarkEnd w:id="152"/>
      <w:bookmarkEnd w:id="153"/>
    </w:p>
    <w:p w14:paraId="2FCF99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41.1合同签订必须由采购人、成交供应商双方法定代表或其委托代理人签署并加盖法人公章后方能生效。</w:t>
      </w:r>
    </w:p>
    <w:p w14:paraId="1F7790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41.2合同转包（实质性要求）</w:t>
      </w:r>
    </w:p>
    <w:p w14:paraId="65A9BD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6B5308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成交供应商转包的，视同拒绝履行政府采购合同义务，将依法追究法律责任。</w:t>
      </w:r>
    </w:p>
    <w:p w14:paraId="0024D908">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41.3</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本采购项目严禁成交供应商将任何政府采购合同义务</w:t>
      </w:r>
      <w:r>
        <w:rPr>
          <w:rFonts w:hint="eastAsia" w:ascii="宋体" w:hAnsi="宋体" w:cs="宋体"/>
          <w:b/>
          <w:bCs/>
          <w:color w:val="auto"/>
          <w:sz w:val="24"/>
          <w:highlight w:val="none"/>
          <w:lang w:val="zh-CN" w:eastAsia="zh-CN"/>
        </w:rPr>
        <w:t>分包。</w:t>
      </w:r>
    </w:p>
    <w:p w14:paraId="259FF04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41.4</w:t>
      </w:r>
      <w:r>
        <w:rPr>
          <w:rFonts w:hint="eastAsia" w:ascii="宋体" w:hAnsi="宋体" w:cs="宋体"/>
          <w:b/>
          <w:bCs/>
          <w:color w:val="auto"/>
          <w:sz w:val="24"/>
          <w:highlight w:val="none"/>
        </w:rPr>
        <w:t>补充合同</w:t>
      </w:r>
    </w:p>
    <w:p w14:paraId="0A4B42C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02B25AD0">
      <w:pPr>
        <w:keepNext/>
        <w:keepLines/>
        <w:widowControl w:val="0"/>
        <w:wordWrap/>
        <w:adjustRightInd/>
        <w:snapToGrid/>
        <w:spacing w:line="416" w:lineRule="auto"/>
        <w:jc w:val="left"/>
        <w:textAlignment w:val="auto"/>
        <w:outlineLvl w:val="9"/>
        <w:rPr>
          <w:rFonts w:hint="eastAsia"/>
          <w:color w:val="auto"/>
          <w:highlight w:val="none"/>
        </w:rPr>
      </w:pPr>
    </w:p>
    <w:p w14:paraId="0202A598">
      <w:pPr>
        <w:wordWrap/>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询问、质疑、投诉</w:t>
      </w:r>
    </w:p>
    <w:p w14:paraId="49BF297F">
      <w:pPr>
        <w:wordWrap/>
        <w:spacing w:line="360" w:lineRule="auto"/>
        <w:ind w:firstLine="480" w:firstLineChars="200"/>
        <w:jc w:val="center"/>
        <w:rPr>
          <w:rFonts w:hint="eastAsia" w:ascii="宋体" w:hAnsi="宋体" w:eastAsia="宋体" w:cs="宋体"/>
          <w:color w:val="auto"/>
          <w:sz w:val="24"/>
          <w:highlight w:val="none"/>
        </w:rPr>
      </w:pPr>
    </w:p>
    <w:p w14:paraId="0E4D547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43、询问</w:t>
      </w:r>
    </w:p>
    <w:p w14:paraId="60DCAF7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43.1供应商对采购活动事项有疑问的，可以向采购人或采购代理机构提出询问，采购人或采购代理机构应当在三个工作日内对供应商依法提出的询问作出答复，但答复的内容不得涉及商业秘密。</w:t>
      </w:r>
    </w:p>
    <w:p w14:paraId="2920FAD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44、质疑</w:t>
      </w:r>
    </w:p>
    <w:p w14:paraId="1ACB2CC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44.1 供应商认为采购文件、采购过程和中标、成交结果使自己的合法权益受到损害的，可以在知道或者应知其权益受到损害之日起七个工作日内，将质疑文件原件和必要的证明材料送达采购代理机构。</w:t>
      </w:r>
    </w:p>
    <w:p w14:paraId="224A846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44.2供应商如对</w:t>
      </w:r>
      <w:r>
        <w:rPr>
          <w:rFonts w:hint="eastAsia" w:ascii="宋体" w:hAnsi="宋体" w:cs="宋体"/>
          <w:color w:val="auto"/>
          <w:sz w:val="24"/>
          <w:highlight w:val="none"/>
          <w:lang w:val="en-US" w:eastAsia="zh-CN"/>
        </w:rPr>
        <w:t>简易</w:t>
      </w:r>
      <w:r>
        <w:rPr>
          <w:rFonts w:hint="eastAsia" w:ascii="宋体" w:hAnsi="宋体" w:cs="宋体"/>
          <w:color w:val="auto"/>
          <w:sz w:val="24"/>
          <w:highlight w:val="none"/>
        </w:rPr>
        <w:t>磋商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3277C5A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44.3上述应知其权益受到损害之日是指： </w:t>
      </w:r>
    </w:p>
    <w:p w14:paraId="685D880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（1）对采购文件提出质疑的，为采购文件公告期限届满之日起计算； </w:t>
      </w:r>
    </w:p>
    <w:p w14:paraId="407A70D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（2）对采购过程提出质疑的，自采购程序环节结束之日起计算；</w:t>
      </w:r>
    </w:p>
    <w:p w14:paraId="002D2D8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（3）对中标或者成交结果提出质疑的，自中标或者成交结果公告期限届满之日起计算。</w:t>
      </w:r>
    </w:p>
    <w:p w14:paraId="017757F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44.4质疑供应商在法定质疑期内应当一次性提出针对同一采购环节提出质疑。</w:t>
      </w:r>
    </w:p>
    <w:p w14:paraId="1F5F06D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44.5质疑文件应包括以下主要内容，并按照“谁主张、谁举证”的原则，附上相关证明材料。否则，采购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14:paraId="0853A80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（1）供应商的姓名或者名称、地址、邮编、联系人及联系电话（包括座机、手机、传真号码等）； </w:t>
      </w:r>
    </w:p>
    <w:p w14:paraId="4CA641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（2）质疑项目的名称、项目编号、包号、采购公告发布时间、递交投标文件或响应文件截止时间； </w:t>
      </w:r>
    </w:p>
    <w:p w14:paraId="26BBA0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（3）具体、明确的质疑事项和与质疑事项相关的请求； </w:t>
      </w:r>
    </w:p>
    <w:p w14:paraId="1C0DFBF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170BD23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（5）必要的法律依据； </w:t>
      </w:r>
    </w:p>
    <w:p w14:paraId="5248A69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（6）提起质疑的日期；</w:t>
      </w:r>
    </w:p>
    <w:p w14:paraId="671BCDE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（7）质疑文件应当署</w:t>
      </w:r>
      <w:r>
        <w:rPr>
          <w:rFonts w:hint="eastAsia" w:ascii="宋体" w:hAnsi="宋体" w:cs="宋体"/>
          <w:color w:val="auto"/>
          <w:sz w:val="24"/>
          <w:highlight w:val="none"/>
          <w:lang w:eastAsia="zh-CN"/>
        </w:rPr>
        <w:t>实</w:t>
      </w:r>
      <w:r>
        <w:rPr>
          <w:rFonts w:hint="eastAsia" w:ascii="宋体" w:hAnsi="宋体" w:cs="宋体"/>
          <w:color w:val="auto"/>
          <w:sz w:val="24"/>
          <w:highlight w:val="none"/>
        </w:rPr>
        <w:t>名，质疑人为自然人的，应当由本人签字并附有效身份证明；质疑人为法人或其他组织的，应当由法定代表人签字并加盖单位公章；</w:t>
      </w:r>
    </w:p>
    <w:p w14:paraId="7C8F5F0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（8）供应商委托代理质疑的，应当提交授权委托书，并载明代理人的姓名或者名称、代理事项、 具体权限、期限和相关事项。</w:t>
      </w:r>
    </w:p>
    <w:p w14:paraId="6FAE21D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44.6质疑供应商是指直接参加本项目采购活动的供应商，未参加政府采购活动的供应商或在采购活动中自身权益未受到损害的供应商所提出的质疑不予受理。</w:t>
      </w:r>
    </w:p>
    <w:p w14:paraId="02586B8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44.7采购人、采购代理机构在收到供应商的书面质疑后将及时组织调查核实，在七个工作日内作出答复，并以书面形式通知质疑供应商和其他有关供应商，答复的内容不涉及商业秘密。</w:t>
      </w:r>
    </w:p>
    <w:p w14:paraId="5A59AC3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45、投诉</w:t>
      </w:r>
    </w:p>
    <w:p w14:paraId="1FF7808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45.1 质疑供应商对采购人、采购代理机构的答复不满意，或采购人、采购代理机构未在规定的时间内作出答复的，可以在答复期满后十五个工作日内向采购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提起投诉。</w:t>
      </w:r>
    </w:p>
    <w:p w14:paraId="788F264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45.2供应商投诉的事项不得超出已质疑事项的范围，但基于质疑答复内容提出的投诉事项除外。</w:t>
      </w:r>
    </w:p>
    <w:p w14:paraId="7AB603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46、诚实信用</w:t>
      </w:r>
    </w:p>
    <w:p w14:paraId="012CB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46.1供应商不得虚假承诺，否则，按照提供虚假材料谋取中标或成交处理。</w:t>
      </w:r>
    </w:p>
    <w:p w14:paraId="7EC8639A">
      <w:pPr>
        <w:widowControl w:val="0"/>
        <w:wordWrap/>
        <w:adjustRightInd/>
        <w:spacing w:line="360" w:lineRule="auto"/>
        <w:ind w:firstLine="480" w:firstLineChars="200"/>
        <w:jc w:val="left"/>
        <w:textAlignment w:val="auto"/>
        <w:rPr>
          <w:rFonts w:hint="eastAsia" w:ascii="宋体" w:hAnsi="宋体" w:eastAsia="宋体" w:cs="宋体"/>
          <w:color w:val="auto"/>
          <w:sz w:val="24"/>
          <w:highlight w:val="none"/>
        </w:rPr>
      </w:pPr>
    </w:p>
    <w:p w14:paraId="556FE068">
      <w:pPr>
        <w:wordWrap/>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H   义务、工作纪律</w:t>
      </w:r>
    </w:p>
    <w:p w14:paraId="238BB097">
      <w:pPr>
        <w:widowControl w:val="0"/>
        <w:wordWrap/>
        <w:adjustRightInd/>
        <w:snapToGrid w:val="0"/>
        <w:spacing w:line="360" w:lineRule="auto"/>
        <w:ind w:left="0" w:leftChars="0" w:firstLine="562" w:firstLineChars="200"/>
        <w:jc w:val="left"/>
        <w:textAlignment w:val="auto"/>
        <w:rPr>
          <w:rFonts w:hint="eastAsia" w:ascii="宋体" w:hAnsi="宋体" w:eastAsia="宋体" w:cs="宋体"/>
          <w:b/>
          <w:bCs/>
          <w:color w:val="auto"/>
          <w:kern w:val="0"/>
          <w:sz w:val="28"/>
          <w:szCs w:val="28"/>
          <w:highlight w:val="none"/>
        </w:rPr>
      </w:pPr>
    </w:p>
    <w:p w14:paraId="2DB2B859">
      <w:pPr>
        <w:tabs>
          <w:tab w:val="left" w:pos="766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47、磋商小组在政府采购活动中承担以下义务：</w:t>
      </w:r>
    </w:p>
    <w:p w14:paraId="7CFCC6E8">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（一）遵守评审工作纪律；</w:t>
      </w:r>
    </w:p>
    <w:p w14:paraId="0AC91098">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（二）按照客观、公正、审慎的原则，根据磋商文件规定的评审程序、评审方法和评审标准进行独立评审；</w:t>
      </w:r>
    </w:p>
    <w:p w14:paraId="12D83225">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（三）不得泄露评审文件、评审情况和在评审过程中获悉的商业秘密；</w:t>
      </w:r>
    </w:p>
    <w:p w14:paraId="533E0BE1">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042EACD1">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14:paraId="436B5095">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（六）及时向财政、监察等部门举报在评审过程中受到非法干预的情况；</w:t>
      </w:r>
    </w:p>
    <w:p w14:paraId="3165632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（七）配合答复处理供应商的询问、质疑和投诉等事项；</w:t>
      </w:r>
    </w:p>
    <w:p w14:paraId="1CBA0651">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（八）法律、法规和规章规定的其他义务。</w:t>
      </w:r>
    </w:p>
    <w:p w14:paraId="6547FEBA">
      <w:pPr>
        <w:tabs>
          <w:tab w:val="left" w:pos="7665"/>
        </w:tabs>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48、评审专家在政府采购活动中应当遵守以下工作纪律</w:t>
      </w:r>
      <w:r>
        <w:rPr>
          <w:rFonts w:hint="eastAsia" w:ascii="宋体" w:hAnsi="宋体" w:cs="宋体"/>
          <w:color w:val="auto"/>
          <w:sz w:val="24"/>
          <w:highlight w:val="none"/>
        </w:rPr>
        <w:t>：</w:t>
      </w:r>
    </w:p>
    <w:p w14:paraId="7E11AA17">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5584F25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（二）评审前，应当将通讯工具或者相关电子设备交由采购代理机构统一保管；</w:t>
      </w:r>
    </w:p>
    <w:p w14:paraId="6A45C150">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（三）评审过程中，不得与外界联系，因发生不可预见情况，确实需要与外界联系的，应当在监督人员监督之下办理；</w:t>
      </w:r>
    </w:p>
    <w:p w14:paraId="5F4FDB1D">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9FFCD7A">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（五）在评审过程中和评审结束后，不得记录、复制或带走任何评审资料，不得向外界透露评审内容；</w:t>
      </w:r>
    </w:p>
    <w:p w14:paraId="53FA29D3">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（六）评审现场服从采购代理机构工作人员的管理，接受现场监督人员的合法监督；</w:t>
      </w:r>
    </w:p>
    <w:p w14:paraId="2AC77B17">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（七）遵守有关廉洁自律规定，不得私下接触供应商，不得收受供应商及有关业务单位和个人的财物或好处，不得接受采购代理机构的请托。</w:t>
      </w:r>
    </w:p>
    <w:p w14:paraId="70A8D0C0">
      <w:pPr>
        <w:pStyle w:val="26"/>
        <w:rPr>
          <w:rFonts w:hint="eastAsia" w:ascii="宋体" w:hAnsi="宋体" w:cs="宋体"/>
          <w:color w:val="auto"/>
          <w:sz w:val="24"/>
          <w:highlight w:val="none"/>
        </w:rPr>
      </w:pPr>
    </w:p>
    <w:p w14:paraId="081A310F">
      <w:pPr>
        <w:pStyle w:val="33"/>
        <w:wordWrap/>
        <w:adjustRightInd w:val="0"/>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项目采购需求及合同主要条款</w:t>
      </w:r>
    </w:p>
    <w:p w14:paraId="294447C6">
      <w:pPr>
        <w:pStyle w:val="536"/>
        <w:keepNext w:val="0"/>
        <w:keepLines w:val="0"/>
        <w:pageBreakBefore w:val="0"/>
        <w:kinsoku/>
        <w:wordWrap/>
        <w:overflowPunct/>
        <w:topLinePunct w:val="0"/>
        <w:autoSpaceDE/>
        <w:autoSpaceDN/>
        <w:bidi w:val="0"/>
        <w:adjustRightInd/>
        <w:snapToGrid w:val="0"/>
        <w:spacing w:line="360" w:lineRule="auto"/>
        <w:ind w:firstLine="482"/>
        <w:jc w:val="both"/>
        <w:textAlignment w:val="auto"/>
        <w:outlineLvl w:val="9"/>
        <w:rPr>
          <w:rFonts w:hint="eastAsia" w:asciiTheme="minorEastAsia" w:hAnsiTheme="minorEastAsia" w:eastAsiaTheme="minorEastAsia" w:cstheme="minorEastAsia"/>
          <w:color w:val="auto"/>
          <w:sz w:val="24"/>
          <w:szCs w:val="24"/>
          <w:highlight w:val="none"/>
        </w:rPr>
      </w:pPr>
      <w:bookmarkStart w:id="154" w:name="_Toc21480"/>
      <w:r>
        <w:rPr>
          <w:rFonts w:hint="eastAsia" w:asciiTheme="minorEastAsia" w:hAnsiTheme="minorEastAsia" w:eastAsiaTheme="minorEastAsia" w:cstheme="minorEastAsia"/>
          <w:color w:val="auto"/>
          <w:sz w:val="24"/>
          <w:szCs w:val="24"/>
          <w:highlight w:val="none"/>
        </w:rPr>
        <w:t>一、项目基本情况</w:t>
      </w:r>
      <w:bookmarkEnd w:id="154"/>
    </w:p>
    <w:p w14:paraId="4A97ECF2">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国家税务总局克拉玛依市克拉玛依区税务局位于</w:t>
      </w:r>
      <w:r>
        <w:rPr>
          <w:rFonts w:hint="eastAsia" w:asciiTheme="minorEastAsia" w:hAnsiTheme="minorEastAsia" w:eastAsiaTheme="minorEastAsia" w:cstheme="minorEastAsia"/>
          <w:color w:val="auto"/>
          <w:sz w:val="24"/>
          <w:szCs w:val="24"/>
          <w:highlight w:val="none"/>
          <w:lang w:val="en-US" w:eastAsia="zh-CN"/>
        </w:rPr>
        <w:t>迎宾路46号，</w:t>
      </w:r>
      <w:r>
        <w:rPr>
          <w:rFonts w:hint="eastAsia" w:asciiTheme="minorEastAsia" w:hAnsiTheme="minorEastAsia" w:eastAsiaTheme="minorEastAsia" w:cstheme="minorEastAsia"/>
          <w:color w:val="auto"/>
          <w:sz w:val="24"/>
          <w:szCs w:val="24"/>
          <w:highlight w:val="none"/>
        </w:rPr>
        <w:t>总建筑面积</w:t>
      </w:r>
      <w:r>
        <w:rPr>
          <w:rFonts w:hint="eastAsia" w:asciiTheme="minorEastAsia" w:hAnsiTheme="minorEastAsia" w:eastAsiaTheme="minorEastAsia" w:cstheme="minorEastAsia"/>
          <w:color w:val="auto"/>
          <w:sz w:val="24"/>
          <w:szCs w:val="24"/>
          <w:highlight w:val="none"/>
          <w:lang w:val="en-US" w:eastAsia="zh-CN"/>
        </w:rPr>
        <w:t>12849.44</w:t>
      </w:r>
      <w:r>
        <w:rPr>
          <w:rFonts w:hint="eastAsia" w:asciiTheme="minorEastAsia" w:hAnsiTheme="minorEastAsia" w:eastAsiaTheme="minorEastAsia" w:cstheme="minorEastAsia"/>
          <w:color w:val="auto"/>
          <w:sz w:val="24"/>
          <w:szCs w:val="24"/>
          <w:highlight w:val="none"/>
        </w:rPr>
        <w:t>平方米。地上九层、地下一层，</w:t>
      </w:r>
      <w:r>
        <w:rPr>
          <w:rFonts w:hint="eastAsia" w:asciiTheme="minorEastAsia" w:hAnsiTheme="minorEastAsia" w:eastAsiaTheme="minorEastAsia" w:cstheme="minorEastAsia"/>
          <w:color w:val="auto"/>
          <w:sz w:val="24"/>
          <w:szCs w:val="24"/>
          <w:highlight w:val="none"/>
          <w:lang w:val="en-US" w:eastAsia="zh-CN"/>
        </w:rPr>
        <w:t>分主副楼宇，楼内</w:t>
      </w:r>
      <w:r>
        <w:rPr>
          <w:rFonts w:hint="eastAsia" w:asciiTheme="minorEastAsia" w:hAnsiTheme="minorEastAsia" w:eastAsiaTheme="minorEastAsia" w:cstheme="minorEastAsia"/>
          <w:color w:val="auto"/>
          <w:sz w:val="24"/>
          <w:szCs w:val="24"/>
          <w:highlight w:val="none"/>
        </w:rPr>
        <w:t>设有</w:t>
      </w:r>
      <w:r>
        <w:rPr>
          <w:rFonts w:hint="eastAsia" w:asciiTheme="minorEastAsia" w:hAnsiTheme="minorEastAsia" w:eastAsiaTheme="minorEastAsia" w:cstheme="minorEastAsia"/>
          <w:color w:val="auto"/>
          <w:sz w:val="24"/>
          <w:szCs w:val="24"/>
          <w:highlight w:val="none"/>
          <w:lang w:val="en-US" w:eastAsia="zh-CN"/>
        </w:rPr>
        <w:t>办公区、会议区、活动区、就餐区、地下车库</w:t>
      </w:r>
      <w:r>
        <w:rPr>
          <w:rFonts w:hint="eastAsia" w:asciiTheme="minorEastAsia" w:hAnsiTheme="minorEastAsia" w:eastAsiaTheme="minorEastAsia" w:cstheme="minorEastAsia"/>
          <w:color w:val="auto"/>
          <w:sz w:val="24"/>
          <w:szCs w:val="24"/>
          <w:highlight w:val="none"/>
        </w:rPr>
        <w:t>等五大功能区以及</w:t>
      </w:r>
      <w:r>
        <w:rPr>
          <w:rFonts w:hint="eastAsia" w:asciiTheme="minorEastAsia" w:hAnsiTheme="minorEastAsia" w:eastAsiaTheme="minorEastAsia" w:cstheme="minorEastAsia"/>
          <w:color w:val="auto"/>
          <w:sz w:val="24"/>
          <w:szCs w:val="24"/>
          <w:highlight w:val="none"/>
          <w:lang w:val="en-US" w:eastAsia="zh-CN"/>
        </w:rPr>
        <w:t>各类多功能用房</w:t>
      </w:r>
      <w:r>
        <w:rPr>
          <w:rFonts w:hint="eastAsia" w:asciiTheme="minorEastAsia" w:hAnsiTheme="minorEastAsia" w:eastAsiaTheme="minorEastAsia" w:cstheme="minorEastAsia"/>
          <w:color w:val="auto"/>
          <w:sz w:val="24"/>
          <w:szCs w:val="24"/>
          <w:highlight w:val="none"/>
        </w:rPr>
        <w:t>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楼外设有停车场等区域</w:t>
      </w:r>
      <w:r>
        <w:rPr>
          <w:rFonts w:hint="eastAsia" w:asciiTheme="minorEastAsia" w:hAnsiTheme="minorEastAsia" w:eastAsiaTheme="minorEastAsia" w:cstheme="minorEastAsia"/>
          <w:color w:val="auto"/>
          <w:sz w:val="24"/>
          <w:szCs w:val="24"/>
          <w:highlight w:val="none"/>
        </w:rPr>
        <w:t>。</w:t>
      </w:r>
    </w:p>
    <w:p w14:paraId="1A29C7B8">
      <w:pPr>
        <w:pStyle w:val="536"/>
        <w:keepNext w:val="0"/>
        <w:keepLines w:val="0"/>
        <w:pageBreakBefore w:val="0"/>
        <w:kinsoku/>
        <w:wordWrap/>
        <w:overflowPunct/>
        <w:topLinePunct w:val="0"/>
        <w:autoSpaceDE/>
        <w:autoSpaceDN/>
        <w:bidi w:val="0"/>
        <w:adjustRightInd/>
        <w:snapToGrid w:val="0"/>
        <w:spacing w:line="360" w:lineRule="auto"/>
        <w:ind w:firstLine="482"/>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p w14:paraId="4F72C46E">
      <w:pPr>
        <w:pStyle w:val="536"/>
        <w:keepNext w:val="0"/>
        <w:keepLines w:val="0"/>
        <w:pageBreakBefore w:val="0"/>
        <w:kinsoku/>
        <w:wordWrap/>
        <w:overflowPunct/>
        <w:topLinePunct w:val="0"/>
        <w:autoSpaceDE/>
        <w:autoSpaceDN/>
        <w:bidi w:val="0"/>
        <w:adjustRightInd/>
        <w:snapToGrid w:val="0"/>
        <w:spacing w:line="360" w:lineRule="auto"/>
        <w:ind w:firstLine="482"/>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物业管理服务内容及标准</w:t>
      </w:r>
    </w:p>
    <w:p w14:paraId="71CF81B8">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物业管理服务包括基本服务、房屋维护服务、公用设施设备维护服务、保洁服务、绿化服务、会议服务</w:t>
      </w:r>
      <w:r>
        <w:rPr>
          <w:rFonts w:hint="eastAsia" w:asciiTheme="minorEastAsia" w:hAnsiTheme="minorEastAsia" w:eastAsiaTheme="minorEastAsia" w:cstheme="minorEastAsia"/>
          <w:color w:val="auto"/>
          <w:sz w:val="24"/>
          <w:szCs w:val="24"/>
          <w:highlight w:val="none"/>
          <w:lang w:val="en-US" w:eastAsia="zh-CN"/>
        </w:rPr>
        <w:t>以及其他服务</w:t>
      </w:r>
      <w:r>
        <w:rPr>
          <w:rFonts w:hint="eastAsia" w:asciiTheme="minorEastAsia" w:hAnsiTheme="minorEastAsia" w:eastAsiaTheme="minorEastAsia" w:cstheme="minorEastAsia"/>
          <w:color w:val="auto"/>
          <w:sz w:val="24"/>
          <w:szCs w:val="24"/>
          <w:highlight w:val="none"/>
        </w:rPr>
        <w:t>等。</w:t>
      </w:r>
      <w:bookmarkStart w:id="155" w:name="_Toc26156"/>
      <w:bookmarkStart w:id="156" w:name="_Toc26485"/>
      <w:bookmarkStart w:id="157" w:name="_Toc10498"/>
    </w:p>
    <w:p w14:paraId="28D3B8A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bookmarkEnd w:id="155"/>
      <w:bookmarkEnd w:id="156"/>
      <w:bookmarkEnd w:id="157"/>
      <w:r>
        <w:rPr>
          <w:rFonts w:hint="eastAsia" w:asciiTheme="minorEastAsia" w:hAnsiTheme="minorEastAsia" w:eastAsiaTheme="minorEastAsia" w:cstheme="minorEastAsia"/>
          <w:color w:val="auto"/>
          <w:sz w:val="24"/>
          <w:szCs w:val="24"/>
          <w:highlight w:val="none"/>
          <w:lang w:val="en-US" w:eastAsia="zh-CN"/>
        </w:rPr>
        <w:t>1基本服务</w:t>
      </w:r>
    </w:p>
    <w:tbl>
      <w:tblPr>
        <w:tblStyle w:val="60"/>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95"/>
        <w:gridCol w:w="7087"/>
      </w:tblGrid>
      <w:tr w14:paraId="7487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5D41A04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95" w:type="dxa"/>
            <w:noWrap w:val="0"/>
            <w:vAlign w:val="center"/>
          </w:tcPr>
          <w:p w14:paraId="625F27E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042DFA0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44C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5639F5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395" w:type="dxa"/>
            <w:vMerge w:val="restart"/>
            <w:noWrap w:val="0"/>
            <w:vAlign w:val="center"/>
          </w:tcPr>
          <w:p w14:paraId="530517B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目标与责任</w:t>
            </w:r>
          </w:p>
        </w:tc>
        <w:tc>
          <w:tcPr>
            <w:tcW w:w="7087" w:type="dxa"/>
            <w:noWrap w:val="0"/>
            <w:vAlign w:val="center"/>
          </w:tcPr>
          <w:p w14:paraId="63FE339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（1）结合采购方要求及物业服务实际情况，制定年度管理目标，明确责任分工，并制定配套实施方案。</w:t>
            </w:r>
          </w:p>
        </w:tc>
      </w:tr>
      <w:tr w14:paraId="7FC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4B16AE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1447601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73988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（2）每月初定期给采购方报送上月物业服务工作报告、本月物业服务工作计划。</w:t>
            </w:r>
          </w:p>
        </w:tc>
      </w:tr>
      <w:tr w14:paraId="137F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3A2D37F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95" w:type="dxa"/>
            <w:vMerge w:val="restart"/>
            <w:noWrap w:val="0"/>
            <w:vAlign w:val="center"/>
          </w:tcPr>
          <w:p w14:paraId="0347CDC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服务人员</w:t>
            </w:r>
          </w:p>
          <w:p w14:paraId="7CFAC46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要求</w:t>
            </w:r>
          </w:p>
        </w:tc>
        <w:tc>
          <w:tcPr>
            <w:tcW w:w="7087" w:type="dxa"/>
            <w:noWrap w:val="0"/>
            <w:vAlign w:val="center"/>
          </w:tcPr>
          <w:p w14:paraId="764C26D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（1）每季度至少开展1次岗位技能、职业素质、服务知识、绿色节能环保等教育培训，并进行适当形式的考核。</w:t>
            </w:r>
          </w:p>
        </w:tc>
      </w:tr>
      <w:tr w14:paraId="2814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C1AA48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B8DF47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1178AC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（2）根据采购方要求对服务人员进行从业资格审查，审查结果向采购方报备。</w:t>
            </w:r>
          </w:p>
        </w:tc>
      </w:tr>
      <w:tr w14:paraId="3BAD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434A29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26A792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B2D889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013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E950EC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6AC960C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7DF8CC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应当按照服务人员需求，足额配备岗位人员，如岗位人员缺失，采购方要根据实际情况核减当月服务费用。如采购方认为服务人员不适应岗位要求或存在其他影响工作的，可要求供应商进行调换。如因供应商原因对服务人员进行调换，应当经采购方同意，更换比例不得超过本项目服务人员总数的20%。本项目服务人员不得在其他项目兼职。</w:t>
            </w:r>
          </w:p>
        </w:tc>
      </w:tr>
      <w:tr w14:paraId="1C75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BEDE05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9EB45E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6659D2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（5）着装分类统一。仪容整洁、姿态端正。发型配饰符合工作岗位。举止文明、用语文明礼貌，态度温和耐心。工作装由供应方提供。</w:t>
            </w:r>
          </w:p>
        </w:tc>
      </w:tr>
      <w:tr w14:paraId="5AC9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9657B9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7569CEA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EAC37D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（6）服务人员身体健康，无妨碍工作的病症。</w:t>
            </w:r>
          </w:p>
        </w:tc>
      </w:tr>
      <w:tr w14:paraId="3B6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0F401B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95" w:type="dxa"/>
            <w:vMerge w:val="restart"/>
            <w:noWrap w:val="0"/>
            <w:vAlign w:val="center"/>
          </w:tcPr>
          <w:p w14:paraId="5F37293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保密和思想政治教育</w:t>
            </w:r>
          </w:p>
        </w:tc>
        <w:tc>
          <w:tcPr>
            <w:tcW w:w="7087" w:type="dxa"/>
            <w:noWrap w:val="0"/>
            <w:vAlign w:val="center"/>
          </w:tcPr>
          <w:p w14:paraId="27C30882">
            <w:pPr>
              <w:keepNext w:val="0"/>
              <w:keepLines w:val="0"/>
              <w:pageBreakBefore w:val="0"/>
              <w:numPr>
                <w:ilvl w:val="0"/>
                <w:numId w:val="3"/>
              </w:numPr>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建立保密管理制度。制度内容应当包括但不限于：</w:t>
            </w:r>
          </w:p>
          <w:p w14:paraId="133E7920">
            <w:pPr>
              <w:keepNext w:val="0"/>
              <w:keepLines w:val="0"/>
              <w:pageBreakBefore w:val="0"/>
              <w:numPr>
                <w:ilvl w:val="0"/>
                <w:numId w:val="0"/>
              </w:numPr>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①明确重点要害岗位保密职责。</w:t>
            </w:r>
          </w:p>
          <w:p w14:paraId="110EE334">
            <w:pPr>
              <w:keepNext w:val="0"/>
              <w:keepLines w:val="0"/>
              <w:pageBreakBefore w:val="0"/>
              <w:numPr>
                <w:ilvl w:val="0"/>
                <w:numId w:val="0"/>
              </w:numPr>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②对涉密工作岗位的保密要求。</w:t>
            </w:r>
          </w:p>
        </w:tc>
      </w:tr>
      <w:tr w14:paraId="015C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6F19C8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1E2F030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EA82E4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（2）根据采购方要求与涉密工作岗位的服务人员签订保密协议。保密协议应当向采购方报备。</w:t>
            </w:r>
          </w:p>
        </w:tc>
      </w:tr>
      <w:tr w14:paraId="61FF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5C0CFF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907785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11F619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半年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1481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9B8CD2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C94546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2FDCA7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（4）发现服务人员违法违规或重大过失，及时报告采购方，并采取必要补救措施。</w:t>
            </w:r>
          </w:p>
        </w:tc>
      </w:tr>
      <w:tr w14:paraId="1121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86214B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75C391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C9AA50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服务人员严守保密底线，不随意打探、传播工作中接触到的采购单位的所有内部信息，对在电梯、走廊等公共区域听到的谈话内容做到“左耳进右耳出”；服务人员不轻易相信未经证实的信息，不参与口头、微信等任何方式的传谣；服务人员与他人交流不猜测、不评论、不议论采购单位内部的敏感话题，对各类消息保持审慎态度，严禁“听风就是雨”。</w:t>
            </w:r>
          </w:p>
        </w:tc>
      </w:tr>
      <w:tr w14:paraId="5AB7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2CC4B2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95" w:type="dxa"/>
            <w:vMerge w:val="restart"/>
            <w:noWrap w:val="0"/>
            <w:vAlign w:val="center"/>
          </w:tcPr>
          <w:p w14:paraId="6527633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档案管理</w:t>
            </w:r>
          </w:p>
        </w:tc>
        <w:tc>
          <w:tcPr>
            <w:tcW w:w="7087" w:type="dxa"/>
            <w:noWrap w:val="0"/>
            <w:vAlign w:val="center"/>
          </w:tcPr>
          <w:p w14:paraId="4DC313A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（1）建立物业信息，准确、及时地对文件资料和服务记录进行归档保存，并确保其物理安全。</w:t>
            </w:r>
          </w:p>
        </w:tc>
      </w:tr>
      <w:tr w14:paraId="1B5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FB205F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5043612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AA3309A">
            <w:pPr>
              <w:keepNext w:val="0"/>
              <w:keepLines w:val="0"/>
              <w:pageBreakBefore w:val="0"/>
              <w:numPr>
                <w:ilvl w:val="0"/>
                <w:numId w:val="3"/>
              </w:numPr>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档案和记录齐全，包括但不限于：</w:t>
            </w:r>
          </w:p>
          <w:p w14:paraId="2D77491E">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①采购方建议与投诉等。教育培训和考核记录。保密、思想政治教育培训记录。</w:t>
            </w:r>
          </w:p>
          <w:p w14:paraId="0F87EC15">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②房屋维护服务：房屋台账、使用说明、房屋装修、维保记录等。</w:t>
            </w:r>
          </w:p>
          <w:p w14:paraId="51CFBB4E">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③公用设施设备维护服务：设备台账、设备卡、使用说明、维保记录、巡查记录、</w:t>
            </w:r>
            <w:r>
              <w:rPr>
                <w:rFonts w:hint="eastAsia" w:asciiTheme="minorEastAsia" w:hAnsiTheme="minorEastAsia" w:eastAsiaTheme="minorEastAsia" w:cstheme="minorEastAsia"/>
                <w:color w:val="auto"/>
                <w:sz w:val="24"/>
                <w:szCs w:val="24"/>
                <w:highlight w:val="none"/>
                <w:lang w:eastAsia="zh-CN"/>
              </w:rPr>
              <w:t>设施设备安全运行、设施设备定期巡检、维护保养、维修档案</w:t>
            </w:r>
            <w:r>
              <w:rPr>
                <w:rFonts w:hint="eastAsia" w:asciiTheme="minorEastAsia" w:hAnsiTheme="minorEastAsia" w:eastAsiaTheme="minorEastAsia" w:cstheme="minorEastAsia"/>
                <w:color w:val="auto"/>
                <w:sz w:val="24"/>
                <w:szCs w:val="24"/>
                <w:highlight w:val="none"/>
                <w:lang w:val="en-US" w:eastAsia="zh-CN"/>
              </w:rPr>
              <w:t>等。</w:t>
            </w:r>
          </w:p>
          <w:p w14:paraId="703353B0">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④保洁服务：工作日志、清洁检查表、用品清单等。</w:t>
            </w:r>
          </w:p>
          <w:p w14:paraId="10D314DD">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⑤绿化服务：绿化总平面图、清洁整改记录、消杀记录等。</w:t>
            </w:r>
          </w:p>
          <w:p w14:paraId="02C49F4D">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⑥其他：来访人员及车辆信息、信报信息分发及登记等。</w:t>
            </w:r>
          </w:p>
        </w:tc>
      </w:tr>
      <w:tr w14:paraId="1AAF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B97632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B28E87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DD1167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（3）遵守采购方的信息、档案资料保密要求，未经许可，不得将建筑物平面图等资料转作其他用途或向其他单位、个人提供。</w:t>
            </w:r>
          </w:p>
        </w:tc>
      </w:tr>
      <w:tr w14:paraId="2160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EAD896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77DCB66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DB16E6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（4）全年各类档案和记录资料齐全，并定期汇总。</w:t>
            </w:r>
          </w:p>
        </w:tc>
      </w:tr>
      <w:tr w14:paraId="43F7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310D9A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66FB90E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8FA14D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（5）履约结束后，相关资料交还采购方，采购方按政府采购相关规定存档。</w:t>
            </w:r>
          </w:p>
        </w:tc>
      </w:tr>
      <w:tr w14:paraId="05B9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01442DA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395" w:type="dxa"/>
            <w:vMerge w:val="restart"/>
            <w:noWrap w:val="0"/>
            <w:vAlign w:val="center"/>
          </w:tcPr>
          <w:p w14:paraId="215EB18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服务改进</w:t>
            </w:r>
          </w:p>
          <w:p w14:paraId="4B1F0BF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4840A4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（1）明确负责人，定期对物业服务过程进行自查，结合反馈意见与评价结果采取改进措施，持续提升管理与服务水平。</w:t>
            </w:r>
          </w:p>
        </w:tc>
      </w:tr>
      <w:tr w14:paraId="056C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9303FF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844AB7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B44FE1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（2）对不合格服务进行控制，对不合格服务的原因进行识别和分析，及时采取纠正措施，消除不合格的原因，防止不合格再发生。</w:t>
            </w:r>
          </w:p>
        </w:tc>
      </w:tr>
      <w:tr w14:paraId="5835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2B03A6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4DCDA6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2EE0E6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（3）需整改问题限时整改完成。</w:t>
            </w:r>
          </w:p>
        </w:tc>
      </w:tr>
      <w:tr w14:paraId="0001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0F3AA4E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395" w:type="dxa"/>
            <w:vMerge w:val="restart"/>
            <w:noWrap w:val="0"/>
            <w:vAlign w:val="center"/>
          </w:tcPr>
          <w:p w14:paraId="724B3B0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重大活动</w:t>
            </w:r>
          </w:p>
          <w:p w14:paraId="5E678E5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服务保障</w:t>
            </w:r>
          </w:p>
        </w:tc>
        <w:tc>
          <w:tcPr>
            <w:tcW w:w="7087" w:type="dxa"/>
            <w:noWrap w:val="0"/>
            <w:vAlign w:val="center"/>
          </w:tcPr>
          <w:p w14:paraId="1E5553C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（1）制订流程。配合采购方制订重大活动后勤保障工作流程，需对任务进行详细了解，并根据工作安排制定详细的后勤保障计划。</w:t>
            </w:r>
          </w:p>
        </w:tc>
      </w:tr>
      <w:tr w14:paraId="5412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5E6389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64E637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4E78BE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41E4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BE8E9C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5C5A4A3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90BFD0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（3）收尾工作。对现场进行检查，做好清理工作。</w:t>
            </w:r>
          </w:p>
        </w:tc>
      </w:tr>
      <w:tr w14:paraId="2406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0BA9B2E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395" w:type="dxa"/>
            <w:vMerge w:val="restart"/>
            <w:noWrap w:val="0"/>
            <w:vAlign w:val="center"/>
          </w:tcPr>
          <w:p w14:paraId="3179FC6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应急保障</w:t>
            </w:r>
          </w:p>
          <w:p w14:paraId="3B7491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预案</w:t>
            </w:r>
          </w:p>
        </w:tc>
        <w:tc>
          <w:tcPr>
            <w:tcW w:w="7087" w:type="dxa"/>
            <w:noWrap w:val="0"/>
            <w:vAlign w:val="center"/>
          </w:tcPr>
          <w:p w14:paraId="2B4B614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2540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9D480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126AF8D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A2581C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47B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03A254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5E143AC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918BC6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（3）应急预案的培训和演练。应急预案定期培训和演练，组织相关岗位每半年至少开展1次专项应急预案演练；留存培训及演练记录和影像资料，并对预案进行评价，确保与实际情况相结合。</w:t>
            </w:r>
          </w:p>
        </w:tc>
      </w:tr>
      <w:tr w14:paraId="2B3E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81496D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CDA866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00DF1E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（4）应急物资的管理。根据专项预案中的应对需要、必要的应急物资，建立清单或台账，并由专人定期对应急物资进行检查，如有应急物资不足应及时购置齐全，确保能够随时正常使用。</w:t>
            </w:r>
          </w:p>
        </w:tc>
      </w:tr>
      <w:tr w14:paraId="55DD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7F8EDC6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395" w:type="dxa"/>
            <w:vMerge w:val="restart"/>
            <w:noWrap w:val="0"/>
            <w:vAlign w:val="center"/>
          </w:tcPr>
          <w:p w14:paraId="022876F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服务方案及工作制度</w:t>
            </w:r>
          </w:p>
        </w:tc>
        <w:tc>
          <w:tcPr>
            <w:tcW w:w="7087" w:type="dxa"/>
            <w:noWrap w:val="0"/>
            <w:vAlign w:val="center"/>
          </w:tcPr>
          <w:p w14:paraId="4F2B9EB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（1）制定工作制度，</w:t>
            </w:r>
            <w:r>
              <w:rPr>
                <w:rFonts w:hint="eastAsia" w:asciiTheme="minorEastAsia" w:hAnsiTheme="minorEastAsia" w:eastAsiaTheme="minorEastAsia" w:cstheme="minorEastAsia"/>
                <w:color w:val="auto"/>
                <w:sz w:val="24"/>
                <w:szCs w:val="24"/>
                <w:highlight w:val="none"/>
                <w:lang w:eastAsia="zh-CN"/>
              </w:rPr>
              <w:t>主要包括但不限于：</w:t>
            </w:r>
            <w:r>
              <w:rPr>
                <w:rFonts w:hint="eastAsia" w:asciiTheme="minorEastAsia" w:hAnsiTheme="minorEastAsia" w:eastAsiaTheme="minorEastAsia" w:cstheme="minorEastAsia"/>
                <w:color w:val="auto"/>
                <w:sz w:val="24"/>
                <w:szCs w:val="24"/>
                <w:highlight w:val="none"/>
                <w:lang w:val="en-US" w:eastAsia="zh-CN"/>
              </w:rPr>
              <w:t>人员录用制度、档案管理制度、</w:t>
            </w:r>
            <w:r>
              <w:rPr>
                <w:rFonts w:hint="eastAsia" w:asciiTheme="minorEastAsia" w:hAnsiTheme="minorEastAsia" w:eastAsiaTheme="minorEastAsia" w:cstheme="minorEastAsia"/>
                <w:color w:val="auto"/>
                <w:sz w:val="24"/>
                <w:szCs w:val="24"/>
                <w:highlight w:val="none"/>
                <w:lang w:eastAsia="zh-CN"/>
              </w:rPr>
              <w:t>物业服务管理制度、</w:t>
            </w:r>
            <w:r>
              <w:rPr>
                <w:rFonts w:hint="eastAsia" w:asciiTheme="minorEastAsia" w:hAnsiTheme="minorEastAsia" w:eastAsiaTheme="minorEastAsia" w:cstheme="minorEastAsia"/>
                <w:color w:val="auto"/>
                <w:sz w:val="24"/>
                <w:szCs w:val="24"/>
                <w:highlight w:val="none"/>
                <w:lang w:val="en-US" w:eastAsia="zh-CN"/>
              </w:rPr>
              <w:t>公用设施设备相关管理制度等</w:t>
            </w:r>
            <w:r>
              <w:rPr>
                <w:rFonts w:hint="eastAsia" w:asciiTheme="minorEastAsia" w:hAnsiTheme="minorEastAsia" w:eastAsiaTheme="minorEastAsia" w:cstheme="minorEastAsia"/>
                <w:color w:val="auto"/>
                <w:sz w:val="24"/>
                <w:szCs w:val="24"/>
                <w:highlight w:val="none"/>
                <w:lang w:eastAsia="zh-CN"/>
              </w:rPr>
              <w:t>。</w:t>
            </w:r>
          </w:p>
        </w:tc>
      </w:tr>
      <w:tr w14:paraId="6FEF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A19F62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436077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2EE677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（2）制定</w:t>
            </w:r>
            <w:r>
              <w:rPr>
                <w:rFonts w:hint="eastAsia" w:asciiTheme="minorEastAsia" w:hAnsiTheme="minorEastAsia" w:eastAsiaTheme="minorEastAsia" w:cstheme="minorEastAsia"/>
                <w:color w:val="auto"/>
                <w:sz w:val="24"/>
                <w:szCs w:val="24"/>
                <w:highlight w:val="none"/>
                <w:lang w:eastAsia="zh-CN"/>
              </w:rPr>
              <w:t>项目实施方案，主要包括但不限于：</w:t>
            </w:r>
            <w:r>
              <w:rPr>
                <w:rFonts w:hint="eastAsia" w:asciiTheme="minorEastAsia" w:hAnsiTheme="minorEastAsia" w:eastAsiaTheme="minorEastAsia" w:cstheme="minorEastAsia"/>
                <w:color w:val="auto"/>
                <w:sz w:val="24"/>
                <w:szCs w:val="24"/>
                <w:highlight w:val="none"/>
                <w:lang w:val="en-US" w:eastAsia="zh-CN"/>
              </w:rPr>
              <w:t>交接</w:t>
            </w:r>
            <w:r>
              <w:rPr>
                <w:rFonts w:hint="eastAsia" w:asciiTheme="minorEastAsia" w:hAnsiTheme="minorEastAsia" w:eastAsiaTheme="minorEastAsia" w:cstheme="minorEastAsia"/>
                <w:color w:val="auto"/>
                <w:sz w:val="24"/>
                <w:szCs w:val="24"/>
                <w:highlight w:val="none"/>
                <w:lang w:eastAsia="zh-CN"/>
              </w:rPr>
              <w:t>方案、人员培训方案、人员稳定性方案、保密方案等。</w:t>
            </w:r>
          </w:p>
        </w:tc>
      </w:tr>
      <w:tr w14:paraId="6AF3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F05F7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F896D1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FA37C6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（3）制定</w:t>
            </w:r>
            <w:r>
              <w:rPr>
                <w:rFonts w:hint="eastAsia" w:asciiTheme="minorEastAsia" w:hAnsiTheme="minorEastAsia" w:eastAsiaTheme="minorEastAsia" w:cstheme="minorEastAsia"/>
                <w:color w:val="auto"/>
                <w:sz w:val="24"/>
                <w:szCs w:val="24"/>
                <w:highlight w:val="none"/>
                <w:lang w:eastAsia="zh-CN"/>
              </w:rPr>
              <w:t>物业服务方案，主要包括但不限于：</w:t>
            </w:r>
            <w:r>
              <w:rPr>
                <w:rFonts w:hint="eastAsia" w:asciiTheme="minorEastAsia" w:hAnsiTheme="minorEastAsia" w:eastAsiaTheme="minorEastAsia" w:cstheme="minorEastAsia"/>
                <w:color w:val="auto"/>
                <w:sz w:val="24"/>
                <w:szCs w:val="24"/>
                <w:highlight w:val="none"/>
                <w:lang w:val="en-US" w:eastAsia="zh-CN"/>
              </w:rPr>
              <w:t>房屋维护服务方案、公用设施设备维护服务方案、</w:t>
            </w:r>
            <w:r>
              <w:rPr>
                <w:rFonts w:hint="eastAsia" w:asciiTheme="minorEastAsia" w:hAnsiTheme="minorEastAsia" w:eastAsiaTheme="minorEastAsia" w:cstheme="minorEastAsia"/>
                <w:color w:val="auto"/>
                <w:sz w:val="24"/>
                <w:szCs w:val="24"/>
                <w:highlight w:val="none"/>
                <w:lang w:eastAsia="zh-CN"/>
              </w:rPr>
              <w:t>绿化</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方案、保洁服务方案、</w:t>
            </w:r>
            <w:r>
              <w:rPr>
                <w:rFonts w:hint="eastAsia" w:asciiTheme="minorEastAsia" w:hAnsiTheme="minorEastAsia" w:eastAsiaTheme="minorEastAsia" w:cstheme="minorEastAsia"/>
                <w:color w:val="auto"/>
                <w:sz w:val="24"/>
                <w:szCs w:val="24"/>
                <w:highlight w:val="none"/>
                <w:lang w:val="en-US" w:eastAsia="zh-CN"/>
              </w:rPr>
              <w:t>保安</w:t>
            </w:r>
            <w:r>
              <w:rPr>
                <w:rFonts w:hint="eastAsia" w:asciiTheme="minorEastAsia" w:hAnsiTheme="minorEastAsia" w:eastAsiaTheme="minorEastAsia" w:cstheme="minorEastAsia"/>
                <w:color w:val="auto"/>
                <w:sz w:val="24"/>
                <w:szCs w:val="24"/>
                <w:highlight w:val="none"/>
                <w:lang w:eastAsia="zh-CN"/>
              </w:rPr>
              <w:t>服务方案、会议服务方案</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eastAsia="zh-CN"/>
              </w:rPr>
              <w:t>。</w:t>
            </w:r>
          </w:p>
        </w:tc>
      </w:tr>
      <w:tr w14:paraId="5D5A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593F8D3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395" w:type="dxa"/>
            <w:vMerge w:val="restart"/>
            <w:noWrap w:val="0"/>
            <w:vAlign w:val="center"/>
          </w:tcPr>
          <w:p w14:paraId="18991AA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信报服务</w:t>
            </w:r>
          </w:p>
        </w:tc>
        <w:tc>
          <w:tcPr>
            <w:tcW w:w="7087" w:type="dxa"/>
            <w:noWrap w:val="0"/>
            <w:vAlign w:val="center"/>
          </w:tcPr>
          <w:p w14:paraId="503D834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（1）对邮件、包裹和挂号信等进行正确分理、安全检查。</w:t>
            </w:r>
          </w:p>
        </w:tc>
      </w:tr>
      <w:tr w14:paraId="0385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1C54F0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2A1CD30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587B85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（2）每日定时分发采购方订购的报刊、各类书籍，及时通知收件人领取邮件。</w:t>
            </w:r>
          </w:p>
        </w:tc>
      </w:tr>
      <w:tr w14:paraId="69A1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359124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3A7123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4F7BE3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大件物品出入</w:t>
            </w:r>
            <w:r>
              <w:rPr>
                <w:rFonts w:hint="eastAsia" w:asciiTheme="minorEastAsia" w:hAnsiTheme="minorEastAsia" w:eastAsiaTheme="minorEastAsia" w:cstheme="minorEastAsia"/>
                <w:color w:val="auto"/>
                <w:sz w:val="24"/>
                <w:szCs w:val="24"/>
                <w:highlight w:val="none"/>
                <w:lang w:val="en-US" w:eastAsia="zh-CN"/>
              </w:rPr>
              <w:t>向采购方报告，待采购方确认无误后放行</w:t>
            </w:r>
            <w:r>
              <w:rPr>
                <w:rFonts w:hint="eastAsia" w:asciiTheme="minorEastAsia" w:hAnsiTheme="minorEastAsia" w:eastAsiaTheme="minorEastAsia" w:cstheme="minorEastAsia"/>
                <w:color w:val="auto"/>
                <w:sz w:val="24"/>
                <w:szCs w:val="24"/>
                <w:highlight w:val="none"/>
                <w:lang w:eastAsia="zh-CN"/>
              </w:rPr>
              <w:t>。</w:t>
            </w:r>
          </w:p>
        </w:tc>
      </w:tr>
      <w:tr w14:paraId="62EC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11A4216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395" w:type="dxa"/>
            <w:vMerge w:val="restart"/>
            <w:noWrap w:val="0"/>
            <w:vAlign w:val="center"/>
          </w:tcPr>
          <w:p w14:paraId="1CC4ECD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服务热线及紧急维修</w:t>
            </w:r>
          </w:p>
        </w:tc>
        <w:tc>
          <w:tcPr>
            <w:tcW w:w="7087" w:type="dxa"/>
            <w:noWrap w:val="0"/>
            <w:vAlign w:val="center"/>
          </w:tcPr>
          <w:p w14:paraId="6C4D3F6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（1）在采购方工作时间内设置客服热线，接受对物业管理服务报修、求助、建议、问询、质疑、投诉等。</w:t>
            </w:r>
          </w:p>
        </w:tc>
      </w:tr>
      <w:tr w14:paraId="5A5B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2437D7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2695F75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p>
        </w:tc>
        <w:tc>
          <w:tcPr>
            <w:tcW w:w="7087" w:type="dxa"/>
            <w:noWrap w:val="0"/>
            <w:vAlign w:val="center"/>
          </w:tcPr>
          <w:p w14:paraId="769B6E9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（2）紧急维修应当3分钟内到达现场，不间断维修直至修复。</w:t>
            </w:r>
          </w:p>
        </w:tc>
      </w:tr>
    </w:tbl>
    <w:p w14:paraId="50435FB8">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2.2房屋维护服务</w:t>
      </w:r>
    </w:p>
    <w:tbl>
      <w:tblPr>
        <w:tblStyle w:val="60"/>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96"/>
        <w:gridCol w:w="7087"/>
      </w:tblGrid>
      <w:tr w14:paraId="6A25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14:paraId="3B35CCE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96" w:type="dxa"/>
            <w:noWrap w:val="0"/>
            <w:vAlign w:val="center"/>
          </w:tcPr>
          <w:p w14:paraId="052B2A3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13192BE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6F08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38D9739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396" w:type="dxa"/>
            <w:vMerge w:val="restart"/>
            <w:noWrap w:val="0"/>
            <w:vAlign w:val="center"/>
          </w:tcPr>
          <w:p w14:paraId="7DE0F19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主体结构、围护结构、部品部件</w:t>
            </w:r>
          </w:p>
        </w:tc>
        <w:tc>
          <w:tcPr>
            <w:tcW w:w="7087" w:type="dxa"/>
            <w:noWrap w:val="0"/>
            <w:vAlign w:val="center"/>
          </w:tcPr>
          <w:p w14:paraId="7E9EF5F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（1）每季度至少开展1次房屋结构安全巡视，发现外观有变形、开裂等现象，及时采取必要的避险和防护措施，并建议采购方申请房屋安全鉴定。</w:t>
            </w:r>
          </w:p>
        </w:tc>
      </w:tr>
      <w:tr w14:paraId="10FD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1C20860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15F7F31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9A9299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（2）每季度至少开展1次外墙贴饰面、幕墙玻璃、雨篷、散水、空调室外机支撑构件等检查，发现破损，及时出具维修方案实施维修，并向采购方报告。</w:t>
            </w:r>
          </w:p>
        </w:tc>
      </w:tr>
      <w:tr w14:paraId="33F1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2DDC929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4D17B81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D45D43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（3）每半月至少开展1次公用部位的门、窗、楼梯、通风道、室内地面、墙面、吊顶和室外屋面等巡查，发现破损，及时出具维修方案实施维修，并向采购方报告。</w:t>
            </w:r>
          </w:p>
        </w:tc>
      </w:tr>
      <w:tr w14:paraId="337F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7A59644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4075B09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6E276F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（4）每年强降雨天气前后、雨雪季节检查屋面防水和雨落管等，发现破损，及时出具维修方案实施维修，并向采购方报告。</w:t>
            </w:r>
          </w:p>
        </w:tc>
      </w:tr>
      <w:tr w14:paraId="7399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33E72D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24DD608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8233AA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（5）办公楼外观完好，建筑装饰面无脱落、无破损、无污渍，玻璃幕墙清洁明亮、无破损。</w:t>
            </w:r>
          </w:p>
        </w:tc>
      </w:tr>
      <w:tr w14:paraId="628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B02988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7D50C7D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42DE070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（6）通道、楼梯、门窗等设施的完好和正常使用。</w:t>
            </w:r>
          </w:p>
        </w:tc>
      </w:tr>
      <w:tr w14:paraId="6383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2327910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96" w:type="dxa"/>
            <w:vMerge w:val="restart"/>
            <w:noWrap w:val="0"/>
            <w:vAlign w:val="center"/>
          </w:tcPr>
          <w:p w14:paraId="2C4F5F4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其他设施</w:t>
            </w:r>
          </w:p>
        </w:tc>
        <w:tc>
          <w:tcPr>
            <w:tcW w:w="7087" w:type="dxa"/>
            <w:noWrap w:val="0"/>
            <w:vAlign w:val="center"/>
          </w:tcPr>
          <w:p w14:paraId="68EA750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（1）每半月至少开展1次大门、道路、场地、管井等巡查。</w:t>
            </w:r>
          </w:p>
        </w:tc>
      </w:tr>
      <w:tr w14:paraId="689D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3F938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386D7C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DA23B8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（2）路面状态良好，地漏通畅不堵塞。</w:t>
            </w:r>
          </w:p>
        </w:tc>
      </w:tr>
      <w:tr w14:paraId="169C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4377F9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217D33E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716EF8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（3）接到采购方家具报修服务后，针对保修期内的家具，及时通知供货商进行维修；针对保修期外的家具，限时进行维修。</w:t>
            </w:r>
          </w:p>
        </w:tc>
      </w:tr>
      <w:tr w14:paraId="73A0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26AC57C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96" w:type="dxa"/>
            <w:vMerge w:val="restart"/>
            <w:noWrap w:val="0"/>
            <w:vAlign w:val="center"/>
          </w:tcPr>
          <w:p w14:paraId="209F7B2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装饰装修</w:t>
            </w:r>
          </w:p>
          <w:p w14:paraId="48CE352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监督</w:t>
            </w:r>
            <w:r>
              <w:rPr>
                <w:rFonts w:hint="eastAsia" w:asciiTheme="minorEastAsia" w:hAnsiTheme="minorEastAsia" w:eastAsiaTheme="minorEastAsia" w:cstheme="minorEastAsia"/>
                <w:color w:val="auto"/>
                <w:sz w:val="24"/>
                <w:szCs w:val="24"/>
                <w:highlight w:val="none"/>
                <w:lang w:eastAsia="zh-CN"/>
              </w:rPr>
              <w:t>管理</w:t>
            </w:r>
          </w:p>
        </w:tc>
        <w:tc>
          <w:tcPr>
            <w:tcW w:w="7087" w:type="dxa"/>
            <w:noWrap w:val="0"/>
            <w:vAlign w:val="center"/>
          </w:tcPr>
          <w:p w14:paraId="59368F7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（1）装饰装修前，供应商应当与采购方委托的装修方签订装饰装修管理服务协议，告知装饰装修须知，并对装饰装修过程进行管理服务。</w:t>
            </w:r>
          </w:p>
        </w:tc>
      </w:tr>
      <w:tr w14:paraId="6953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613664A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13EDE3E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FD855D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（2）受采购方委托对房屋内装修进行严格的监督管理，发现问题及时上报，确保不因装修而危及大楼结构安全、人身安全和影响正常办公秩序。</w:t>
            </w:r>
          </w:p>
        </w:tc>
      </w:tr>
      <w:tr w14:paraId="412B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68F40B0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96" w:type="dxa"/>
            <w:vMerge w:val="restart"/>
            <w:noWrap w:val="0"/>
            <w:vAlign w:val="center"/>
          </w:tcPr>
          <w:p w14:paraId="7D6283D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标识标牌</w:t>
            </w:r>
          </w:p>
        </w:tc>
        <w:tc>
          <w:tcPr>
            <w:tcW w:w="7087" w:type="dxa"/>
            <w:noWrap w:val="0"/>
            <w:vAlign w:val="center"/>
          </w:tcPr>
          <w:p w14:paraId="7918856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（1）标识标牌符合《</w:t>
            </w:r>
            <w:r>
              <w:rPr>
                <w:rFonts w:hint="eastAsia" w:asciiTheme="minorEastAsia" w:hAnsiTheme="minorEastAsia" w:eastAsiaTheme="minorEastAsia" w:cstheme="minorEastAsia"/>
                <w:color w:val="auto"/>
                <w:sz w:val="24"/>
                <w:szCs w:val="24"/>
                <w:highlight w:val="none"/>
                <w:lang w:eastAsia="zh-CN"/>
              </w:rPr>
              <w:t>公共信息图形符号 第1部分：通用符号</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GB/T 10001.1</w:t>
            </w:r>
            <w:r>
              <w:rPr>
                <w:rFonts w:hint="eastAsia" w:asciiTheme="minorEastAsia" w:hAnsiTheme="minorEastAsia" w:eastAsiaTheme="minorEastAsia" w:cstheme="minorEastAsia"/>
                <w:color w:val="auto"/>
                <w:sz w:val="24"/>
                <w:szCs w:val="24"/>
                <w:highlight w:val="none"/>
                <w:lang w:val="en-US" w:eastAsia="zh-CN"/>
              </w:rPr>
              <w:t>）的相关要求，消防与安全标识符合《</w:t>
            </w:r>
            <w:r>
              <w:rPr>
                <w:rFonts w:hint="eastAsia" w:asciiTheme="minorEastAsia" w:hAnsiTheme="minorEastAsia" w:eastAsiaTheme="minorEastAsia" w:cstheme="minorEastAsia"/>
                <w:color w:val="auto"/>
                <w:sz w:val="24"/>
                <w:szCs w:val="24"/>
                <w:highlight w:val="none"/>
                <w:lang w:eastAsia="zh-CN"/>
              </w:rPr>
              <w:t>安全标志及其使用导则</w:t>
            </w:r>
            <w:r>
              <w:rPr>
                <w:rFonts w:hint="eastAsia" w:asciiTheme="minorEastAsia" w:hAnsiTheme="minorEastAsia" w:eastAsiaTheme="minorEastAsia" w:cstheme="minorEastAsia"/>
                <w:color w:val="auto"/>
                <w:sz w:val="24"/>
                <w:szCs w:val="24"/>
                <w:highlight w:val="none"/>
                <w:lang w:val="en-US" w:eastAsia="zh-CN"/>
              </w:rPr>
              <w:t>》（GB 2894）、《消防安全标志　第1部分：标志》（GB 13495.1）的相关要求。</w:t>
            </w:r>
          </w:p>
        </w:tc>
      </w:tr>
      <w:tr w14:paraId="0D3B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70E6E15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0189A0D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CDE643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（2）每月至少检查1次标识标牌和消防与安全标识，做好检查记录。标牌标识应当规范清晰、路线指引正确、安装稳固。</w:t>
            </w:r>
          </w:p>
        </w:tc>
      </w:tr>
      <w:tr w14:paraId="1B8E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0D1AC52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6" w:type="dxa"/>
            <w:vMerge w:val="continue"/>
            <w:noWrap w:val="0"/>
            <w:vAlign w:val="center"/>
          </w:tcPr>
          <w:p w14:paraId="52943BF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0AA9B5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（3）根据采购方要求或协助采购方张贴公共机构节能、爱卫、禁烟等相关宣传标识。</w:t>
            </w:r>
          </w:p>
        </w:tc>
      </w:tr>
    </w:tbl>
    <w:p w14:paraId="3754F6E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2.3公用设施设备维护服务</w:t>
      </w:r>
    </w:p>
    <w:tbl>
      <w:tblPr>
        <w:tblStyle w:val="60"/>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83"/>
        <w:gridCol w:w="7087"/>
      </w:tblGrid>
      <w:tr w14:paraId="6DE1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14:paraId="246A346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83" w:type="dxa"/>
            <w:noWrap w:val="0"/>
            <w:vAlign w:val="center"/>
          </w:tcPr>
          <w:p w14:paraId="0B800C1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3DB2CE6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736C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2BBC79D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1383" w:type="dxa"/>
            <w:vMerge w:val="restart"/>
            <w:noWrap w:val="0"/>
            <w:vAlign w:val="center"/>
          </w:tcPr>
          <w:p w14:paraId="6CCEBAB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基本要求</w:t>
            </w:r>
          </w:p>
        </w:tc>
        <w:tc>
          <w:tcPr>
            <w:tcW w:w="7087" w:type="dxa"/>
            <w:noWrap w:val="0"/>
            <w:vAlign w:val="center"/>
          </w:tcPr>
          <w:p w14:paraId="4C90207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（1）重大节假日及恶劣天气前后，组织系统巡检1次。</w:t>
            </w:r>
          </w:p>
        </w:tc>
      </w:tr>
      <w:tr w14:paraId="2BFD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AD9A0C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1233EE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0801BD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（2）具备设施设备安全、稳定运行的环境和场所（含有限空间），温湿度、照度、粉尘和烟雾浓度等符合相关安全规范。</w:t>
            </w:r>
          </w:p>
        </w:tc>
      </w:tr>
      <w:tr w14:paraId="2545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2DB6251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1383" w:type="dxa"/>
            <w:vMerge w:val="restart"/>
            <w:noWrap w:val="0"/>
            <w:vAlign w:val="center"/>
          </w:tcPr>
          <w:p w14:paraId="13CEF21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一般设备维护、保养</w:t>
            </w:r>
          </w:p>
        </w:tc>
        <w:tc>
          <w:tcPr>
            <w:tcW w:w="7087" w:type="dxa"/>
            <w:noWrap w:val="0"/>
            <w:vAlign w:val="center"/>
          </w:tcPr>
          <w:p w14:paraId="207F110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办公楼内设备、设施损坏的维修,以保持房屋原来完好等级为目的的日常养护工程，日常水、电、暖及基础设施零星维修；下水管道、雨水井的日常检查、维护；定期对设备、各类配电箱/柜检查及室外管网的日常维护保养；室外设施设备冬季防冻保温；各类办公区、会议室设施、桌椅紧固检查维修；楼内水、电、中央空调等设施的巡视检查；办公室、会议室物品的临时搬迁和调整；电梯的日常巡检记录工作；外来施工人员的监督配合管理；工程维修材料均由采购方供应。设备管理制度健全,设备的运行、维护、保养、巡检必须要有记录。</w:t>
            </w:r>
          </w:p>
        </w:tc>
      </w:tr>
      <w:tr w14:paraId="443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A2C5F2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6D8CC9E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5CA6AA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（2）遵守设备操作规程,保证设备正常运行使用。</w:t>
            </w:r>
          </w:p>
        </w:tc>
      </w:tr>
      <w:tr w14:paraId="144C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843EDD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7B213A9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B3DB4D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（3）定期和及时养护、检修设备,确保设备正常运行。</w:t>
            </w:r>
          </w:p>
        </w:tc>
      </w:tr>
      <w:tr w14:paraId="0C5D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23FBA4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7AA4F8E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20CA76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（4）水、电、暖等维修接业主报修电话10分钟内到达现场,确认故障,小修及时解决,中修、大修先确定方案,及时上报采购方。</w:t>
            </w:r>
          </w:p>
        </w:tc>
      </w:tr>
      <w:tr w14:paraId="30BB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97347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57C5B47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0C5D30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（5）设备卫生每月清洁一次,保证设备、设施清洁。</w:t>
            </w:r>
          </w:p>
        </w:tc>
      </w:tr>
      <w:tr w14:paraId="36FC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05F5CA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169761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1ADADF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（6）每年设备全面安全检查二次。</w:t>
            </w:r>
          </w:p>
        </w:tc>
      </w:tr>
      <w:tr w14:paraId="3EF0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14:paraId="3B77B20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83" w:type="dxa"/>
            <w:vMerge w:val="restart"/>
            <w:noWrap w:val="0"/>
            <w:vAlign w:val="center"/>
          </w:tcPr>
          <w:p w14:paraId="5F78148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设备维</w:t>
            </w:r>
            <w:r>
              <w:rPr>
                <w:rFonts w:hint="eastAsia" w:asciiTheme="minorEastAsia" w:hAnsiTheme="minorEastAsia" w:eastAsiaTheme="minorEastAsia" w:cstheme="minorEastAsia"/>
                <w:color w:val="auto"/>
                <w:sz w:val="24"/>
                <w:szCs w:val="24"/>
                <w:highlight w:val="none"/>
                <w:lang w:eastAsia="zh-CN"/>
              </w:rPr>
              <w:t>修</w:t>
            </w:r>
          </w:p>
          <w:p w14:paraId="2A0B935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监督</w:t>
            </w:r>
            <w:r>
              <w:rPr>
                <w:rFonts w:hint="eastAsia" w:asciiTheme="minorEastAsia" w:hAnsiTheme="minorEastAsia" w:eastAsiaTheme="minorEastAsia" w:cstheme="minorEastAsia"/>
                <w:color w:val="auto"/>
                <w:sz w:val="24"/>
                <w:szCs w:val="24"/>
                <w:highlight w:val="none"/>
                <w:lang w:eastAsia="zh-CN"/>
              </w:rPr>
              <w:t>管理</w:t>
            </w:r>
          </w:p>
        </w:tc>
        <w:tc>
          <w:tcPr>
            <w:tcW w:w="7087" w:type="dxa"/>
            <w:noWrap w:val="0"/>
            <w:vAlign w:val="center"/>
          </w:tcPr>
          <w:p w14:paraId="6F28F9F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（1）设备维修前，供应商应当与采购方委托的设备维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方签订设备维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管理服务协议，告知设备维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须知，并对设备维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过程进行管理服务。</w:t>
            </w:r>
          </w:p>
        </w:tc>
      </w:tr>
      <w:tr w14:paraId="30D1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noWrap w:val="0"/>
            <w:vAlign w:val="center"/>
          </w:tcPr>
          <w:p w14:paraId="2D9438F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06EF6DC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9DE84F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（2）受采购方委托对设备的维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进行严格的监督管理，发现问题及时上报，确保人身安全、不影响正常办公秩序、不发生安全事故、。</w:t>
            </w:r>
          </w:p>
        </w:tc>
      </w:tr>
      <w:tr w14:paraId="5761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14:paraId="62A3CE1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83" w:type="dxa"/>
            <w:vMerge w:val="restart"/>
            <w:noWrap w:val="0"/>
            <w:vAlign w:val="center"/>
          </w:tcPr>
          <w:p w14:paraId="37ED41E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设备机房</w:t>
            </w:r>
          </w:p>
        </w:tc>
        <w:tc>
          <w:tcPr>
            <w:tcW w:w="7087" w:type="dxa"/>
            <w:noWrap w:val="0"/>
            <w:vAlign w:val="center"/>
          </w:tcPr>
          <w:p w14:paraId="6912521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3198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14:paraId="52C3D4D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185F513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39B3AF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（2）设备机房门窗、锁具应当完好、有效。</w:t>
            </w:r>
          </w:p>
        </w:tc>
      </w:tr>
      <w:tr w14:paraId="432B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noWrap w:val="0"/>
            <w:vAlign w:val="center"/>
          </w:tcPr>
          <w:p w14:paraId="02C35FF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136B5E7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3A2388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（3）每月至少开展1次清洁，整洁有序、无杂物、无积尘、无鼠、无虫害，温湿度符合设备运行要求。</w:t>
            </w:r>
          </w:p>
        </w:tc>
      </w:tr>
      <w:tr w14:paraId="057E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14:paraId="490302D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0063FCF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114C8C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（4）按各设备机房国家标准规范规定维护/保管消防、通风、应急照明，防止小动物进入。</w:t>
            </w:r>
          </w:p>
        </w:tc>
      </w:tr>
      <w:tr w14:paraId="73DA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noWrap w:val="0"/>
            <w:vAlign w:val="center"/>
          </w:tcPr>
          <w:p w14:paraId="336F3B0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6EE24BB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E89D6A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（5）安全防护用具配置齐全，检验合格。</w:t>
            </w:r>
          </w:p>
        </w:tc>
      </w:tr>
      <w:tr w14:paraId="375C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14:paraId="5F31EC6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31A228B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4CB3D4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（6）应急设施设备用品应当齐全、完备，可随时启用。</w:t>
            </w:r>
          </w:p>
        </w:tc>
      </w:tr>
      <w:tr w14:paraId="3351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21C3527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383" w:type="dxa"/>
            <w:vMerge w:val="restart"/>
            <w:noWrap w:val="0"/>
            <w:vAlign w:val="center"/>
          </w:tcPr>
          <w:p w14:paraId="366049D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给排水系统</w:t>
            </w:r>
          </w:p>
        </w:tc>
        <w:tc>
          <w:tcPr>
            <w:tcW w:w="7087" w:type="dxa"/>
            <w:noWrap w:val="0"/>
            <w:vAlign w:val="center"/>
          </w:tcPr>
          <w:p w14:paraId="0B3D0B6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（1）设施设备、阀门、管道等运行正常，无跑、冒、滴、漏现象。</w:t>
            </w:r>
          </w:p>
        </w:tc>
      </w:tr>
      <w:tr w14:paraId="1CEB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DCAB2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27A4CE9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C5C2A1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（2）有泵房、消防水箱间、水池的，每日至少巡视1次。每年至少养护1次水泵。</w:t>
            </w:r>
          </w:p>
        </w:tc>
      </w:tr>
      <w:tr w14:paraId="00CB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2A9AFC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18480BC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1F2075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（3）遇供水单位限水、停水，提前做好相应措施并通知采购方。</w:t>
            </w:r>
          </w:p>
        </w:tc>
      </w:tr>
      <w:tr w14:paraId="66EF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1D0B366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383" w:type="dxa"/>
            <w:vMerge w:val="restart"/>
            <w:noWrap w:val="0"/>
            <w:vAlign w:val="center"/>
          </w:tcPr>
          <w:p w14:paraId="7AADA31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空调</w:t>
            </w:r>
            <w:r>
              <w:rPr>
                <w:rFonts w:hint="eastAsia" w:asciiTheme="minorEastAsia" w:hAnsiTheme="minorEastAsia" w:eastAsiaTheme="minorEastAsia" w:cstheme="minorEastAsia"/>
                <w:color w:val="auto"/>
                <w:sz w:val="24"/>
                <w:szCs w:val="24"/>
                <w:highlight w:val="none"/>
                <w:lang w:eastAsia="zh-CN"/>
              </w:rPr>
              <w:t>系统及新风系统</w:t>
            </w:r>
          </w:p>
        </w:tc>
        <w:tc>
          <w:tcPr>
            <w:tcW w:w="7087" w:type="dxa"/>
            <w:noWrap w:val="0"/>
            <w:vAlign w:val="center"/>
          </w:tcPr>
          <w:p w14:paraId="535CD32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（1）系统运行管理符合国家标准有关要求；系统清洗符合《空调通风系统清洗规范》（GB 19210-2003）的相关要求。</w:t>
            </w:r>
          </w:p>
        </w:tc>
      </w:tr>
      <w:tr w14:paraId="2A9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43F1C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77F79FB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413187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（2）办公楼内温湿度、空气质量等符合《室内空气质量标准》（GB/T 18883）的相关要求。</w:t>
            </w:r>
          </w:p>
        </w:tc>
      </w:tr>
      <w:tr w14:paraId="2A19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C13B0E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4242104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F203F5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（3）定期维保并做好记录，保证空调设施设备处于良好状态。</w:t>
            </w:r>
          </w:p>
        </w:tc>
      </w:tr>
      <w:tr w14:paraId="364E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AEE72D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3EFB1A6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EA1797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（4）中央空调运行前对冷水机组、循环水泵、冷却水泵、冷却塔、风机盘管等设施设备进行系统检查，运行期间每日至少开展1次运行情况巡查。</w:t>
            </w:r>
          </w:p>
        </w:tc>
      </w:tr>
      <w:tr w14:paraId="7F3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5A9F6F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2AA1CC2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5A7CB8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（5）每年至少开展1次管道、阀门、循环水泵、冷却水泵检查并除锈。</w:t>
            </w:r>
          </w:p>
        </w:tc>
      </w:tr>
      <w:tr w14:paraId="0F09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42" w:type="dxa"/>
            <w:vMerge w:val="continue"/>
            <w:noWrap w:val="0"/>
            <w:vAlign w:val="center"/>
          </w:tcPr>
          <w:p w14:paraId="0BD7A71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5CCC80D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7E99F8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（6）每季度至少开展1次挂机和室外支架稳固性巡查。</w:t>
            </w:r>
          </w:p>
        </w:tc>
      </w:tr>
      <w:tr w14:paraId="76B1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11A111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0091A71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6AE695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（7）制冷、供暖系统温度设定及启用时间符合节能要求。</w:t>
            </w:r>
          </w:p>
        </w:tc>
      </w:tr>
      <w:tr w14:paraId="3D9A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B3C4F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3F808EE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F42748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（8）发现故障或损坏应当在10分钟内到场，紧急维修应当在3分钟内到达现场，在24小时内维修完毕。</w:t>
            </w:r>
          </w:p>
        </w:tc>
      </w:tr>
      <w:tr w14:paraId="77A3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136FD26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383" w:type="dxa"/>
            <w:vMerge w:val="restart"/>
            <w:noWrap w:val="0"/>
            <w:vAlign w:val="center"/>
          </w:tcPr>
          <w:p w14:paraId="29AA3DA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w:t>
            </w:r>
            <w:r>
              <w:rPr>
                <w:rFonts w:hint="eastAsia" w:asciiTheme="minorEastAsia" w:hAnsiTheme="minorEastAsia" w:eastAsiaTheme="minorEastAsia" w:cstheme="minorEastAsia"/>
                <w:color w:val="auto"/>
                <w:sz w:val="24"/>
                <w:szCs w:val="24"/>
                <w:highlight w:val="none"/>
                <w:lang w:val="en-US" w:eastAsia="zh-CN"/>
              </w:rPr>
              <w:t>配电</w:t>
            </w:r>
            <w:r>
              <w:rPr>
                <w:rFonts w:hint="eastAsia" w:asciiTheme="minorEastAsia" w:hAnsiTheme="minorEastAsia" w:eastAsiaTheme="minorEastAsia" w:cstheme="minorEastAsia"/>
                <w:color w:val="auto"/>
                <w:sz w:val="24"/>
                <w:szCs w:val="24"/>
                <w:highlight w:val="none"/>
                <w:lang w:eastAsia="zh-CN"/>
              </w:rPr>
              <w:t>系统</w:t>
            </w:r>
          </w:p>
        </w:tc>
        <w:tc>
          <w:tcPr>
            <w:tcW w:w="7087" w:type="dxa"/>
            <w:noWrap w:val="0"/>
            <w:vAlign w:val="center"/>
          </w:tcPr>
          <w:p w14:paraId="4B22584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（1）建立24小时运行值班监控制度。</w:t>
            </w:r>
          </w:p>
        </w:tc>
      </w:tr>
      <w:tr w14:paraId="1E6C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03C51B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383" w:type="dxa"/>
            <w:vMerge w:val="continue"/>
            <w:noWrap w:val="0"/>
            <w:vAlign w:val="center"/>
          </w:tcPr>
          <w:p w14:paraId="6FECEA3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8809F9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（2）对供电范围内的电气设备定期巡视维护，电气设备编号标识齐全、明显，加强高低压配电柜、配电箱、控制柜及线路等重点部位监测。</w:t>
            </w:r>
          </w:p>
        </w:tc>
      </w:tr>
      <w:tr w14:paraId="3542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1DC38F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383" w:type="dxa"/>
            <w:vMerge w:val="continue"/>
            <w:noWrap w:val="0"/>
            <w:vAlign w:val="center"/>
          </w:tcPr>
          <w:p w14:paraId="4EBC806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6D0CB6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（3）公共使用的照明、指示灯具线路、开关、接地等保持完好，确保用电安全。</w:t>
            </w:r>
          </w:p>
        </w:tc>
      </w:tr>
      <w:tr w14:paraId="2D79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E2BD4D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383" w:type="dxa"/>
            <w:vMerge w:val="continue"/>
            <w:noWrap w:val="0"/>
            <w:vAlign w:val="center"/>
          </w:tcPr>
          <w:p w14:paraId="59F9240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81941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（4）核心部位用电建立高可控用电保障和配备应急发电设备，定期维护应急发电设备。</w:t>
            </w:r>
          </w:p>
        </w:tc>
      </w:tr>
      <w:tr w14:paraId="28D9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9F5797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383" w:type="dxa"/>
            <w:vMerge w:val="continue"/>
            <w:noWrap w:val="0"/>
            <w:vAlign w:val="center"/>
          </w:tcPr>
          <w:p w14:paraId="5DE3CD9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7B886E9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（5）发生非计划性停电的，应当在事件发生后采取快速恢复或启用应急电源处理工作，并及时通知采购方。</w:t>
            </w:r>
          </w:p>
        </w:tc>
      </w:tr>
      <w:tr w14:paraId="0340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725803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383" w:type="dxa"/>
            <w:vMerge w:val="continue"/>
            <w:noWrap w:val="0"/>
            <w:vAlign w:val="center"/>
          </w:tcPr>
          <w:p w14:paraId="6E1C0FB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F28A9D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（6）复杂故障涉及供电部门维修处置的及时与供电部门联系，并向采购方报告。</w:t>
            </w:r>
          </w:p>
        </w:tc>
      </w:tr>
      <w:tr w14:paraId="5F40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35D6A5A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383" w:type="dxa"/>
            <w:vMerge w:val="restart"/>
            <w:noWrap w:val="0"/>
            <w:vAlign w:val="center"/>
          </w:tcPr>
          <w:p w14:paraId="41756E2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弱电系统</w:t>
            </w:r>
          </w:p>
        </w:tc>
        <w:tc>
          <w:tcPr>
            <w:tcW w:w="7087" w:type="dxa"/>
            <w:noWrap w:val="0"/>
            <w:vAlign w:val="center"/>
          </w:tcPr>
          <w:p w14:paraId="0F1247C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（1）安全防范系统维护保养符合《安全防范系统维护保养规范》（</w:t>
            </w:r>
            <w:r>
              <w:rPr>
                <w:rFonts w:hint="eastAsia" w:asciiTheme="minorEastAsia" w:hAnsiTheme="minorEastAsia" w:eastAsiaTheme="minorEastAsia" w:cstheme="minorEastAsia"/>
                <w:color w:val="auto"/>
                <w:sz w:val="24"/>
                <w:szCs w:val="24"/>
                <w:highlight w:val="none"/>
                <w:lang w:eastAsia="zh-CN"/>
              </w:rPr>
              <w:t>GA/T 1081</w:t>
            </w:r>
            <w:r>
              <w:rPr>
                <w:rFonts w:hint="eastAsia" w:asciiTheme="minorEastAsia" w:hAnsiTheme="minorEastAsia" w:eastAsiaTheme="minorEastAsia" w:cstheme="minorEastAsia"/>
                <w:color w:val="auto"/>
                <w:sz w:val="24"/>
                <w:szCs w:val="24"/>
                <w:highlight w:val="none"/>
                <w:lang w:val="en-US" w:eastAsia="zh-CN"/>
              </w:rPr>
              <w:t>）的相关要求。</w:t>
            </w:r>
          </w:p>
        </w:tc>
      </w:tr>
      <w:tr w14:paraId="1054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3FF695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337C4AC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34C1DB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（2）保持监控系统、门禁系统、安全防范系统等运行正常，有故障及时排除。</w:t>
            </w:r>
          </w:p>
        </w:tc>
      </w:tr>
      <w:tr w14:paraId="0C6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4817950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383" w:type="dxa"/>
            <w:vMerge w:val="restart"/>
            <w:noWrap w:val="0"/>
            <w:vAlign w:val="center"/>
          </w:tcPr>
          <w:p w14:paraId="354E0DC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照明</w:t>
            </w:r>
            <w:r>
              <w:rPr>
                <w:rFonts w:hint="eastAsia" w:asciiTheme="minorEastAsia" w:hAnsiTheme="minorEastAsia" w:eastAsiaTheme="minorEastAsia" w:cstheme="minorEastAsia"/>
                <w:color w:val="auto"/>
                <w:sz w:val="24"/>
                <w:szCs w:val="24"/>
                <w:highlight w:val="none"/>
                <w:lang w:eastAsia="zh-CN"/>
              </w:rPr>
              <w:t>系统</w:t>
            </w:r>
          </w:p>
        </w:tc>
        <w:tc>
          <w:tcPr>
            <w:tcW w:w="7087" w:type="dxa"/>
            <w:noWrap w:val="0"/>
            <w:vAlign w:val="center"/>
          </w:tcPr>
          <w:p w14:paraId="3EA42EA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（1）外观整洁无缺损、无松落；换新后的照明相关设备无破损、无歪斜。</w:t>
            </w:r>
          </w:p>
        </w:tc>
      </w:tr>
      <w:tr w14:paraId="5EF0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817BA0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658DBC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E9CB13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（2）更换的照明灯具应当选用节能环保产品，亮度与更换前保持一致。</w:t>
            </w:r>
          </w:p>
        </w:tc>
      </w:tr>
      <w:tr w14:paraId="1C30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277CE3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7688C3C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26BF82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（3）每周至少开展1次公共区域照明设备巡视。</w:t>
            </w:r>
          </w:p>
        </w:tc>
      </w:tr>
      <w:tr w14:paraId="79EE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8A6D92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248E347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507142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（4）配合采购方做好节电等节约资源能源相关工作。</w:t>
            </w:r>
          </w:p>
        </w:tc>
      </w:tr>
      <w:tr w14:paraId="3F31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108AC3B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383" w:type="dxa"/>
            <w:vMerge w:val="restart"/>
            <w:noWrap w:val="0"/>
            <w:vAlign w:val="center"/>
          </w:tcPr>
          <w:p w14:paraId="2059B40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采暖系统</w:t>
            </w:r>
          </w:p>
        </w:tc>
        <w:tc>
          <w:tcPr>
            <w:tcW w:w="7087" w:type="dxa"/>
            <w:noWrap w:val="0"/>
            <w:vAlign w:val="center"/>
          </w:tcPr>
          <w:p w14:paraId="65DDD39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（1）定期检查供暖管道、阀门、暖气片、板式换热器、循环水泵、风机盘管运行情况，确保正常无隐患。</w:t>
            </w:r>
          </w:p>
        </w:tc>
      </w:tr>
      <w:tr w14:paraId="064A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0D1924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64BBC5F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B587DE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（2）负责暖气片、阀门龙头等新装布置及旧装拆除、日常维修更换及管线的跑、冒、滴、漏的维修。</w:t>
            </w:r>
          </w:p>
        </w:tc>
      </w:tr>
      <w:tr w14:paraId="2CF4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C34142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7653A32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E23060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（3）做好供暖前检查等相关准备工作。</w:t>
            </w:r>
          </w:p>
        </w:tc>
      </w:tr>
      <w:tr w14:paraId="48A9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A4DA10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7306FEF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D58B75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（4）暖气片上水前，提前通知采购方。</w:t>
            </w:r>
          </w:p>
        </w:tc>
      </w:tr>
      <w:tr w14:paraId="05F1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DBE03A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83" w:type="dxa"/>
            <w:vMerge w:val="continue"/>
            <w:noWrap w:val="0"/>
            <w:vAlign w:val="center"/>
          </w:tcPr>
          <w:p w14:paraId="68AABA6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5C2D4F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（5）供暖期间做好日常检查、维护、抢修、登记上报等工作，要确保办公室、大厅温度在规定范围，如温度过低，及时排查原因并解决。</w:t>
            </w:r>
          </w:p>
        </w:tc>
      </w:tr>
    </w:tbl>
    <w:p w14:paraId="776A26A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2.4保洁服务</w:t>
      </w:r>
    </w:p>
    <w:tbl>
      <w:tblPr>
        <w:tblStyle w:val="60"/>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418"/>
        <w:gridCol w:w="7087"/>
      </w:tblGrid>
      <w:tr w14:paraId="329E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14:paraId="232E0C4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418" w:type="dxa"/>
            <w:noWrap w:val="0"/>
            <w:vAlign w:val="center"/>
          </w:tcPr>
          <w:p w14:paraId="22C12F2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470CD6C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4151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76AC05C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418" w:type="dxa"/>
            <w:vMerge w:val="restart"/>
            <w:noWrap w:val="0"/>
            <w:vAlign w:val="center"/>
          </w:tcPr>
          <w:p w14:paraId="0BE5A8A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基本要求</w:t>
            </w:r>
          </w:p>
        </w:tc>
        <w:tc>
          <w:tcPr>
            <w:tcW w:w="7087" w:type="dxa"/>
            <w:noWrap w:val="0"/>
            <w:vAlign w:val="center"/>
          </w:tcPr>
          <w:p w14:paraId="6468CE4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（1）建立保洁服务的工作制度及工作计划，并按照执行。</w:t>
            </w:r>
          </w:p>
        </w:tc>
      </w:tr>
      <w:tr w14:paraId="1066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2368205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39D7C55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F46271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（2）做好每日保洁服务工作记录，记录填写规范、保存完好。</w:t>
            </w:r>
          </w:p>
        </w:tc>
      </w:tr>
      <w:tr w14:paraId="3CE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042BAC0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548E0F5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92E9B3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（3）按制度规定统一着装，作业时采取安全防护措施，防止对作业人员或他人造成伤害。相关耗材的环保、安全性等应当符合国家相关规定要求。</w:t>
            </w:r>
          </w:p>
        </w:tc>
      </w:tr>
      <w:tr w14:paraId="13D6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7551B6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06347F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EBFE57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（4）用语文明礼貌，不扎堆闲聊或大声喧哗；严禁进入涉密区域。日常工作中能及时发现并反馈保洁区域内的各类设备设施等缺陷或问题。</w:t>
            </w:r>
          </w:p>
        </w:tc>
      </w:tr>
      <w:tr w14:paraId="59F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11B674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0C95FE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7C9922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（5）保洁服务所使用的工具、用品、消耗品均由供应方提供。</w:t>
            </w:r>
          </w:p>
        </w:tc>
      </w:tr>
      <w:tr w14:paraId="3BB1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19" w:type="dxa"/>
            <w:vMerge w:val="restart"/>
            <w:noWrap w:val="0"/>
            <w:vAlign w:val="center"/>
          </w:tcPr>
          <w:p w14:paraId="0667DC5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418" w:type="dxa"/>
            <w:vMerge w:val="restart"/>
            <w:noWrap w:val="0"/>
            <w:vAlign w:val="center"/>
          </w:tcPr>
          <w:p w14:paraId="01D8E9B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楼内办公用房区域保洁</w:t>
            </w:r>
          </w:p>
        </w:tc>
        <w:tc>
          <w:tcPr>
            <w:tcW w:w="7087" w:type="dxa"/>
            <w:noWrap w:val="0"/>
            <w:vAlign w:val="center"/>
          </w:tcPr>
          <w:p w14:paraId="749DD5F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楼内公共区域（大厅、楼梯、走廊、空中连廊、电梯、门厅、卫生间、开水间、天台、地下车库、设备间）、各类会议室、领导办公室、值班室、多功能用房等卫生清洁，垃圾的收集、分类、清运管理工作：</w:t>
            </w:r>
          </w:p>
          <w:p w14:paraId="2615DAF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①公共通道保持干净，无异味、无杂物、无积水，每日至少开展1次清洁作业。大理石、瓷砖经过清洁、尘推保洁后，能做到表面光亮，无污迹、无杂物。</w:t>
            </w:r>
          </w:p>
          <w:p w14:paraId="204F690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②门窗玻璃干净无尘，透光性好。楼内面砖、乳胶涂料、金属材料等镜面墙面无灰尘、蛛网、无污染。墙面上装饰品、吊顶灯具、指示牌、外露管道等，保持无污迹、无积尘。</w:t>
            </w:r>
          </w:p>
          <w:p w14:paraId="3994BE2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③楼内面砖、乳胶涂料、金属材料等镜面墙面无灰尘、蛛网、无污染。墙面上装饰品、吊顶灯具、指示牌、外露管道等，保持无污迹、无积尘。</w:t>
            </w:r>
          </w:p>
        </w:tc>
      </w:tr>
      <w:tr w14:paraId="05CE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14:paraId="00E3CE1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30DAA4A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BDDDE5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（2）电器、消防等设施设备：</w:t>
            </w:r>
          </w:p>
          <w:p w14:paraId="708C859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①配电箱、设备机房、会议室音视频设备、消防栓及开关插座等保持表面干净，无尘无污迹，每月至少开展1次清洁作业。</w:t>
            </w:r>
          </w:p>
          <w:p w14:paraId="1511AFA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②监控、门禁系统等表面光亮，无尘、无斑点，每月至少开展1次清洁作业。</w:t>
            </w:r>
          </w:p>
        </w:tc>
      </w:tr>
      <w:tr w14:paraId="13A2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Merge w:val="continue"/>
            <w:noWrap w:val="0"/>
            <w:vAlign w:val="center"/>
          </w:tcPr>
          <w:p w14:paraId="64A4AD1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222DAFA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57E55A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（3）领导办公室保洁服务：</w:t>
            </w:r>
          </w:p>
          <w:p w14:paraId="1A58C47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①办公桌椅、书柜等，每天擦拭，确保无积尘、无污迹。</w:t>
            </w:r>
          </w:p>
          <w:p w14:paraId="36AAD30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②地面每日擦拭、吸尘，不得有杂物或污渍，门窗玻璃擦拭干净，无污迹。</w:t>
            </w:r>
          </w:p>
          <w:p w14:paraId="2B74297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③屋内物品清洁后摆放整齐，归还原位。</w:t>
            </w:r>
          </w:p>
          <w:p w14:paraId="581D870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④配送物品每周检查一次，及时补充更换有关日常用品。</w:t>
            </w:r>
          </w:p>
        </w:tc>
      </w:tr>
      <w:tr w14:paraId="4562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16D0C9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5AB6591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F7C590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（4）饮水机保持干净、无异味、无杂物、无积水，每日至少开展1次清洁作业。</w:t>
            </w:r>
          </w:p>
        </w:tc>
      </w:tr>
      <w:tr w14:paraId="20FD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8C7132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88F624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07F493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（5）洗消间、作业工具间：</w:t>
            </w:r>
          </w:p>
          <w:p w14:paraId="6AAC688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①保持干净，无异味、无杂物、无积水，每日至少开展1次清洁作业。</w:t>
            </w:r>
          </w:p>
          <w:p w14:paraId="4707551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②作业工具摆放整齐有序，表面干净无渍，每日消毒。</w:t>
            </w:r>
          </w:p>
        </w:tc>
      </w:tr>
      <w:tr w14:paraId="60DE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14:paraId="0721391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2B579EA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2B98BE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（6）公共卫生间：</w:t>
            </w:r>
          </w:p>
          <w:p w14:paraId="07B03DD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①保持干净，无异味，垃圾无溢出，每日至少开展1次清洁作业。</w:t>
            </w:r>
          </w:p>
          <w:p w14:paraId="7534AC0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②卫生间日常用品、消耗品由供应方提供，用品需摆放整齐，缺少时及时补充厕纸、洗手液等必要日常用品。各楼层净水器每晚21：00关闭。</w:t>
            </w:r>
          </w:p>
          <w:p w14:paraId="547D01F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③便池洁白无污秽且畅通，不得有便渍、水锈和异味。</w:t>
            </w:r>
          </w:p>
          <w:p w14:paraId="186F361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④门窗时刻保持光亮，无污迹。</w:t>
            </w:r>
          </w:p>
          <w:p w14:paraId="26ADBF3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⑤小便池内无尿碱，无烟头，无异物，及时更换避味球。</w:t>
            </w:r>
          </w:p>
          <w:p w14:paraId="0B2DE51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⑥墙面、装饰面不得有污迹，保持原有本色，地面不得有污迹或杂物。</w:t>
            </w:r>
          </w:p>
          <w:p w14:paraId="7C049FD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⑦水龙头光亮见本色，镜面、台面光亮无灰尘。</w:t>
            </w:r>
          </w:p>
        </w:tc>
      </w:tr>
      <w:tr w14:paraId="3C29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14:paraId="57DB8E1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6D21BD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7FE0A3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（7）电梯轿厢：</w:t>
            </w:r>
          </w:p>
          <w:p w14:paraId="284CC4F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①电梯轿厢内地摊清洁，保持整洁；不锈钢墙面做到表面光亮，无污迹。</w:t>
            </w:r>
          </w:p>
          <w:p w14:paraId="4695628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②除专业宣传海报外，禁止乱贴其他宣传品。</w:t>
            </w:r>
          </w:p>
          <w:p w14:paraId="404F1AB4">
            <w:pPr>
              <w:pStyle w:val="2"/>
              <w:keepNext w:val="0"/>
              <w:keepLines w:val="0"/>
              <w:pageBreakBefore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③电梯内部抽纸的及时放置和垃圾桶的及时清理。</w:t>
            </w:r>
          </w:p>
        </w:tc>
      </w:tr>
      <w:tr w14:paraId="12E4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048D12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1805251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CA662A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（8）平台、屋顶、天沟保持干净，有杂物及时清扫，每月至少开展1次清洁作业。</w:t>
            </w:r>
          </w:p>
        </w:tc>
      </w:tr>
      <w:tr w14:paraId="0A7B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96B5D1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CFB7BA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D77C60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（9）地下停车场：</w:t>
            </w:r>
          </w:p>
          <w:p w14:paraId="6840B88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①及时督促杂物堆存部门清运建筑、设备垃圾和废旧桌椅，确保消防安全和畅通无阻。</w:t>
            </w:r>
          </w:p>
          <w:p w14:paraId="1C01E64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②每月彻底清扫1次，及时清理污水、污物，保持地面干净。</w:t>
            </w:r>
          </w:p>
        </w:tc>
      </w:tr>
      <w:tr w14:paraId="01D5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14:paraId="0EDC896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12201E9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149742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（10）定期对电梯地毯、值班室布草、各类会议室地摊的清洗、维护。</w:t>
            </w:r>
          </w:p>
        </w:tc>
      </w:tr>
      <w:tr w14:paraId="38C5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43CCF96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418" w:type="dxa"/>
            <w:vMerge w:val="restart"/>
            <w:noWrap w:val="0"/>
            <w:vAlign w:val="center"/>
          </w:tcPr>
          <w:p w14:paraId="40EFF2D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办公楼外</w:t>
            </w:r>
            <w:r>
              <w:rPr>
                <w:rFonts w:hint="eastAsia" w:asciiTheme="minorEastAsia" w:hAnsiTheme="minorEastAsia" w:eastAsiaTheme="minorEastAsia" w:cstheme="minorEastAsia"/>
                <w:color w:val="auto"/>
                <w:sz w:val="24"/>
                <w:szCs w:val="24"/>
                <w:highlight w:val="none"/>
                <w:lang w:eastAsia="zh-CN"/>
              </w:rPr>
              <w:t>区域保洁</w:t>
            </w:r>
          </w:p>
        </w:tc>
        <w:tc>
          <w:tcPr>
            <w:tcW w:w="7087" w:type="dxa"/>
            <w:noWrap w:val="0"/>
            <w:vAlign w:val="center"/>
          </w:tcPr>
          <w:p w14:paraId="02E825C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（1）办公楼外区域包括环办公楼区域、环办公楼停车场、环办公楼三侧马路、办公楼正前方马路对面停车场区域、办公楼东侧马路对面停车场区域。</w:t>
            </w:r>
          </w:p>
        </w:tc>
      </w:tr>
      <w:tr w14:paraId="02C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59EDF7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04AAB3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2C03BB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（2）环办公楼区域、环办公楼停车场、环办公楼三侧马路每日清扫1次，保持干净、无杂物、无积水，办公楼正前方马路对面停车场区域、办公楼东侧马路对面停车场区域每周至少打扫1次。</w:t>
            </w:r>
          </w:p>
        </w:tc>
      </w:tr>
      <w:tr w14:paraId="3634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25A65C9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418" w:type="dxa"/>
            <w:vMerge w:val="continue"/>
            <w:noWrap w:val="0"/>
            <w:vAlign w:val="center"/>
          </w:tcPr>
          <w:p w14:paraId="37690F8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84B0E4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（3）秋冬季节，要及时清扫落叶，确保路面无积叶。雪、冰冻等恶劣天气时，要在雪停后第一时间清扫积雪、铲冰，并采取安全防护措施。</w:t>
            </w:r>
          </w:p>
        </w:tc>
      </w:tr>
      <w:tr w14:paraId="515E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F1D8E6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418" w:type="dxa"/>
            <w:vMerge w:val="continue"/>
            <w:noWrap w:val="0"/>
            <w:vAlign w:val="center"/>
          </w:tcPr>
          <w:p w14:paraId="518E5F5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DFCC01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（4）各种路标、宣传栏等保持干净，每月至少开展1次清洁作业。</w:t>
            </w:r>
          </w:p>
        </w:tc>
      </w:tr>
      <w:tr w14:paraId="1B7A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89394D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418" w:type="dxa"/>
            <w:vMerge w:val="continue"/>
            <w:noWrap w:val="0"/>
            <w:vAlign w:val="center"/>
          </w:tcPr>
          <w:p w14:paraId="5BBED0C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3AB847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（5）清洁室外（院内）照明设备，每年至少开展1次清洁作业。</w:t>
            </w:r>
          </w:p>
        </w:tc>
      </w:tr>
      <w:tr w14:paraId="5EAA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0CDCB79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418" w:type="dxa"/>
            <w:vMerge w:val="continue"/>
            <w:noWrap w:val="0"/>
            <w:vAlign w:val="center"/>
          </w:tcPr>
          <w:p w14:paraId="157E8B7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0F70CC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（6）绿地内无杂物、无改变用途和破坏、践踏、占用现象，每天至少开展1次巡查。</w:t>
            </w:r>
          </w:p>
        </w:tc>
      </w:tr>
      <w:tr w14:paraId="3E8F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15D83F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418" w:type="dxa"/>
            <w:vMerge w:val="restart"/>
            <w:noWrap w:val="0"/>
            <w:vAlign w:val="center"/>
          </w:tcPr>
          <w:p w14:paraId="131BA3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垃圾处理</w:t>
            </w:r>
          </w:p>
        </w:tc>
        <w:tc>
          <w:tcPr>
            <w:tcW w:w="7087" w:type="dxa"/>
            <w:noWrap w:val="0"/>
            <w:vAlign w:val="center"/>
          </w:tcPr>
          <w:p w14:paraId="36199C0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（1）在指定位置摆放垃圾桶。</w:t>
            </w:r>
          </w:p>
        </w:tc>
      </w:tr>
      <w:tr w14:paraId="300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BCC71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108BB2A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24783D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（2）桶身表面干净无污渍，每日开展至少1次清洁作业，每年开展至少4次消毒。</w:t>
            </w:r>
          </w:p>
        </w:tc>
      </w:tr>
      <w:tr w14:paraId="2C9B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38C956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315224D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B129EC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（3）每日将楼层产生的垃圾运至垃圾集中堆放点，垃圾装袋，日产日清。</w:t>
            </w:r>
          </w:p>
        </w:tc>
      </w:tr>
      <w:tr w14:paraId="21CD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DF7895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8ED29B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286A04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（4）做好垃圾分类管理的宣传工作，督促并引导全员参与垃圾分类投放。</w:t>
            </w:r>
          </w:p>
        </w:tc>
      </w:tr>
      <w:tr w14:paraId="5032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14:paraId="79BD697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073E933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1D04E9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（5）垃圾分类投放管理工作的执行标准，按所在城市的要求执行。</w:t>
            </w:r>
          </w:p>
        </w:tc>
      </w:tr>
      <w:tr w14:paraId="5AD4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19" w:type="dxa"/>
            <w:vMerge w:val="restart"/>
            <w:noWrap w:val="0"/>
            <w:vAlign w:val="center"/>
          </w:tcPr>
          <w:p w14:paraId="51D2845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418" w:type="dxa"/>
            <w:vMerge w:val="restart"/>
            <w:noWrap w:val="0"/>
            <w:vAlign w:val="center"/>
          </w:tcPr>
          <w:p w14:paraId="73ED8C6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卫生消毒</w:t>
            </w:r>
          </w:p>
        </w:tc>
        <w:tc>
          <w:tcPr>
            <w:tcW w:w="7087" w:type="dxa"/>
            <w:noWrap w:val="0"/>
            <w:vAlign w:val="center"/>
          </w:tcPr>
          <w:p w14:paraId="20309C7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（1）办公用房区域、公共场所区域和周围环境预防性卫生消毒，消毒后及时通风，每周至少开展1次作业。</w:t>
            </w:r>
          </w:p>
        </w:tc>
      </w:tr>
      <w:tr w14:paraId="5A71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14:paraId="376975E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71D3D6A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95E9B8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（2）采取综合措施消灭老鼠、蟑螂，控制室内外蚊虫孳生，达到基本无蝇，每季度至少开展1次作业。</w:t>
            </w:r>
          </w:p>
        </w:tc>
      </w:tr>
      <w:tr w14:paraId="592B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14:paraId="6BFFC5D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18" w:type="dxa"/>
            <w:vMerge w:val="continue"/>
            <w:noWrap w:val="0"/>
            <w:vAlign w:val="center"/>
          </w:tcPr>
          <w:p w14:paraId="4BBF325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94A2B8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（3）发生公共卫生事件时，邀请专业单位开展消毒、检测等工作。</w:t>
            </w:r>
          </w:p>
        </w:tc>
      </w:tr>
    </w:tbl>
    <w:p w14:paraId="233D4AAA">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2.5绿化服务</w:t>
      </w:r>
    </w:p>
    <w:tbl>
      <w:tblPr>
        <w:tblStyle w:val="60"/>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21"/>
        <w:gridCol w:w="7087"/>
      </w:tblGrid>
      <w:tr w14:paraId="5C0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14:paraId="4F6CF17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421" w:type="dxa"/>
            <w:noWrap w:val="0"/>
            <w:vAlign w:val="center"/>
          </w:tcPr>
          <w:p w14:paraId="0A20D6C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38236E6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32B6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14:paraId="5F17B3E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421" w:type="dxa"/>
            <w:vMerge w:val="restart"/>
            <w:noWrap w:val="0"/>
            <w:vAlign w:val="center"/>
          </w:tcPr>
          <w:p w14:paraId="4262A87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基本要求</w:t>
            </w:r>
          </w:p>
        </w:tc>
        <w:tc>
          <w:tcPr>
            <w:tcW w:w="7087" w:type="dxa"/>
            <w:noWrap w:val="0"/>
            <w:vAlign w:val="center"/>
          </w:tcPr>
          <w:p w14:paraId="00807B3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（1）制定绿化服务的工作制度及工作计划，并按照执行。</w:t>
            </w:r>
          </w:p>
        </w:tc>
      </w:tr>
      <w:tr w14:paraId="3E74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30BD706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21" w:type="dxa"/>
            <w:vMerge w:val="continue"/>
            <w:noWrap w:val="0"/>
            <w:vAlign w:val="center"/>
          </w:tcPr>
          <w:p w14:paraId="68E45A8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7D4A9E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（2）作业时采取安全防护措施，防止对作业人员或他人造成伤害。</w:t>
            </w:r>
          </w:p>
        </w:tc>
      </w:tr>
      <w:tr w14:paraId="72F1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79796DA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21" w:type="dxa"/>
            <w:vMerge w:val="continue"/>
            <w:noWrap w:val="0"/>
            <w:vAlign w:val="center"/>
          </w:tcPr>
          <w:p w14:paraId="5EB4C6D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D9E6B8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（3）相关耗材的环保、安全性应当符合规定要求。</w:t>
            </w:r>
          </w:p>
        </w:tc>
      </w:tr>
      <w:tr w14:paraId="172E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14:paraId="24D6DDE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421" w:type="dxa"/>
            <w:noWrap w:val="0"/>
            <w:vAlign w:val="center"/>
          </w:tcPr>
          <w:p w14:paraId="1A14E62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室内绿化</w:t>
            </w:r>
          </w:p>
          <w:p w14:paraId="7B4AF65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养护</w:t>
            </w:r>
          </w:p>
        </w:tc>
        <w:tc>
          <w:tcPr>
            <w:tcW w:w="7087" w:type="dxa"/>
            <w:noWrap w:val="0"/>
            <w:vAlign w:val="center"/>
          </w:tcPr>
          <w:p w14:paraId="0C0FCEF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（1）简单花卉养护维护。根据生长特点每周或每半月至少1次清洁绿植及容器表面，遇节日及重要活动及时摆放绿植盆栽。</w:t>
            </w:r>
          </w:p>
        </w:tc>
      </w:tr>
    </w:tbl>
    <w:p w14:paraId="68C8DB5C">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2.6会议服务</w:t>
      </w:r>
    </w:p>
    <w:tbl>
      <w:tblPr>
        <w:tblStyle w:val="6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392"/>
        <w:gridCol w:w="7087"/>
      </w:tblGrid>
      <w:tr w14:paraId="1352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05520F6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92" w:type="dxa"/>
            <w:noWrap w:val="0"/>
            <w:vAlign w:val="center"/>
          </w:tcPr>
          <w:p w14:paraId="6DBF808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7CAF139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7A8B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vMerge w:val="restart"/>
            <w:noWrap w:val="0"/>
            <w:vAlign w:val="center"/>
          </w:tcPr>
          <w:p w14:paraId="26CA162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392" w:type="dxa"/>
            <w:vMerge w:val="restart"/>
            <w:noWrap w:val="0"/>
            <w:vAlign w:val="center"/>
          </w:tcPr>
          <w:p w14:paraId="5A69487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会务服务</w:t>
            </w:r>
          </w:p>
          <w:p w14:paraId="48D642A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内容</w:t>
            </w:r>
          </w:p>
        </w:tc>
        <w:tc>
          <w:tcPr>
            <w:tcW w:w="7087" w:type="dxa"/>
            <w:noWrap w:val="0"/>
            <w:vAlign w:val="center"/>
          </w:tcPr>
          <w:p w14:paraId="5418A6C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（1）会议日常服务及领导办公室报刊发放。</w:t>
            </w:r>
          </w:p>
        </w:tc>
      </w:tr>
      <w:tr w14:paraId="6694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vMerge w:val="continue"/>
            <w:noWrap w:val="0"/>
            <w:vAlign w:val="center"/>
          </w:tcPr>
          <w:p w14:paraId="33C1BFF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2" w:type="dxa"/>
            <w:vMerge w:val="continue"/>
            <w:noWrap w:val="0"/>
            <w:vAlign w:val="center"/>
          </w:tcPr>
          <w:p w14:paraId="2974513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3943C5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（2）会议桌签摆放、茶水服务、设备开启及简单操作。</w:t>
            </w:r>
          </w:p>
        </w:tc>
      </w:tr>
      <w:tr w14:paraId="710E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vMerge w:val="continue"/>
            <w:noWrap w:val="0"/>
            <w:vAlign w:val="center"/>
          </w:tcPr>
          <w:p w14:paraId="466A781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2" w:type="dxa"/>
            <w:vMerge w:val="continue"/>
            <w:noWrap w:val="0"/>
            <w:vAlign w:val="center"/>
          </w:tcPr>
          <w:p w14:paraId="74F8128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CAD3EA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（3）会议室内物品保管维护，上报需要采购、维修的物品。</w:t>
            </w:r>
          </w:p>
        </w:tc>
      </w:tr>
      <w:tr w14:paraId="1E4B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vMerge w:val="continue"/>
            <w:noWrap w:val="0"/>
            <w:vAlign w:val="center"/>
          </w:tcPr>
          <w:p w14:paraId="21DE97B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2" w:type="dxa"/>
            <w:vMerge w:val="continue"/>
            <w:noWrap w:val="0"/>
            <w:vAlign w:val="center"/>
          </w:tcPr>
          <w:p w14:paraId="73AF53A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279A8E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（4）会议室安全生产管理，会后及时关闭设施设备，光源、门窗，会议室物品规整。</w:t>
            </w:r>
          </w:p>
        </w:tc>
      </w:tr>
      <w:tr w14:paraId="658A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vMerge w:val="continue"/>
            <w:noWrap w:val="0"/>
            <w:vAlign w:val="center"/>
          </w:tcPr>
          <w:p w14:paraId="78D7F72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2" w:type="dxa"/>
            <w:vMerge w:val="continue"/>
            <w:noWrap w:val="0"/>
            <w:vAlign w:val="center"/>
          </w:tcPr>
          <w:p w14:paraId="5993A15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2716BA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（5）会议过程中突发事项的处理。</w:t>
            </w:r>
          </w:p>
        </w:tc>
      </w:tr>
    </w:tbl>
    <w:p w14:paraId="5456F5FA">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2.7其他服务</w:t>
      </w:r>
    </w:p>
    <w:tbl>
      <w:tblPr>
        <w:tblStyle w:val="6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392"/>
        <w:gridCol w:w="7087"/>
      </w:tblGrid>
      <w:tr w14:paraId="0510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374E334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92" w:type="dxa"/>
            <w:noWrap w:val="0"/>
            <w:vAlign w:val="center"/>
          </w:tcPr>
          <w:p w14:paraId="512A887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3DB692D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7816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5862219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392" w:type="dxa"/>
            <w:vMerge w:val="restart"/>
            <w:noWrap w:val="0"/>
            <w:vAlign w:val="center"/>
          </w:tcPr>
          <w:p w14:paraId="694AED4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其他服务</w:t>
            </w:r>
          </w:p>
        </w:tc>
        <w:tc>
          <w:tcPr>
            <w:tcW w:w="7087" w:type="dxa"/>
            <w:noWrap w:val="0"/>
            <w:vAlign w:val="center"/>
          </w:tcPr>
          <w:p w14:paraId="5797899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（1）楼内设施（设备）及物品的少量简易搬运服务，大件或大批量搬运由采购方负责。</w:t>
            </w:r>
          </w:p>
        </w:tc>
      </w:tr>
      <w:tr w14:paraId="2BB1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7FCACD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92" w:type="dxa"/>
            <w:vMerge w:val="continue"/>
            <w:noWrap w:val="0"/>
            <w:vAlign w:val="center"/>
          </w:tcPr>
          <w:p w14:paraId="5861E5C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22AEB9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（2）要与安保、消防运行协调配合，积极做好相关工作。</w:t>
            </w:r>
          </w:p>
        </w:tc>
      </w:tr>
    </w:tbl>
    <w:p w14:paraId="3EC07332">
      <w:pPr>
        <w:pStyle w:val="536"/>
        <w:keepNext w:val="0"/>
        <w:keepLines w:val="0"/>
        <w:pageBreakBefore w:val="0"/>
        <w:kinsoku/>
        <w:wordWrap/>
        <w:overflowPunct/>
        <w:topLinePunct w:val="0"/>
        <w:autoSpaceDE/>
        <w:autoSpaceDN/>
        <w:bidi w:val="0"/>
        <w:adjustRightInd/>
        <w:snapToGrid w:val="0"/>
        <w:spacing w:line="360" w:lineRule="auto"/>
        <w:ind w:firstLine="482"/>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三、物业管理服务人员需求</w:t>
      </w:r>
    </w:p>
    <w:p w14:paraId="702A05D4">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3.1岗位人员配置</w:t>
      </w:r>
    </w:p>
    <w:tbl>
      <w:tblPr>
        <w:tblStyle w:val="60"/>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609"/>
        <w:gridCol w:w="1692"/>
        <w:gridCol w:w="3300"/>
      </w:tblGrid>
      <w:tr w14:paraId="557F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5BD23A8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部门职能</w:t>
            </w:r>
          </w:p>
        </w:tc>
        <w:tc>
          <w:tcPr>
            <w:tcW w:w="2609" w:type="dxa"/>
            <w:noWrap w:val="0"/>
            <w:vAlign w:val="center"/>
          </w:tcPr>
          <w:p w14:paraId="2684903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岗位</w:t>
            </w:r>
          </w:p>
        </w:tc>
        <w:tc>
          <w:tcPr>
            <w:tcW w:w="1692" w:type="dxa"/>
            <w:noWrap w:val="0"/>
            <w:vAlign w:val="center"/>
          </w:tcPr>
          <w:p w14:paraId="43579EC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岗位所需人数</w:t>
            </w:r>
          </w:p>
        </w:tc>
        <w:tc>
          <w:tcPr>
            <w:tcW w:w="3300" w:type="dxa"/>
            <w:noWrap w:val="0"/>
            <w:vAlign w:val="center"/>
          </w:tcPr>
          <w:p w14:paraId="23D382C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14:paraId="77B0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793E45C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管理</w:t>
            </w:r>
          </w:p>
        </w:tc>
        <w:tc>
          <w:tcPr>
            <w:tcW w:w="2609" w:type="dxa"/>
            <w:noWrap w:val="0"/>
            <w:vAlign w:val="center"/>
          </w:tcPr>
          <w:p w14:paraId="229BD2E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lang w:val="en-US" w:eastAsia="zh-CN"/>
              </w:rPr>
              <w:t>经理</w:t>
            </w:r>
          </w:p>
        </w:tc>
        <w:tc>
          <w:tcPr>
            <w:tcW w:w="1692" w:type="dxa"/>
            <w:noWrap w:val="0"/>
            <w:vAlign w:val="center"/>
          </w:tcPr>
          <w:p w14:paraId="336E0CD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300" w:type="dxa"/>
            <w:noWrap w:val="0"/>
            <w:vAlign w:val="center"/>
          </w:tcPr>
          <w:p w14:paraId="4A5993C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r>
      <w:tr w14:paraId="5709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1BFE983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工程服务</w:t>
            </w:r>
          </w:p>
        </w:tc>
        <w:tc>
          <w:tcPr>
            <w:tcW w:w="2609" w:type="dxa"/>
            <w:noWrap w:val="0"/>
            <w:vAlign w:val="center"/>
          </w:tcPr>
          <w:p w14:paraId="0ECE44E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综合维修岗</w:t>
            </w:r>
          </w:p>
        </w:tc>
        <w:tc>
          <w:tcPr>
            <w:tcW w:w="1692" w:type="dxa"/>
            <w:noWrap w:val="0"/>
            <w:vAlign w:val="center"/>
          </w:tcPr>
          <w:p w14:paraId="46801E6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3300" w:type="dxa"/>
            <w:noWrap w:val="0"/>
            <w:vAlign w:val="center"/>
          </w:tcPr>
          <w:p w14:paraId="591F6FB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持证上岗</w:t>
            </w:r>
          </w:p>
        </w:tc>
      </w:tr>
      <w:tr w14:paraId="6CCC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restart"/>
            <w:noWrap w:val="0"/>
            <w:vAlign w:val="center"/>
          </w:tcPr>
          <w:p w14:paraId="0A73EA0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卫生保洁</w:t>
            </w:r>
          </w:p>
        </w:tc>
        <w:tc>
          <w:tcPr>
            <w:tcW w:w="2609" w:type="dxa"/>
            <w:noWrap w:val="0"/>
            <w:vAlign w:val="center"/>
          </w:tcPr>
          <w:p w14:paraId="31AA512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领班</w:t>
            </w:r>
          </w:p>
        </w:tc>
        <w:tc>
          <w:tcPr>
            <w:tcW w:w="1692" w:type="dxa"/>
            <w:noWrap w:val="0"/>
            <w:vAlign w:val="center"/>
          </w:tcPr>
          <w:p w14:paraId="6994AA6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300" w:type="dxa"/>
            <w:vMerge w:val="restart"/>
            <w:noWrap w:val="0"/>
            <w:vAlign w:val="center"/>
          </w:tcPr>
          <w:p w14:paraId="7700736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14:paraId="7079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14:paraId="2FE3A2F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2609" w:type="dxa"/>
            <w:noWrap w:val="0"/>
            <w:vAlign w:val="center"/>
          </w:tcPr>
          <w:p w14:paraId="0D4D235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保洁员</w:t>
            </w:r>
          </w:p>
        </w:tc>
        <w:tc>
          <w:tcPr>
            <w:tcW w:w="1692" w:type="dxa"/>
            <w:noWrap w:val="0"/>
            <w:vAlign w:val="center"/>
          </w:tcPr>
          <w:p w14:paraId="64CA0B9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300" w:type="dxa"/>
            <w:vMerge w:val="continue"/>
            <w:noWrap w:val="0"/>
            <w:vAlign w:val="center"/>
          </w:tcPr>
          <w:p w14:paraId="429E76A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14:paraId="4F27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0AB8298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会议服务</w:t>
            </w:r>
          </w:p>
        </w:tc>
        <w:tc>
          <w:tcPr>
            <w:tcW w:w="2609" w:type="dxa"/>
            <w:noWrap w:val="0"/>
            <w:vAlign w:val="center"/>
          </w:tcPr>
          <w:p w14:paraId="48A3134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会务</w:t>
            </w:r>
            <w:r>
              <w:rPr>
                <w:rFonts w:hint="eastAsia" w:asciiTheme="minorEastAsia" w:hAnsiTheme="minorEastAsia" w:eastAsiaTheme="minorEastAsia" w:cstheme="minorEastAsia"/>
                <w:color w:val="auto"/>
                <w:sz w:val="24"/>
                <w:szCs w:val="24"/>
                <w:highlight w:val="none"/>
                <w:lang w:val="en-US" w:eastAsia="zh-CN"/>
              </w:rPr>
              <w:t>岗</w:t>
            </w:r>
          </w:p>
        </w:tc>
        <w:tc>
          <w:tcPr>
            <w:tcW w:w="1692" w:type="dxa"/>
            <w:noWrap w:val="0"/>
            <w:vAlign w:val="center"/>
          </w:tcPr>
          <w:p w14:paraId="48EC57A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300" w:type="dxa"/>
            <w:noWrap w:val="0"/>
            <w:vAlign w:val="center"/>
          </w:tcPr>
          <w:p w14:paraId="0935157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14:paraId="3D47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9" w:type="dxa"/>
            <w:gridSpan w:val="2"/>
            <w:noWrap w:val="0"/>
            <w:vAlign w:val="center"/>
          </w:tcPr>
          <w:p w14:paraId="54F7CEB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合计</w:t>
            </w:r>
          </w:p>
        </w:tc>
        <w:tc>
          <w:tcPr>
            <w:tcW w:w="1692" w:type="dxa"/>
            <w:noWrap w:val="0"/>
            <w:vAlign w:val="center"/>
          </w:tcPr>
          <w:p w14:paraId="24078BC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3300" w:type="dxa"/>
            <w:noWrap w:val="0"/>
            <w:vAlign w:val="center"/>
          </w:tcPr>
          <w:p w14:paraId="36FA03A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bl>
    <w:p w14:paraId="2E9F15C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注：供应商</w:t>
      </w:r>
      <w:r>
        <w:rPr>
          <w:rFonts w:hint="eastAsia" w:asciiTheme="minorEastAsia" w:hAnsiTheme="minorEastAsia" w:eastAsiaTheme="minorEastAsia" w:cstheme="minorEastAsia"/>
          <w:color w:val="auto"/>
          <w:sz w:val="24"/>
          <w:szCs w:val="24"/>
          <w:highlight w:val="none"/>
          <w:lang w:eastAsia="zh-CN"/>
        </w:rPr>
        <w:t>应当按国家相关法律法规，合理确定服务人员工资标准、工作时间等。</w:t>
      </w:r>
    </w:p>
    <w:p w14:paraId="47D16058">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3.2其他要求</w:t>
      </w:r>
    </w:p>
    <w:p w14:paraId="73D43846">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不得随意调整、更换项目负责人员。如有调整或更换,应提前告知采购方或物业使用人，并取得采购方或物业使用人同意。未经采购方或物业使用人书面同意，供应方不得私自更换项目负责人（主动辞职或采购方、物业使用人主动要求除外）；</w:t>
      </w:r>
    </w:p>
    <w:p w14:paraId="25CABFD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（2）供应方为本项目配备的工作人员不得有犯罪记录；</w:t>
      </w:r>
    </w:p>
    <w:p w14:paraId="3F2F3CE3">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（3）供应方应定期对员工进行岗位培训，不断提高员工服务技能；员工有较强的服务责任、保密意识以及稳定性；</w:t>
      </w:r>
    </w:p>
    <w:p w14:paraId="4159DC49">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（4）供应方所有员工身体健康，无传染病、精神病和不良癖好；</w:t>
      </w:r>
    </w:p>
    <w:p w14:paraId="63E8082A">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（5）要加强员工队伍形象建设，要教育员工文明用语、礼貌待人，同时所有员工须统一着装；</w:t>
      </w:r>
    </w:p>
    <w:p w14:paraId="14126A39">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（6）要对员工进行岗前培训，要加强员工的教育和培养，不断提高员工队伍的整体素质，进而提升服务质量；</w:t>
      </w:r>
    </w:p>
    <w:p w14:paraId="1486748A">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方所有员工应服从楼内治安管理，并自觉遵守相关法律法规和楼内管理制度。供应方员工出现违反法律、法规和党群有关规定的行为，供应方须进行处理、解决，承担由此带来的后果，防止类似事件再次发生；</w:t>
      </w:r>
    </w:p>
    <w:p w14:paraId="34C97A5F">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（8）供应方必须按有关法律和政策规定，为员工参加社会保险；</w:t>
      </w:r>
    </w:p>
    <w:p w14:paraId="33F7A488">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（9）供应方与所聘用员工之间发生劳动、劳务纠纷等均由供应方自行负责。</w:t>
      </w:r>
    </w:p>
    <w:p w14:paraId="2131D616">
      <w:pPr>
        <w:pStyle w:val="536"/>
        <w:keepNext w:val="0"/>
        <w:keepLines w:val="0"/>
        <w:pageBreakBefore w:val="0"/>
        <w:kinsoku/>
        <w:wordWrap/>
        <w:overflowPunct/>
        <w:topLinePunct w:val="0"/>
        <w:autoSpaceDE/>
        <w:autoSpaceDN/>
        <w:bidi w:val="0"/>
        <w:adjustRightInd/>
        <w:snapToGrid w:val="0"/>
        <w:spacing w:line="360" w:lineRule="auto"/>
        <w:ind w:firstLine="482"/>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四、商务要求</w:t>
      </w:r>
    </w:p>
    <w:p w14:paraId="344AF183">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4.1实施期限</w:t>
      </w:r>
    </w:p>
    <w:p w14:paraId="28F43145">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2026年1月1日至2028年12月31日。因本次采购限价为一年费用，合同采取一年一签方式。经年度验收考核合格，期限内续签合同；年度验收考核不合格，不再续签合同。</w:t>
      </w:r>
    </w:p>
    <w:p w14:paraId="4E69B969">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4.2付款方式</w:t>
      </w:r>
    </w:p>
    <w:p w14:paraId="746765B6">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按季度支付物业管理服务费用，供应方需提供合法有效的增值税发票。</w:t>
      </w:r>
    </w:p>
    <w:p w14:paraId="7C0B4B39">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4.3验收标准与要求</w:t>
      </w:r>
    </w:p>
    <w:p w14:paraId="745B97B8">
      <w:pPr>
        <w:keepNext w:val="0"/>
        <w:keepLines w:val="0"/>
        <w:pageBreakBefore w:val="0"/>
        <w:numPr>
          <w:ilvl w:val="0"/>
          <w:numId w:val="4"/>
        </w:numPr>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方按约定，定期给采购方提交服务报告，合同期满或者履行完毕后，采购方根据合同条款的约定对服务期内的服务实施具体情况进行年度考核评价，根据年度考核评价分数进行验收（验收方法和要求在合同中具体约定）。</w:t>
      </w:r>
    </w:p>
    <w:p w14:paraId="45320C0C">
      <w:pPr>
        <w:keepNext w:val="0"/>
        <w:keepLines w:val="0"/>
        <w:pageBreakBefore w:val="0"/>
        <w:numPr>
          <w:ilvl w:val="0"/>
          <w:numId w:val="4"/>
        </w:numPr>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合同期满或者履行完毕后，采购方有权组织（包括依法邀请国家认可的质量检测机构参加）对乙方履约的验收，即：按照合同约定的标准，组织对乙方履约情况的验收。</w:t>
      </w:r>
    </w:p>
    <w:p w14:paraId="533B78F9">
      <w:pPr>
        <w:pStyle w:val="2"/>
        <w:ind w:left="0" w:leftChars="0" w:firstLine="0" w:firstLineChars="0"/>
        <w:rPr>
          <w:rFonts w:hint="eastAsia" w:ascii="宋体" w:hAnsi="宋体" w:eastAsia="宋体" w:cs="宋体"/>
          <w:color w:val="auto"/>
          <w:sz w:val="24"/>
          <w:szCs w:val="24"/>
          <w:highlight w:val="none"/>
          <w:lang w:val="en-US" w:eastAsia="zh-CN"/>
        </w:rPr>
      </w:pPr>
    </w:p>
    <w:p w14:paraId="22386530">
      <w:pPr>
        <w:pStyle w:val="33"/>
        <w:spacing w:line="440" w:lineRule="exact"/>
        <w:rPr>
          <w:rFonts w:hint="default" w:ascii="黑体" w:hAnsi="黑体" w:eastAsia="黑体" w:cs="宋体"/>
          <w:color w:val="auto"/>
          <w:sz w:val="32"/>
          <w:szCs w:val="32"/>
          <w:u w:val="none" w:color="auto"/>
          <w:lang w:val="en-US" w:eastAsia="zh-CN"/>
        </w:rPr>
      </w:pPr>
      <w:ins w:id="0" w:author="金政浩" w:date="2025-11-24T11:38:00Z">
        <w:r>
          <w:rPr>
            <w:rFonts w:hint="eastAsia" w:ascii="黑体" w:hAnsi="黑体" w:eastAsia="黑体" w:cs="宋体"/>
            <w:color w:val="auto"/>
            <w:sz w:val="32"/>
            <w:szCs w:val="32"/>
            <w:u w:val="none" w:color="auto"/>
            <w:lang w:val="en-US" w:eastAsia="zh-CN"/>
          </w:rPr>
          <w:t>合同</w:t>
        </w:r>
      </w:ins>
      <w:r>
        <w:rPr>
          <w:rFonts w:hint="eastAsia" w:ascii="黑体" w:hAnsi="黑体" w:eastAsia="黑体" w:cs="宋体"/>
          <w:color w:val="auto"/>
          <w:sz w:val="32"/>
          <w:szCs w:val="32"/>
          <w:u w:val="none" w:color="auto"/>
          <w:lang w:val="en-US" w:eastAsia="zh-CN"/>
        </w:rPr>
        <w:t>模板</w:t>
      </w:r>
    </w:p>
    <w:p w14:paraId="3FF024F4">
      <w:pPr>
        <w:pStyle w:val="33"/>
        <w:spacing w:line="440" w:lineRule="exact"/>
        <w:ind w:firstLine="640" w:firstLineChars="200"/>
        <w:rPr>
          <w:rFonts w:ascii="黑体" w:hAnsi="黑体" w:eastAsia="黑体" w:cs="宋体"/>
          <w:color w:val="auto"/>
          <w:sz w:val="32"/>
          <w:szCs w:val="32"/>
          <w:u w:val="none" w:color="auto"/>
        </w:rPr>
      </w:pPr>
    </w:p>
    <w:p w14:paraId="6EC9A654">
      <w:pPr>
        <w:pStyle w:val="33"/>
        <w:spacing w:line="640" w:lineRule="exact"/>
        <w:jc w:val="center"/>
        <w:rPr>
          <w:rFonts w:hint="eastAsia" w:ascii="方正小标宋简体" w:hAnsi="宋体" w:eastAsia="方正小标宋简体" w:cs="宋体"/>
          <w:color w:val="auto"/>
          <w:sz w:val="44"/>
          <w:szCs w:val="44"/>
          <w:u w:val="none" w:color="auto"/>
          <w:lang w:eastAsia="zh-CN"/>
        </w:rPr>
      </w:pPr>
      <w:ins w:id="1" w:author="金政浩" w:date="2025-11-23T21:00:00Z">
        <w:r>
          <w:rPr>
            <w:rFonts w:hint="eastAsia" w:ascii="方正小标宋简体" w:hAnsi="宋体" w:eastAsia="方正小标宋简体" w:cs="宋体"/>
            <w:color w:val="auto"/>
            <w:spacing w:val="-20"/>
            <w:sz w:val="44"/>
            <w:szCs w:val="44"/>
            <w:u w:val="none" w:color="auto"/>
            <w:lang w:eastAsia="zh-CN"/>
          </w:rPr>
          <w:t>国家税务总局克拉玛依市克拉玛依区税务局</w:t>
        </w:r>
      </w:ins>
    </w:p>
    <w:p w14:paraId="7764CAAB">
      <w:pPr>
        <w:pStyle w:val="33"/>
        <w:spacing w:line="640" w:lineRule="exact"/>
        <w:jc w:val="center"/>
        <w:rPr>
          <w:rFonts w:ascii="方正小标宋简体" w:hAnsi="宋体" w:eastAsia="方正小标宋简体" w:cs="宋体"/>
          <w:color w:val="auto"/>
          <w:sz w:val="44"/>
          <w:szCs w:val="44"/>
          <w:u w:val="none" w:color="auto"/>
        </w:rPr>
      </w:pPr>
      <w:r>
        <w:rPr>
          <w:rFonts w:hint="eastAsia" w:ascii="方正小标宋简体" w:hAnsi="宋体" w:eastAsia="方正小标宋简体" w:cs="宋体"/>
          <w:color w:val="auto"/>
          <w:sz w:val="44"/>
          <w:szCs w:val="44"/>
          <w:u w:val="none" w:color="auto"/>
        </w:rPr>
        <w:t>物业管理服务项目</w:t>
      </w:r>
    </w:p>
    <w:p w14:paraId="0DE38FF4">
      <w:pPr>
        <w:pStyle w:val="33"/>
        <w:spacing w:line="440" w:lineRule="exact"/>
        <w:ind w:firstLine="480" w:firstLineChars="200"/>
        <w:rPr>
          <w:rFonts w:ascii="宋体" w:hAnsi="宋体" w:eastAsia="宋体" w:cs="宋体"/>
          <w:color w:val="auto"/>
          <w:sz w:val="24"/>
          <w:szCs w:val="24"/>
          <w:u w:val="none" w:color="auto"/>
        </w:rPr>
      </w:pPr>
    </w:p>
    <w:p w14:paraId="197E8C3A">
      <w:pPr>
        <w:pStyle w:val="33"/>
        <w:spacing w:line="440" w:lineRule="exact"/>
        <w:rPr>
          <w:rFonts w:ascii="宋体" w:hAnsi="宋体" w:eastAsia="宋体" w:cs="宋体"/>
          <w:color w:val="auto"/>
          <w:sz w:val="24"/>
          <w:szCs w:val="24"/>
          <w:u w:val="none" w:color="auto"/>
        </w:rPr>
      </w:pPr>
    </w:p>
    <w:p w14:paraId="02A3A265">
      <w:pPr>
        <w:pStyle w:val="537"/>
        <w:ind w:firstLine="420"/>
        <w:jc w:val="center"/>
        <w:rPr>
          <w:rFonts w:ascii="宋体" w:hAnsi="宋体" w:eastAsia="宋体" w:cs="宋体"/>
          <w:color w:val="auto"/>
          <w:u w:val="none" w:color="auto"/>
        </w:rPr>
      </w:pPr>
    </w:p>
    <w:p w14:paraId="6408C0DE">
      <w:pPr>
        <w:pStyle w:val="33"/>
        <w:spacing w:line="640" w:lineRule="exact"/>
        <w:jc w:val="center"/>
        <w:rPr>
          <w:rFonts w:ascii="方正小标宋简体" w:hAnsi="宋体" w:eastAsia="方正小标宋简体" w:cs="宋体"/>
          <w:color w:val="auto"/>
          <w:sz w:val="44"/>
          <w:szCs w:val="44"/>
          <w:u w:val="none" w:color="auto"/>
        </w:rPr>
      </w:pPr>
      <w:r>
        <w:rPr>
          <w:rFonts w:hint="eastAsia" w:ascii="方正小标宋简体" w:hAnsi="宋体" w:eastAsia="方正小标宋简体" w:cs="宋体"/>
          <w:color w:val="auto"/>
          <w:sz w:val="44"/>
          <w:szCs w:val="44"/>
          <w:u w:val="none" w:color="auto"/>
        </w:rPr>
        <w:t>合　　同</w:t>
      </w:r>
    </w:p>
    <w:p w14:paraId="3730B4A9">
      <w:pPr>
        <w:pStyle w:val="537"/>
        <w:ind w:firstLine="420"/>
        <w:jc w:val="center"/>
        <w:rPr>
          <w:rFonts w:ascii="宋体" w:hAnsi="宋体" w:eastAsia="宋体" w:cs="宋体"/>
          <w:color w:val="auto"/>
          <w:u w:val="none" w:color="auto"/>
        </w:rPr>
      </w:pPr>
    </w:p>
    <w:p w14:paraId="0191E497">
      <w:pPr>
        <w:pStyle w:val="537"/>
        <w:ind w:firstLine="420"/>
        <w:jc w:val="center"/>
        <w:rPr>
          <w:rFonts w:ascii="宋体" w:hAnsi="宋体" w:eastAsia="宋体" w:cs="宋体"/>
          <w:color w:val="auto"/>
          <w:u w:val="none" w:color="auto"/>
        </w:rPr>
      </w:pPr>
    </w:p>
    <w:p w14:paraId="42CCFD6D">
      <w:pPr>
        <w:pStyle w:val="537"/>
        <w:ind w:firstLine="420"/>
        <w:jc w:val="center"/>
        <w:rPr>
          <w:rFonts w:ascii="宋体" w:hAnsi="宋体" w:eastAsia="宋体" w:cs="宋体"/>
          <w:color w:val="auto"/>
          <w:u w:val="none" w:color="auto"/>
        </w:rPr>
      </w:pPr>
    </w:p>
    <w:p w14:paraId="0594A91B">
      <w:pPr>
        <w:pStyle w:val="537"/>
        <w:ind w:firstLine="420"/>
        <w:jc w:val="center"/>
        <w:rPr>
          <w:rFonts w:ascii="宋体" w:hAnsi="宋体" w:eastAsia="宋体" w:cs="宋体"/>
          <w:color w:val="auto"/>
          <w:u w:val="none" w:color="auto"/>
        </w:rPr>
      </w:pPr>
    </w:p>
    <w:p w14:paraId="1D76E21C">
      <w:pPr>
        <w:pStyle w:val="537"/>
        <w:ind w:firstLine="420"/>
        <w:jc w:val="center"/>
        <w:rPr>
          <w:rFonts w:ascii="宋体" w:hAnsi="宋体" w:eastAsia="宋体" w:cs="宋体"/>
          <w:color w:val="auto"/>
          <w:u w:val="none" w:color="auto"/>
        </w:rPr>
      </w:pPr>
    </w:p>
    <w:p w14:paraId="3D1B349A">
      <w:pPr>
        <w:pStyle w:val="537"/>
        <w:ind w:firstLine="420"/>
        <w:jc w:val="center"/>
        <w:rPr>
          <w:rFonts w:ascii="宋体" w:hAnsi="宋体" w:eastAsia="宋体" w:cs="宋体"/>
          <w:color w:val="auto"/>
          <w:u w:val="none" w:color="auto"/>
        </w:rPr>
      </w:pPr>
    </w:p>
    <w:p w14:paraId="6879A30A">
      <w:pPr>
        <w:pStyle w:val="537"/>
        <w:ind w:firstLine="420"/>
        <w:jc w:val="center"/>
        <w:rPr>
          <w:rFonts w:ascii="宋体" w:hAnsi="宋体" w:eastAsia="宋体" w:cs="宋体"/>
          <w:color w:val="auto"/>
          <w:u w:val="none" w:color="auto"/>
        </w:rPr>
      </w:pPr>
    </w:p>
    <w:p w14:paraId="1D886401">
      <w:pPr>
        <w:pStyle w:val="33"/>
        <w:spacing w:line="560" w:lineRule="exact"/>
        <w:ind w:firstLine="640" w:firstLineChars="200"/>
        <w:jc w:val="left"/>
        <w:rPr>
          <w:rFonts w:ascii="仿宋_GB2312" w:hAnsi="宋体" w:eastAsia="仿宋_GB2312" w:cs="宋体"/>
          <w:color w:val="auto"/>
          <w:sz w:val="32"/>
          <w:szCs w:val="32"/>
          <w:u w:val="none" w:color="auto"/>
        </w:rPr>
      </w:pPr>
      <w:r>
        <w:rPr>
          <w:rFonts w:hint="eastAsia" w:ascii="仿宋_GB2312" w:hAnsi="宋体" w:eastAsia="仿宋_GB2312" w:cs="宋体"/>
          <w:color w:val="auto"/>
          <w:sz w:val="32"/>
          <w:szCs w:val="32"/>
          <w:u w:val="none" w:color="auto"/>
        </w:rPr>
        <w:t xml:space="preserve">合同编号：                              </w:t>
      </w:r>
    </w:p>
    <w:p w14:paraId="5EA3CCF7">
      <w:pPr>
        <w:pStyle w:val="33"/>
        <w:spacing w:line="560" w:lineRule="exact"/>
        <w:ind w:firstLine="640" w:firstLineChars="200"/>
        <w:jc w:val="left"/>
        <w:rPr>
          <w:rFonts w:ascii="仿宋_GB2312" w:hAnsi="宋体" w:eastAsia="仿宋_GB2312" w:cs="宋体"/>
          <w:color w:val="auto"/>
          <w:sz w:val="32"/>
          <w:szCs w:val="32"/>
          <w:u w:val="none" w:color="auto"/>
        </w:rPr>
      </w:pPr>
      <w:r>
        <w:rPr>
          <w:rFonts w:hint="eastAsia" w:ascii="仿宋_GB2312" w:hAnsi="宋体" w:eastAsia="仿宋_GB2312" w:cs="宋体"/>
          <w:color w:val="auto"/>
          <w:sz w:val="32"/>
          <w:szCs w:val="32"/>
          <w:u w:val="none" w:color="auto"/>
        </w:rPr>
        <w:tab/>
      </w:r>
      <w:r>
        <w:rPr>
          <w:rFonts w:hint="eastAsia" w:ascii="仿宋_GB2312" w:hAnsi="宋体" w:eastAsia="仿宋_GB2312" w:cs="宋体"/>
          <w:color w:val="auto"/>
          <w:sz w:val="32"/>
          <w:szCs w:val="32"/>
          <w:u w:val="none" w:color="auto"/>
        </w:rPr>
        <w:tab/>
      </w:r>
      <w:r>
        <w:rPr>
          <w:rFonts w:hint="eastAsia" w:ascii="仿宋_GB2312" w:hAnsi="宋体" w:eastAsia="仿宋_GB2312" w:cs="宋体"/>
          <w:color w:val="auto"/>
          <w:sz w:val="32"/>
          <w:szCs w:val="32"/>
          <w:u w:val="none" w:color="auto"/>
        </w:rPr>
        <w:tab/>
      </w:r>
    </w:p>
    <w:p w14:paraId="4FBD2722">
      <w:pPr>
        <w:pStyle w:val="33"/>
        <w:spacing w:line="560" w:lineRule="exact"/>
        <w:ind w:firstLine="640" w:firstLineChars="200"/>
        <w:jc w:val="left"/>
        <w:rPr>
          <w:rFonts w:hint="eastAsia" w:ascii="仿宋_GB2312" w:hAnsi="宋体" w:eastAsia="仿宋_GB2312" w:cs="宋体"/>
          <w:color w:val="auto"/>
          <w:sz w:val="32"/>
          <w:szCs w:val="32"/>
          <w:u w:val="none" w:color="auto"/>
          <w:lang w:eastAsia="zh-CN"/>
        </w:rPr>
      </w:pPr>
      <w:r>
        <w:rPr>
          <w:rFonts w:hint="eastAsia" w:ascii="仿宋_GB2312" w:hAnsi="宋体" w:eastAsia="仿宋_GB2312" w:cs="宋体"/>
          <w:color w:val="auto"/>
          <w:sz w:val="32"/>
          <w:szCs w:val="32"/>
          <w:u w:val="none" w:color="auto"/>
        </w:rPr>
        <w:t>甲　　方：</w:t>
      </w:r>
      <w:ins w:id="2" w:author="金政浩" w:date="2025-11-23T21:00:00Z">
        <w:r>
          <w:rPr>
            <w:rFonts w:hint="eastAsia" w:ascii="仿宋_GB2312" w:hAnsi="宋体" w:eastAsia="仿宋_GB2312" w:cs="宋体"/>
            <w:color w:val="auto"/>
            <w:sz w:val="32"/>
            <w:szCs w:val="32"/>
            <w:u w:val="none" w:color="auto"/>
            <w:lang w:eastAsia="zh-CN"/>
          </w:rPr>
          <w:t>国家税务总局克拉玛依市克拉玛依区税务局</w:t>
        </w:r>
      </w:ins>
    </w:p>
    <w:p w14:paraId="2EBAE8EB">
      <w:pPr>
        <w:pStyle w:val="33"/>
        <w:spacing w:line="560" w:lineRule="exact"/>
        <w:ind w:firstLine="640" w:firstLineChars="200"/>
        <w:jc w:val="left"/>
        <w:rPr>
          <w:rFonts w:ascii="仿宋_GB2312" w:hAnsi="宋体" w:eastAsia="仿宋_GB2312" w:cs="宋体"/>
          <w:color w:val="auto"/>
          <w:sz w:val="32"/>
          <w:szCs w:val="32"/>
          <w:u w:val="none" w:color="auto"/>
        </w:rPr>
      </w:pPr>
    </w:p>
    <w:p w14:paraId="4439AFFF">
      <w:pPr>
        <w:pStyle w:val="33"/>
        <w:spacing w:line="560" w:lineRule="exact"/>
        <w:ind w:firstLine="640" w:firstLineChars="200"/>
        <w:jc w:val="left"/>
        <w:rPr>
          <w:rFonts w:ascii="仿宋_GB2312" w:hAnsi="宋体" w:eastAsia="仿宋_GB2312" w:cs="宋体"/>
          <w:color w:val="auto"/>
          <w:sz w:val="32"/>
          <w:szCs w:val="32"/>
          <w:u w:val="none" w:color="auto"/>
        </w:rPr>
      </w:pPr>
      <w:r>
        <w:rPr>
          <w:rFonts w:hint="eastAsia" w:ascii="仿宋_GB2312" w:hAnsi="宋体" w:eastAsia="仿宋_GB2312" w:cs="宋体"/>
          <w:color w:val="auto"/>
          <w:sz w:val="32"/>
          <w:szCs w:val="32"/>
          <w:u w:val="none" w:color="auto"/>
        </w:rPr>
        <w:t>乙　　方： (</w:t>
      </w:r>
      <w:r>
        <w:rPr>
          <w:rFonts w:hint="eastAsia" w:ascii="仿宋_GB2312" w:hAnsi="宋体" w:eastAsia="仿宋_GB2312" w:cs="宋体"/>
          <w:color w:val="auto"/>
          <w:sz w:val="32"/>
          <w:szCs w:val="32"/>
          <w:u w:val="none" w:color="auto"/>
          <w:lang w:eastAsia="zh-CN"/>
        </w:rPr>
        <w:t>乙方</w:t>
      </w:r>
      <w:r>
        <w:rPr>
          <w:rFonts w:hint="eastAsia" w:ascii="仿宋_GB2312" w:hAnsi="宋体" w:eastAsia="仿宋_GB2312" w:cs="宋体"/>
          <w:color w:val="auto"/>
          <w:sz w:val="32"/>
          <w:szCs w:val="32"/>
          <w:u w:val="none" w:color="auto"/>
        </w:rPr>
        <w:t xml:space="preserve">名称)                     </w:t>
      </w:r>
    </w:p>
    <w:p w14:paraId="4BCAC4F3">
      <w:pPr>
        <w:pStyle w:val="33"/>
        <w:spacing w:line="520" w:lineRule="exact"/>
        <w:ind w:firstLine="480" w:firstLineChars="200"/>
        <w:rPr>
          <w:rFonts w:hAnsi="宋体" w:cs="宋体"/>
          <w:color w:val="auto"/>
          <w:sz w:val="24"/>
          <w:szCs w:val="24"/>
          <w:u w:val="none" w:color="auto"/>
        </w:rPr>
      </w:pPr>
      <w:r>
        <w:rPr>
          <w:rFonts w:hint="eastAsia" w:ascii="宋体" w:hAnsi="宋体" w:eastAsia="宋体" w:cs="宋体"/>
          <w:color w:val="auto"/>
          <w:sz w:val="24"/>
          <w:szCs w:val="24"/>
          <w:u w:val="none" w:color="auto"/>
        </w:rPr>
        <w:br w:type="page"/>
      </w:r>
      <w:r>
        <w:rPr>
          <w:rFonts w:hint="eastAsia" w:hAnsi="宋体" w:cs="宋体"/>
          <w:color w:val="auto"/>
          <w:sz w:val="24"/>
          <w:szCs w:val="24"/>
          <w:u w:val="none" w:color="auto"/>
        </w:rPr>
        <w:t>根据《中华人民共和国政府采购法》、《中华人民共和国民法典》等有关法律法规规定，</w:t>
      </w:r>
      <w:ins w:id="3" w:author="金政浩" w:date="2025-11-23T21:00:00Z">
        <w:r>
          <w:rPr>
            <w:rFonts w:hint="eastAsia" w:hAnsi="宋体" w:cs="宋体"/>
            <w:color w:val="auto"/>
            <w:sz w:val="24"/>
            <w:szCs w:val="24"/>
            <w:u w:val="none" w:color="auto"/>
            <w:lang w:eastAsia="zh-CN"/>
          </w:rPr>
          <w:t>国家税务总局克拉玛依市克拉玛依区税务局</w:t>
        </w:r>
      </w:ins>
      <w:r>
        <w:rPr>
          <w:rFonts w:hint="eastAsia" w:hAnsi="宋体" w:cs="宋体"/>
          <w:color w:val="auto"/>
          <w:sz w:val="24"/>
          <w:szCs w:val="24"/>
          <w:u w:val="none" w:color="auto"/>
        </w:rPr>
        <w:t>(以下简称：“甲方”)通过</w:t>
      </w:r>
      <w:r>
        <w:rPr>
          <w:rFonts w:hint="eastAsia" w:hAnsi="宋体" w:cs="宋体"/>
          <w:color w:val="auto"/>
          <w:sz w:val="24"/>
          <w:szCs w:val="24"/>
          <w:u w:val="none" w:color="auto"/>
          <w:lang w:val="en-US" w:eastAsia="zh-CN"/>
        </w:rPr>
        <w:t>简易磋商</w:t>
      </w:r>
      <w:r>
        <w:rPr>
          <w:rFonts w:hint="eastAsia" w:hAnsi="宋体" w:cs="宋体"/>
          <w:color w:val="auto"/>
          <w:sz w:val="24"/>
          <w:szCs w:val="24"/>
          <w:u w:val="none" w:color="auto"/>
        </w:rPr>
        <w:t>采购确定 (</w:t>
      </w:r>
      <w:r>
        <w:rPr>
          <w:rFonts w:hint="eastAsia" w:hAnsi="宋体" w:cs="宋体"/>
          <w:color w:val="auto"/>
          <w:sz w:val="24"/>
          <w:szCs w:val="24"/>
          <w:u w:val="none" w:color="auto"/>
          <w:lang w:eastAsia="zh-CN"/>
        </w:rPr>
        <w:t>乙方</w:t>
      </w:r>
      <w:r>
        <w:rPr>
          <w:rFonts w:hint="eastAsia" w:hAnsi="宋体" w:cs="宋体"/>
          <w:color w:val="auto"/>
          <w:sz w:val="24"/>
          <w:szCs w:val="24"/>
          <w:u w:val="none" w:color="auto"/>
        </w:rPr>
        <w:t>名称)(以下简称：“乙方”)为</w:t>
      </w:r>
      <w:ins w:id="4" w:author="金政浩" w:date="2025-11-23T21:00:00Z">
        <w:r>
          <w:rPr>
            <w:rFonts w:hint="eastAsia" w:hAnsi="宋体" w:cs="宋体"/>
            <w:color w:val="auto"/>
            <w:sz w:val="24"/>
            <w:szCs w:val="24"/>
            <w:u w:val="none" w:color="auto"/>
            <w:lang w:eastAsia="zh-CN"/>
          </w:rPr>
          <w:t>国家税务总局克拉玛依市克拉玛依区税务局</w:t>
        </w:r>
      </w:ins>
      <w:r>
        <w:rPr>
          <w:rFonts w:hint="eastAsia" w:hAnsi="宋体" w:cs="宋体"/>
          <w:color w:val="auto"/>
          <w:sz w:val="24"/>
          <w:szCs w:val="24"/>
          <w:u w:val="none" w:color="auto"/>
          <w:lang w:val="en-US" w:eastAsia="zh-CN"/>
        </w:rPr>
        <w:t>物业管理服务项目</w:t>
      </w:r>
      <w:r>
        <w:rPr>
          <w:rFonts w:hint="eastAsia" w:hAnsi="宋体" w:cs="宋体"/>
          <w:color w:val="auto"/>
          <w:sz w:val="24"/>
          <w:szCs w:val="24"/>
          <w:u w:val="none" w:color="auto"/>
        </w:rPr>
        <w:t>的</w:t>
      </w:r>
      <w:r>
        <w:rPr>
          <w:rFonts w:hint="eastAsia" w:hAnsi="宋体" w:cs="宋体"/>
          <w:color w:val="auto"/>
          <w:sz w:val="24"/>
          <w:szCs w:val="24"/>
          <w:u w:val="none" w:color="auto"/>
          <w:lang w:eastAsia="zh-CN"/>
        </w:rPr>
        <w:t>乙方</w:t>
      </w:r>
      <w:r>
        <w:rPr>
          <w:rFonts w:hint="eastAsia" w:hAnsi="宋体" w:cs="宋体"/>
          <w:color w:val="auto"/>
          <w:sz w:val="24"/>
          <w:szCs w:val="24"/>
          <w:u w:val="none" w:color="auto"/>
        </w:rPr>
        <w:t>。甲乙双方同意签署《</w:t>
      </w:r>
      <w:ins w:id="5" w:author="金政浩" w:date="2025-11-23T21:00:00Z">
        <w:r>
          <w:rPr>
            <w:rFonts w:hint="eastAsia" w:hAnsi="宋体" w:cs="宋体"/>
            <w:color w:val="auto"/>
            <w:sz w:val="24"/>
            <w:szCs w:val="24"/>
            <w:u w:val="none" w:color="auto"/>
            <w:lang w:eastAsia="zh-CN"/>
          </w:rPr>
          <w:t>国家税务总局克拉玛依市克拉玛依区税务局</w:t>
        </w:r>
      </w:ins>
      <w:r>
        <w:rPr>
          <w:rFonts w:hint="eastAsia" w:hAnsi="宋体" w:cs="宋体"/>
          <w:color w:val="auto"/>
          <w:sz w:val="24"/>
          <w:szCs w:val="24"/>
          <w:u w:val="none" w:color="auto"/>
          <w:lang w:val="en-US" w:eastAsia="zh-CN"/>
        </w:rPr>
        <w:t>物业管理服务</w:t>
      </w:r>
      <w:r>
        <w:rPr>
          <w:rFonts w:hint="eastAsia" w:hAnsi="宋体" w:cs="宋体"/>
          <w:color w:val="auto"/>
          <w:sz w:val="24"/>
          <w:szCs w:val="24"/>
          <w:u w:val="none" w:color="auto"/>
        </w:rPr>
        <w:t>项目合同》(合同编号：         ，以下简称：“合同”)。</w:t>
      </w:r>
    </w:p>
    <w:p w14:paraId="5596C756">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1.合同文件</w:t>
      </w:r>
    </w:p>
    <w:p w14:paraId="7558FC2F">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下列文件是构成本合同不可分割的部分：</w:t>
      </w:r>
    </w:p>
    <w:p w14:paraId="23D65491">
      <w:pPr>
        <w:pStyle w:val="33"/>
        <w:spacing w:line="520" w:lineRule="exact"/>
        <w:ind w:firstLine="360" w:firstLineChars="150"/>
        <w:rPr>
          <w:rFonts w:hAnsi="宋体" w:cs="宋体"/>
          <w:color w:val="auto"/>
          <w:sz w:val="24"/>
          <w:szCs w:val="24"/>
          <w:u w:val="none" w:color="auto"/>
        </w:rPr>
      </w:pPr>
      <w:r>
        <w:rPr>
          <w:rFonts w:hint="eastAsia" w:hAnsi="宋体" w:cs="宋体"/>
          <w:color w:val="auto"/>
          <w:sz w:val="24"/>
          <w:szCs w:val="24"/>
          <w:u w:val="none" w:color="auto"/>
        </w:rPr>
        <w:t xml:space="preserve"> (1)合同条款；</w:t>
      </w:r>
    </w:p>
    <w:p w14:paraId="12B00D7B">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(2)报价表；</w:t>
      </w:r>
    </w:p>
    <w:p w14:paraId="5095B6D2">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(3)投标文件技术部分（如有）；</w:t>
      </w:r>
    </w:p>
    <w:p w14:paraId="4AAFAF0F">
      <w:pPr>
        <w:pStyle w:val="33"/>
        <w:spacing w:line="520" w:lineRule="exact"/>
        <w:ind w:firstLine="360" w:firstLineChars="150"/>
        <w:rPr>
          <w:rFonts w:hAnsi="宋体" w:cs="宋体"/>
          <w:color w:val="auto"/>
          <w:sz w:val="24"/>
          <w:szCs w:val="24"/>
          <w:u w:val="none" w:color="auto"/>
        </w:rPr>
      </w:pPr>
      <w:r>
        <w:rPr>
          <w:rFonts w:hint="eastAsia" w:hAnsi="宋体" w:cs="宋体"/>
          <w:color w:val="auto"/>
          <w:sz w:val="24"/>
          <w:szCs w:val="24"/>
          <w:u w:val="none" w:color="auto"/>
        </w:rPr>
        <w:t>（4）履约保证金电汇单（如有）；</w:t>
      </w:r>
    </w:p>
    <w:p w14:paraId="248B6B7F">
      <w:pPr>
        <w:pStyle w:val="33"/>
        <w:spacing w:line="520" w:lineRule="exact"/>
        <w:ind w:firstLine="360" w:firstLineChars="150"/>
        <w:rPr>
          <w:rFonts w:hAnsi="宋体" w:cs="宋体"/>
          <w:color w:val="auto"/>
          <w:sz w:val="24"/>
          <w:szCs w:val="24"/>
          <w:u w:val="none" w:color="auto"/>
        </w:rPr>
      </w:pPr>
      <w:r>
        <w:rPr>
          <w:rFonts w:hint="eastAsia" w:hAnsi="宋体" w:cs="宋体"/>
          <w:color w:val="auto"/>
          <w:sz w:val="24"/>
          <w:szCs w:val="24"/>
          <w:u w:val="none" w:color="auto"/>
        </w:rPr>
        <w:t>（5）其他（如有）。</w:t>
      </w:r>
    </w:p>
    <w:p w14:paraId="7D6F1481">
      <w:pPr>
        <w:pStyle w:val="33"/>
        <w:spacing w:line="520" w:lineRule="exact"/>
        <w:ind w:firstLine="480" w:firstLineChars="200"/>
        <w:rPr>
          <w:rFonts w:hAnsi="宋体" w:cs="宋体"/>
          <w:color w:val="auto"/>
          <w:sz w:val="24"/>
          <w:szCs w:val="24"/>
          <w:u w:val="none" w:color="auto"/>
        </w:rPr>
      </w:pPr>
    </w:p>
    <w:p w14:paraId="17C57326">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2.合同标的(详情见招投标文件)</w:t>
      </w:r>
    </w:p>
    <w:p w14:paraId="4792FC0A">
      <w:pPr>
        <w:pStyle w:val="33"/>
        <w:spacing w:line="520" w:lineRule="exact"/>
        <w:ind w:firstLine="480" w:firstLineChars="200"/>
        <w:rPr>
          <w:rFonts w:hint="eastAsia" w:hAnsi="宋体" w:cs="宋体"/>
          <w:color w:val="auto"/>
          <w:sz w:val="24"/>
          <w:szCs w:val="24"/>
          <w:u w:val="none" w:color="auto"/>
        </w:rPr>
      </w:pPr>
      <w:r>
        <w:rPr>
          <w:rFonts w:hint="eastAsia" w:hAnsi="宋体" w:cs="宋体"/>
          <w:color w:val="auto"/>
          <w:sz w:val="24"/>
          <w:szCs w:val="24"/>
          <w:u w:val="none" w:color="auto"/>
        </w:rPr>
        <w:t>物业管理服务包括基本服务、房屋维护服务、公用设施设备维护服务、保洁服务、绿化服务、会议服务</w:t>
      </w:r>
      <w:r>
        <w:rPr>
          <w:rFonts w:hint="eastAsia" w:hAnsi="宋体" w:cs="宋体"/>
          <w:color w:val="auto"/>
          <w:sz w:val="24"/>
          <w:szCs w:val="24"/>
          <w:u w:val="none" w:color="auto"/>
          <w:lang w:val="en-US" w:eastAsia="zh-CN"/>
        </w:rPr>
        <w:t>以及其他服务</w:t>
      </w:r>
      <w:r>
        <w:rPr>
          <w:rFonts w:hint="eastAsia" w:hAnsi="宋体" w:cs="宋体"/>
          <w:color w:val="auto"/>
          <w:sz w:val="24"/>
          <w:szCs w:val="24"/>
          <w:u w:val="none" w:color="auto"/>
        </w:rPr>
        <w:t>等。</w:t>
      </w:r>
    </w:p>
    <w:p w14:paraId="70850CEC">
      <w:pPr>
        <w:pStyle w:val="33"/>
        <w:spacing w:line="520" w:lineRule="exact"/>
        <w:ind w:firstLine="480" w:firstLineChars="200"/>
        <w:rPr>
          <w:rFonts w:hint="eastAsia" w:hAnsi="宋体" w:cs="宋体"/>
          <w:color w:val="auto"/>
          <w:sz w:val="24"/>
          <w:szCs w:val="24"/>
          <w:u w:val="none" w:color="auto"/>
        </w:rPr>
      </w:pPr>
    </w:p>
    <w:p w14:paraId="33D8D0FD">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3.合同金额</w:t>
      </w:r>
    </w:p>
    <w:p w14:paraId="6A3BFA10">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本合同总金额为人民币______元(￥______)。本合同项下所有服务的全部税费均已包含于合同价中，甲方不再另行支付。</w:t>
      </w:r>
    </w:p>
    <w:p w14:paraId="2EEFECEA">
      <w:pPr>
        <w:pStyle w:val="33"/>
        <w:spacing w:line="520" w:lineRule="exact"/>
        <w:ind w:firstLine="480" w:firstLineChars="200"/>
        <w:rPr>
          <w:rFonts w:hAnsi="宋体" w:cs="宋体"/>
          <w:color w:val="auto"/>
          <w:sz w:val="24"/>
          <w:szCs w:val="24"/>
          <w:u w:val="none" w:color="auto"/>
        </w:rPr>
      </w:pPr>
    </w:p>
    <w:p w14:paraId="458895D5">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4.合同签订地</w:t>
      </w:r>
    </w:p>
    <w:p w14:paraId="67855BDD">
      <w:pPr>
        <w:pStyle w:val="33"/>
        <w:spacing w:line="520" w:lineRule="exact"/>
        <w:ind w:firstLine="480" w:firstLineChars="200"/>
        <w:rPr>
          <w:rFonts w:hint="eastAsia" w:hAnsi="宋体" w:eastAsia="宋体" w:cs="宋体"/>
          <w:color w:val="auto"/>
          <w:sz w:val="24"/>
          <w:szCs w:val="24"/>
          <w:u w:val="none" w:color="auto"/>
          <w:lang w:val="en-US" w:eastAsia="zh-CN"/>
        </w:rPr>
      </w:pPr>
      <w:ins w:id="6" w:author="金政浩" w:date="2025-11-23T21:01:00Z">
        <w:r>
          <w:rPr>
            <w:rFonts w:hint="eastAsia" w:hAnsi="宋体" w:cs="宋体"/>
            <w:color w:val="auto"/>
            <w:sz w:val="24"/>
            <w:szCs w:val="24"/>
            <w:u w:val="none" w:color="auto"/>
            <w:lang w:eastAsia="zh-CN"/>
          </w:rPr>
          <w:t>新疆克拉玛依市迎宾路46号</w:t>
        </w:r>
      </w:ins>
    </w:p>
    <w:p w14:paraId="52FF93E9">
      <w:pPr>
        <w:pStyle w:val="33"/>
        <w:spacing w:line="520" w:lineRule="exact"/>
        <w:ind w:firstLine="480" w:firstLineChars="200"/>
        <w:rPr>
          <w:rFonts w:hAnsi="宋体" w:cs="宋体"/>
          <w:color w:val="auto"/>
          <w:sz w:val="24"/>
          <w:szCs w:val="24"/>
          <w:u w:val="none" w:color="auto"/>
        </w:rPr>
      </w:pPr>
    </w:p>
    <w:p w14:paraId="5F11867E">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5.合同生效</w:t>
      </w:r>
    </w:p>
    <w:p w14:paraId="34AC5CB1">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本合同一式</w:t>
      </w:r>
      <w:r>
        <w:rPr>
          <w:rFonts w:hint="eastAsia" w:hAnsi="宋体" w:cs="宋体"/>
          <w:color w:val="auto"/>
          <w:sz w:val="24"/>
          <w:szCs w:val="24"/>
          <w:u w:val="single" w:color="auto"/>
        </w:rPr>
        <w:t>_</w:t>
      </w:r>
      <w:r>
        <w:rPr>
          <w:rFonts w:hint="eastAsia" w:hAnsi="宋体" w:cs="宋体"/>
          <w:color w:val="auto"/>
          <w:sz w:val="24"/>
          <w:szCs w:val="24"/>
          <w:u w:val="single" w:color="auto"/>
          <w:lang w:val="en-US" w:eastAsia="zh-CN"/>
        </w:rPr>
        <w:t>肆</w:t>
      </w:r>
      <w:r>
        <w:rPr>
          <w:rFonts w:hint="eastAsia" w:hAnsi="宋体" w:cs="宋体"/>
          <w:color w:val="auto"/>
          <w:sz w:val="24"/>
          <w:szCs w:val="24"/>
          <w:u w:val="single" w:color="auto"/>
        </w:rPr>
        <w:t>_</w:t>
      </w:r>
      <w:r>
        <w:rPr>
          <w:rFonts w:hint="eastAsia" w:hAnsi="宋体" w:cs="宋体"/>
          <w:color w:val="auto"/>
          <w:sz w:val="24"/>
          <w:szCs w:val="24"/>
          <w:u w:val="none" w:color="auto"/>
        </w:rPr>
        <w:t>份，甲方执</w:t>
      </w:r>
      <w:r>
        <w:rPr>
          <w:rFonts w:hint="eastAsia" w:hAnsi="宋体" w:cs="宋体"/>
          <w:color w:val="auto"/>
          <w:sz w:val="24"/>
          <w:szCs w:val="24"/>
          <w:u w:val="single" w:color="auto"/>
        </w:rPr>
        <w:t>_</w:t>
      </w:r>
      <w:r>
        <w:rPr>
          <w:rFonts w:hint="eastAsia" w:hAnsi="宋体" w:cs="宋体"/>
          <w:color w:val="auto"/>
          <w:sz w:val="24"/>
          <w:szCs w:val="24"/>
          <w:u w:val="single" w:color="auto"/>
          <w:lang w:val="en-US" w:eastAsia="zh-CN"/>
        </w:rPr>
        <w:t>两</w:t>
      </w:r>
      <w:r>
        <w:rPr>
          <w:rFonts w:hint="eastAsia" w:hAnsi="宋体" w:cs="宋体"/>
          <w:color w:val="auto"/>
          <w:sz w:val="24"/>
          <w:szCs w:val="24"/>
          <w:u w:val="single" w:color="auto"/>
        </w:rPr>
        <w:t>_</w:t>
      </w:r>
      <w:r>
        <w:rPr>
          <w:rFonts w:hint="eastAsia" w:hAnsi="宋体" w:cs="宋体"/>
          <w:color w:val="auto"/>
          <w:sz w:val="24"/>
          <w:szCs w:val="24"/>
          <w:u w:val="none" w:color="auto"/>
        </w:rPr>
        <w:t>份，乙方执</w:t>
      </w:r>
      <w:r>
        <w:rPr>
          <w:rFonts w:hint="eastAsia" w:hAnsi="宋体" w:cs="宋体"/>
          <w:color w:val="auto"/>
          <w:sz w:val="24"/>
          <w:szCs w:val="24"/>
          <w:u w:val="single" w:color="auto"/>
        </w:rPr>
        <w:t>_</w:t>
      </w:r>
      <w:r>
        <w:rPr>
          <w:rFonts w:hint="eastAsia" w:hAnsi="宋体" w:cs="宋体"/>
          <w:color w:val="auto"/>
          <w:sz w:val="24"/>
          <w:szCs w:val="24"/>
          <w:u w:val="single" w:color="auto"/>
          <w:lang w:val="en-US" w:eastAsia="zh-CN"/>
        </w:rPr>
        <w:t>两</w:t>
      </w:r>
      <w:r>
        <w:rPr>
          <w:rFonts w:hint="eastAsia" w:hAnsi="宋体" w:cs="宋体"/>
          <w:color w:val="auto"/>
          <w:sz w:val="24"/>
          <w:szCs w:val="24"/>
          <w:u w:val="single" w:color="auto"/>
        </w:rPr>
        <w:t>_</w:t>
      </w:r>
      <w:r>
        <w:rPr>
          <w:rFonts w:hint="eastAsia" w:hAnsi="宋体" w:cs="宋体"/>
          <w:color w:val="auto"/>
          <w:sz w:val="24"/>
          <w:szCs w:val="24"/>
          <w:u w:val="none" w:color="auto"/>
        </w:rPr>
        <w:t>份，经甲乙双方法定代表人或其授权代表签字盖章后生效。</w:t>
      </w:r>
    </w:p>
    <w:p w14:paraId="2B433947">
      <w:pPr>
        <w:pStyle w:val="33"/>
        <w:spacing w:line="520" w:lineRule="exact"/>
        <w:ind w:firstLine="480" w:firstLineChars="200"/>
        <w:rPr>
          <w:rFonts w:hAnsi="宋体" w:cs="宋体"/>
          <w:color w:val="auto"/>
          <w:sz w:val="24"/>
          <w:szCs w:val="24"/>
          <w:u w:val="none" w:color="auto"/>
        </w:rPr>
      </w:pPr>
    </w:p>
    <w:p w14:paraId="7E25741A">
      <w:pPr>
        <w:pStyle w:val="33"/>
        <w:spacing w:line="520" w:lineRule="exact"/>
        <w:ind w:firstLine="480" w:firstLineChars="200"/>
        <w:rPr>
          <w:rFonts w:hint="eastAsia" w:hAnsi="宋体" w:eastAsia="宋体" w:cs="宋体"/>
          <w:color w:val="auto"/>
          <w:sz w:val="24"/>
          <w:szCs w:val="24"/>
          <w:u w:val="none" w:color="auto"/>
          <w:lang w:eastAsia="zh-CN"/>
        </w:rPr>
      </w:pPr>
      <w:r>
        <w:rPr>
          <w:rFonts w:hint="eastAsia" w:hAnsi="宋体" w:cs="宋体"/>
          <w:color w:val="auto"/>
          <w:sz w:val="24"/>
          <w:szCs w:val="24"/>
          <w:u w:val="none" w:color="auto"/>
        </w:rPr>
        <w:t>甲方：</w:t>
      </w:r>
      <w:ins w:id="7" w:author="金政浩" w:date="2025-11-23T21:00:00Z">
        <w:r>
          <w:rPr>
            <w:rFonts w:hint="eastAsia" w:hAnsi="宋体" w:cs="宋体"/>
            <w:color w:val="auto"/>
            <w:sz w:val="24"/>
            <w:szCs w:val="24"/>
            <w:u w:val="none" w:color="auto"/>
            <w:lang w:eastAsia="zh-CN"/>
          </w:rPr>
          <w:t>国家税务总局克拉玛依市克拉玛依区税务局</w:t>
        </w:r>
      </w:ins>
    </w:p>
    <w:p w14:paraId="4E8EA58A">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法定代表人或其授权代表签字(签章)：</w:t>
      </w:r>
    </w:p>
    <w:p w14:paraId="503ED629">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盖章：</w:t>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 xml:space="preserve">      </w:t>
      </w:r>
      <w:r>
        <w:rPr>
          <w:rFonts w:hint="eastAsia" w:hAnsi="宋体" w:cs="宋体"/>
          <w:color w:val="auto"/>
          <w:sz w:val="24"/>
          <w:szCs w:val="24"/>
          <w:u w:val="none" w:color="auto"/>
        </w:rPr>
        <w:tab/>
      </w:r>
      <w:r>
        <w:rPr>
          <w:rFonts w:hint="eastAsia" w:hAnsi="宋体" w:cs="宋体"/>
          <w:color w:val="auto"/>
          <w:sz w:val="24"/>
          <w:szCs w:val="24"/>
          <w:u w:val="none" w:color="auto"/>
        </w:rPr>
        <w:tab/>
      </w:r>
      <w:r>
        <w:rPr>
          <w:rFonts w:hint="eastAsia" w:hAnsi="宋体" w:cs="宋体"/>
          <w:color w:val="auto"/>
          <w:sz w:val="24"/>
          <w:szCs w:val="24"/>
          <w:u w:val="none" w:color="auto"/>
        </w:rPr>
        <w:t xml:space="preserve">  </w:t>
      </w:r>
    </w:p>
    <w:p w14:paraId="73AF24BA">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日期：______年____月____日</w:t>
      </w:r>
    </w:p>
    <w:p w14:paraId="219856DF">
      <w:pPr>
        <w:pStyle w:val="33"/>
        <w:spacing w:line="520" w:lineRule="exact"/>
        <w:rPr>
          <w:rFonts w:hAnsi="宋体" w:cs="宋体"/>
          <w:color w:val="auto"/>
          <w:sz w:val="24"/>
          <w:szCs w:val="24"/>
          <w:u w:val="none" w:color="auto"/>
        </w:rPr>
      </w:pPr>
    </w:p>
    <w:p w14:paraId="0CC117A4">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乙方：(</w:t>
      </w:r>
      <w:r>
        <w:rPr>
          <w:rFonts w:hint="eastAsia" w:hAnsi="宋体" w:cs="宋体"/>
          <w:color w:val="auto"/>
          <w:sz w:val="24"/>
          <w:szCs w:val="24"/>
          <w:u w:val="none" w:color="auto"/>
          <w:lang w:eastAsia="zh-CN"/>
        </w:rPr>
        <w:t>乙方</w:t>
      </w:r>
      <w:r>
        <w:rPr>
          <w:rFonts w:hint="eastAsia" w:hAnsi="宋体" w:cs="宋体"/>
          <w:color w:val="auto"/>
          <w:sz w:val="24"/>
          <w:szCs w:val="24"/>
          <w:u w:val="none" w:color="auto"/>
        </w:rPr>
        <w:t>名称)</w:t>
      </w:r>
    </w:p>
    <w:p w14:paraId="10D09068">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法定代表人或其授权代表签字(签章):</w:t>
      </w:r>
    </w:p>
    <w:p w14:paraId="158B5282">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盖章：</w:t>
      </w:r>
    </w:p>
    <w:p w14:paraId="42F3D118">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日期：______年____月____日</w:t>
      </w:r>
    </w:p>
    <w:p w14:paraId="0C9B187B">
      <w:pPr>
        <w:pStyle w:val="33"/>
        <w:spacing w:line="520" w:lineRule="exact"/>
        <w:rPr>
          <w:rFonts w:hAnsi="宋体" w:cs="宋体"/>
          <w:color w:val="auto"/>
          <w:sz w:val="28"/>
          <w:szCs w:val="28"/>
          <w:u w:val="none" w:color="auto"/>
        </w:rPr>
      </w:pPr>
      <w:r>
        <w:rPr>
          <w:rFonts w:hint="eastAsia" w:hAnsi="宋体" w:cs="宋体"/>
          <w:color w:val="auto"/>
          <w:sz w:val="28"/>
          <w:szCs w:val="28"/>
          <w:u w:val="none" w:color="auto"/>
        </w:rPr>
        <w:t>　</w:t>
      </w:r>
    </w:p>
    <w:p w14:paraId="129F44E6">
      <w:pPr>
        <w:pStyle w:val="33"/>
        <w:spacing w:line="520" w:lineRule="exact"/>
        <w:ind w:firstLine="280" w:firstLineChars="100"/>
        <w:rPr>
          <w:rFonts w:hAnsi="宋体" w:cs="宋体"/>
          <w:color w:val="auto"/>
          <w:sz w:val="24"/>
          <w:szCs w:val="24"/>
          <w:u w:val="none" w:color="auto"/>
        </w:rPr>
      </w:pPr>
      <w:r>
        <w:rPr>
          <w:rFonts w:hAnsi="宋体" w:cs="宋体"/>
          <w:color w:val="auto"/>
          <w:sz w:val="28"/>
          <w:szCs w:val="28"/>
          <w:u w:val="none" w:color="auto"/>
        </w:rPr>
        <w:br w:type="page"/>
      </w:r>
      <w:r>
        <w:rPr>
          <w:rFonts w:hint="eastAsia" w:hAnsi="宋体" w:cs="宋体"/>
          <w:color w:val="auto"/>
          <w:sz w:val="24"/>
          <w:szCs w:val="24"/>
          <w:u w:val="none" w:color="auto"/>
        </w:rPr>
        <w:t>1、合同条款</w:t>
      </w:r>
    </w:p>
    <w:p w14:paraId="3C245A9D">
      <w:pPr>
        <w:pStyle w:val="33"/>
        <w:spacing w:line="520" w:lineRule="exact"/>
        <w:ind w:firstLine="480" w:firstLineChars="200"/>
        <w:jc w:val="center"/>
        <w:rPr>
          <w:rFonts w:hAnsi="宋体" w:cs="宋体"/>
          <w:color w:val="auto"/>
          <w:sz w:val="24"/>
          <w:szCs w:val="24"/>
          <w:u w:val="none" w:color="auto"/>
        </w:rPr>
      </w:pPr>
      <w:r>
        <w:rPr>
          <w:rFonts w:hint="eastAsia" w:hAnsi="宋体" w:cs="宋体"/>
          <w:color w:val="auto"/>
          <w:sz w:val="24"/>
          <w:szCs w:val="24"/>
          <w:u w:val="none" w:color="auto"/>
        </w:rPr>
        <w:t>合同条款前附表</w:t>
      </w:r>
    </w:p>
    <w:p w14:paraId="2C78ECE5">
      <w:pPr>
        <w:pStyle w:val="33"/>
        <w:spacing w:line="520" w:lineRule="exact"/>
        <w:ind w:firstLine="480" w:firstLineChars="200"/>
        <w:jc w:val="center"/>
        <w:rPr>
          <w:rFonts w:hAnsi="宋体" w:cs="宋体"/>
          <w:color w:val="auto"/>
          <w:sz w:val="24"/>
          <w:szCs w:val="24"/>
          <w:u w:val="none" w:color="auto"/>
        </w:rPr>
      </w:pPr>
    </w:p>
    <w:tbl>
      <w:tblPr>
        <w:tblStyle w:val="59"/>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355"/>
      </w:tblGrid>
      <w:tr w14:paraId="7D82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02543C71">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序号</w:t>
            </w:r>
          </w:p>
        </w:tc>
        <w:tc>
          <w:tcPr>
            <w:tcW w:w="8355" w:type="dxa"/>
            <w:noWrap w:val="0"/>
            <w:vAlign w:val="center"/>
          </w:tcPr>
          <w:p w14:paraId="6A307FB2">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内容</w:t>
            </w:r>
          </w:p>
        </w:tc>
      </w:tr>
      <w:tr w14:paraId="44CC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5" w:type="dxa"/>
            <w:noWrap w:val="0"/>
            <w:vAlign w:val="center"/>
          </w:tcPr>
          <w:p w14:paraId="7028E765">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1</w:t>
            </w:r>
          </w:p>
        </w:tc>
        <w:tc>
          <w:tcPr>
            <w:tcW w:w="8355" w:type="dxa"/>
            <w:noWrap w:val="0"/>
            <w:vAlign w:val="center"/>
          </w:tcPr>
          <w:p w14:paraId="41E8B16A">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合同名称：</w:t>
            </w:r>
            <w:ins w:id="8" w:author="金政浩" w:date="2025-11-23T21:00:00Z">
              <w:r>
                <w:rPr>
                  <w:rFonts w:hint="eastAsia" w:hAnsi="宋体" w:cs="宋体"/>
                  <w:color w:val="auto"/>
                  <w:sz w:val="24"/>
                  <w:szCs w:val="24"/>
                  <w:u w:val="none" w:color="auto"/>
                  <w:lang w:eastAsia="zh-CN"/>
                </w:rPr>
                <w:t>国家税务总局克拉玛依市克拉玛依区税务局</w:t>
              </w:r>
            </w:ins>
            <w:r>
              <w:rPr>
                <w:rFonts w:hint="eastAsia" w:hAnsi="宋体" w:cs="宋体"/>
                <w:color w:val="auto"/>
                <w:sz w:val="24"/>
                <w:szCs w:val="24"/>
                <w:u w:val="none" w:color="auto"/>
                <w:lang w:val="en-US" w:eastAsia="zh-CN"/>
              </w:rPr>
              <w:t>物业管理服务</w:t>
            </w:r>
            <w:r>
              <w:rPr>
                <w:rFonts w:hint="eastAsia" w:hAnsi="宋体" w:cs="宋体"/>
                <w:color w:val="auto"/>
                <w:sz w:val="24"/>
                <w:szCs w:val="24"/>
                <w:u w:val="none" w:color="auto"/>
              </w:rPr>
              <w:t xml:space="preserve">项目合同 </w:t>
            </w:r>
          </w:p>
          <w:p w14:paraId="0A43AEBB">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 xml:space="preserve">合同编号：                </w:t>
            </w:r>
          </w:p>
        </w:tc>
      </w:tr>
      <w:tr w14:paraId="1F0F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restart"/>
            <w:noWrap w:val="0"/>
            <w:vAlign w:val="center"/>
          </w:tcPr>
          <w:p w14:paraId="5A74F909">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2</w:t>
            </w:r>
          </w:p>
        </w:tc>
        <w:tc>
          <w:tcPr>
            <w:tcW w:w="8355" w:type="dxa"/>
            <w:noWrap w:val="0"/>
            <w:vAlign w:val="center"/>
          </w:tcPr>
          <w:p w14:paraId="23F9D797">
            <w:pPr>
              <w:pStyle w:val="33"/>
              <w:spacing w:line="520" w:lineRule="exact"/>
              <w:jc w:val="left"/>
              <w:rPr>
                <w:rFonts w:hint="eastAsia" w:hAnsi="宋体" w:eastAsia="宋体" w:cs="宋体"/>
                <w:color w:val="auto"/>
                <w:sz w:val="24"/>
                <w:szCs w:val="24"/>
                <w:u w:val="none" w:color="auto"/>
                <w:lang w:eastAsia="zh-CN"/>
              </w:rPr>
            </w:pPr>
            <w:r>
              <w:rPr>
                <w:rFonts w:hint="eastAsia" w:hAnsi="宋体" w:cs="宋体"/>
                <w:color w:val="auto"/>
                <w:sz w:val="24"/>
                <w:szCs w:val="24"/>
                <w:u w:val="none" w:color="auto"/>
              </w:rPr>
              <w:t>甲方名称：</w:t>
            </w:r>
            <w:ins w:id="9" w:author="金政浩" w:date="2025-11-23T21:00:00Z">
              <w:r>
                <w:rPr>
                  <w:rFonts w:hint="eastAsia" w:hAnsi="宋体" w:cs="宋体"/>
                  <w:color w:val="auto"/>
                  <w:sz w:val="24"/>
                  <w:szCs w:val="24"/>
                  <w:u w:val="none" w:color="auto"/>
                  <w:lang w:eastAsia="zh-CN"/>
                </w:rPr>
                <w:t>国家税务总局克拉玛依市克拉玛依区税务局</w:t>
              </w:r>
            </w:ins>
          </w:p>
        </w:tc>
      </w:tr>
      <w:tr w14:paraId="2E2E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2E279F34">
            <w:pPr>
              <w:spacing w:line="520" w:lineRule="exact"/>
              <w:rPr>
                <w:rFonts w:ascii="宋体" w:hAnsi="宋体" w:eastAsia="宋体"/>
                <w:color w:val="auto"/>
                <w:sz w:val="24"/>
                <w:szCs w:val="24"/>
                <w:u w:val="none" w:color="auto"/>
              </w:rPr>
            </w:pPr>
          </w:p>
        </w:tc>
        <w:tc>
          <w:tcPr>
            <w:tcW w:w="8355" w:type="dxa"/>
            <w:noWrap w:val="0"/>
            <w:vAlign w:val="center"/>
          </w:tcPr>
          <w:p w14:paraId="1A75282C">
            <w:pPr>
              <w:pStyle w:val="33"/>
              <w:spacing w:line="520" w:lineRule="exact"/>
              <w:jc w:val="left"/>
              <w:rPr>
                <w:rFonts w:hint="default" w:hAnsi="宋体" w:eastAsia="宋体" w:cs="宋体"/>
                <w:color w:val="auto"/>
                <w:sz w:val="24"/>
                <w:szCs w:val="24"/>
                <w:u w:val="none" w:color="auto"/>
                <w:lang w:val="en-US" w:eastAsia="zh-CN"/>
              </w:rPr>
            </w:pPr>
            <w:r>
              <w:rPr>
                <w:rFonts w:hint="eastAsia" w:hAnsi="宋体" w:cs="宋体"/>
                <w:color w:val="auto"/>
                <w:sz w:val="24"/>
                <w:szCs w:val="24"/>
                <w:u w:val="none" w:color="auto"/>
              </w:rPr>
              <w:t>甲方地址：</w:t>
            </w:r>
            <w:ins w:id="10" w:author="金政浩" w:date="2025-11-23T21:01:00Z">
              <w:r>
                <w:rPr>
                  <w:rFonts w:hint="eastAsia" w:hAnsi="宋体" w:cs="宋体"/>
                  <w:color w:val="auto"/>
                  <w:sz w:val="24"/>
                  <w:szCs w:val="24"/>
                  <w:u w:val="none" w:color="auto"/>
                  <w:lang w:eastAsia="zh-CN"/>
                </w:rPr>
                <w:t>新疆克拉玛依市迎宾路46号</w:t>
              </w:r>
            </w:ins>
          </w:p>
        </w:tc>
      </w:tr>
      <w:tr w14:paraId="04B6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60E1DA00">
            <w:pPr>
              <w:spacing w:line="520" w:lineRule="exact"/>
              <w:rPr>
                <w:rFonts w:ascii="宋体" w:hAnsi="宋体" w:eastAsia="宋体"/>
                <w:color w:val="auto"/>
                <w:sz w:val="24"/>
                <w:szCs w:val="24"/>
                <w:u w:val="none" w:color="auto"/>
              </w:rPr>
            </w:pPr>
          </w:p>
        </w:tc>
        <w:tc>
          <w:tcPr>
            <w:tcW w:w="8355" w:type="dxa"/>
            <w:noWrap w:val="0"/>
            <w:vAlign w:val="center"/>
          </w:tcPr>
          <w:p w14:paraId="4AC1ED07">
            <w:pPr>
              <w:widowControl/>
              <w:spacing w:line="520" w:lineRule="exact"/>
              <w:jc w:val="lef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甲方联系人及电话：</w:t>
            </w:r>
          </w:p>
          <w:p w14:paraId="0CE3EA80">
            <w:pPr>
              <w:widowControl/>
              <w:spacing w:line="520" w:lineRule="exact"/>
              <w:jc w:val="lef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联系人：</w:t>
            </w:r>
            <w:r>
              <w:rPr>
                <w:rFonts w:hint="eastAsia" w:ascii="宋体" w:hAnsi="宋体" w:cs="宋体"/>
                <w:color w:val="auto"/>
                <w:sz w:val="24"/>
                <w:szCs w:val="24"/>
                <w:u w:val="none" w:color="auto"/>
                <w:lang w:val="en-US" w:eastAsia="zh-CN"/>
              </w:rPr>
              <w:t>金政浩</w:t>
            </w:r>
          </w:p>
          <w:p w14:paraId="62E58557">
            <w:pPr>
              <w:widowControl/>
              <w:spacing w:line="520" w:lineRule="exact"/>
              <w:jc w:val="lef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联系电话</w:t>
            </w:r>
            <w:r>
              <w:rPr>
                <w:rFonts w:hint="eastAsia" w:ascii="宋体" w:hAnsi="宋体" w:cs="宋体"/>
                <w:color w:val="auto"/>
                <w:sz w:val="24"/>
                <w:szCs w:val="24"/>
                <w:u w:val="none" w:color="auto"/>
                <w:lang w:eastAsia="zh-CN"/>
              </w:rPr>
              <w:t>：</w:t>
            </w:r>
            <w:r>
              <w:rPr>
                <w:rFonts w:hint="eastAsia" w:ascii="宋体" w:hAnsi="宋体" w:cs="宋体"/>
                <w:color w:val="auto"/>
                <w:sz w:val="24"/>
                <w:szCs w:val="24"/>
                <w:u w:val="none" w:color="auto"/>
                <w:lang w:val="en-US" w:eastAsia="zh-CN"/>
              </w:rPr>
              <w:t>0990-6231098</w:t>
            </w:r>
            <w:r>
              <w:rPr>
                <w:rFonts w:hint="eastAsia" w:ascii="宋体" w:hAnsi="宋体" w:eastAsia="宋体"/>
                <w:color w:val="auto"/>
                <w:sz w:val="24"/>
                <w:szCs w:val="24"/>
                <w:u w:val="none" w:color="auto"/>
              </w:rPr>
              <w:t xml:space="preserve">               </w:t>
            </w:r>
          </w:p>
        </w:tc>
      </w:tr>
      <w:tr w14:paraId="00FC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restart"/>
            <w:noWrap w:val="0"/>
            <w:vAlign w:val="center"/>
          </w:tcPr>
          <w:p w14:paraId="1DF64915">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3</w:t>
            </w:r>
          </w:p>
        </w:tc>
        <w:tc>
          <w:tcPr>
            <w:tcW w:w="8355" w:type="dxa"/>
            <w:noWrap w:val="0"/>
            <w:vAlign w:val="center"/>
          </w:tcPr>
          <w:p w14:paraId="0EE2FE79">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乙方名称：</w:t>
            </w:r>
          </w:p>
        </w:tc>
      </w:tr>
      <w:tr w14:paraId="093E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3133730A">
            <w:pPr>
              <w:spacing w:line="520" w:lineRule="exact"/>
              <w:rPr>
                <w:rFonts w:ascii="宋体" w:hAnsi="宋体" w:eastAsia="宋体"/>
                <w:color w:val="auto"/>
                <w:sz w:val="24"/>
                <w:szCs w:val="24"/>
                <w:u w:val="none" w:color="auto"/>
              </w:rPr>
            </w:pPr>
          </w:p>
        </w:tc>
        <w:tc>
          <w:tcPr>
            <w:tcW w:w="8355" w:type="dxa"/>
            <w:noWrap w:val="0"/>
            <w:vAlign w:val="center"/>
          </w:tcPr>
          <w:p w14:paraId="47D3F0D2">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乙方地址：</w:t>
            </w:r>
          </w:p>
        </w:tc>
      </w:tr>
      <w:tr w14:paraId="496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342E5C2B">
            <w:pPr>
              <w:spacing w:line="520" w:lineRule="exact"/>
              <w:rPr>
                <w:rFonts w:ascii="宋体" w:hAnsi="宋体" w:eastAsia="宋体"/>
                <w:color w:val="auto"/>
                <w:sz w:val="24"/>
                <w:szCs w:val="24"/>
                <w:u w:val="none" w:color="auto"/>
              </w:rPr>
            </w:pPr>
          </w:p>
        </w:tc>
        <w:tc>
          <w:tcPr>
            <w:tcW w:w="8355" w:type="dxa"/>
            <w:noWrap w:val="0"/>
            <w:vAlign w:val="center"/>
          </w:tcPr>
          <w:p w14:paraId="1F5E357A">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乙方联系人：　　　　电话：</w:t>
            </w:r>
          </w:p>
        </w:tc>
      </w:tr>
      <w:tr w14:paraId="444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6C15BECC">
            <w:pPr>
              <w:spacing w:line="520" w:lineRule="exact"/>
              <w:rPr>
                <w:rFonts w:ascii="宋体" w:hAnsi="宋体" w:eastAsia="宋体"/>
                <w:color w:val="auto"/>
                <w:sz w:val="24"/>
                <w:szCs w:val="24"/>
                <w:u w:val="none" w:color="auto"/>
              </w:rPr>
            </w:pPr>
          </w:p>
        </w:tc>
        <w:tc>
          <w:tcPr>
            <w:tcW w:w="8355" w:type="dxa"/>
            <w:noWrap w:val="0"/>
            <w:vAlign w:val="center"/>
          </w:tcPr>
          <w:p w14:paraId="7E06672D">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乙方开户银行名称：</w:t>
            </w:r>
          </w:p>
          <w:p w14:paraId="2BC378F1">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账号：</w:t>
            </w:r>
          </w:p>
        </w:tc>
      </w:tr>
      <w:tr w14:paraId="1577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2F3426A8">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4</w:t>
            </w:r>
          </w:p>
        </w:tc>
        <w:tc>
          <w:tcPr>
            <w:tcW w:w="8355" w:type="dxa"/>
            <w:noWrap w:val="0"/>
            <w:vAlign w:val="center"/>
          </w:tcPr>
          <w:p w14:paraId="2E8A6D3B">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合同金额：</w:t>
            </w:r>
          </w:p>
        </w:tc>
      </w:tr>
      <w:tr w14:paraId="0267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5DC00EAF">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5</w:t>
            </w:r>
          </w:p>
        </w:tc>
        <w:tc>
          <w:tcPr>
            <w:tcW w:w="8355" w:type="dxa"/>
            <w:noWrap w:val="0"/>
            <w:vAlign w:val="center"/>
          </w:tcPr>
          <w:p w14:paraId="2200A52C">
            <w:pPr>
              <w:spacing w:line="520" w:lineRule="exac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服务时间：</w:t>
            </w:r>
            <w:r>
              <w:rPr>
                <w:rFonts w:hint="eastAsia" w:ascii="宋体" w:hAnsi="宋体" w:cs="宋体"/>
                <w:color w:val="auto"/>
                <w:sz w:val="24"/>
                <w:szCs w:val="24"/>
                <w:u w:val="none" w:color="auto"/>
                <w:lang w:val="en-US" w:eastAsia="zh-CN"/>
              </w:rPr>
              <w:t>本项目服务期限为三年，自</w:t>
            </w:r>
            <w:r>
              <w:rPr>
                <w:rFonts w:hint="eastAsia" w:asciiTheme="minorEastAsia" w:hAnsiTheme="minorEastAsia" w:eastAsiaTheme="minorEastAsia" w:cstheme="minorEastAsia"/>
                <w:color w:val="auto"/>
                <w:sz w:val="24"/>
                <w:szCs w:val="24"/>
                <w:highlight w:val="none"/>
                <w:lang w:val="en-US" w:eastAsia="zh-CN"/>
              </w:rPr>
              <w:t>2026年1月1日起至2028年12月31日止。合同采取一年一签方式，第一年2026年1月1日起至2026年12月31日。经年度验收考核合格，期限内续签合同；年度验收考核不合格，不再续签合同。</w:t>
            </w:r>
            <w:r>
              <w:rPr>
                <w:rFonts w:ascii="宋体" w:hAnsi="宋体" w:eastAsia="宋体" w:cs="宋体"/>
                <w:color w:val="auto"/>
                <w:sz w:val="24"/>
                <w:szCs w:val="24"/>
                <w:u w:val="none" w:color="auto"/>
              </w:rPr>
              <w:t xml:space="preserve"> </w:t>
            </w:r>
          </w:p>
          <w:p w14:paraId="30062F28">
            <w:pPr>
              <w:spacing w:line="520" w:lineRule="exac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服务地点：</w:t>
            </w:r>
            <w:ins w:id="11" w:author="金政浩" w:date="2025-11-23T21:01:00Z">
              <w:r>
                <w:rPr>
                  <w:rFonts w:hint="eastAsia" w:hAnsi="宋体" w:cs="宋体"/>
                  <w:color w:val="auto"/>
                  <w:sz w:val="24"/>
                  <w:szCs w:val="24"/>
                  <w:u w:val="none" w:color="auto"/>
                  <w:lang w:eastAsia="zh-CN"/>
                </w:rPr>
                <w:t>新疆克拉玛依市迎宾路46号</w:t>
              </w:r>
            </w:ins>
          </w:p>
        </w:tc>
      </w:tr>
      <w:tr w14:paraId="6E69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75" w:type="dxa"/>
            <w:noWrap w:val="0"/>
            <w:vAlign w:val="center"/>
          </w:tcPr>
          <w:p w14:paraId="68D6FE2D">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6</w:t>
            </w:r>
          </w:p>
        </w:tc>
        <w:tc>
          <w:tcPr>
            <w:tcW w:w="8355" w:type="dxa"/>
            <w:noWrap w:val="0"/>
            <w:vAlign w:val="center"/>
          </w:tcPr>
          <w:p w14:paraId="2A7514DE">
            <w:pPr>
              <w:pStyle w:val="33"/>
              <w:spacing w:line="520" w:lineRule="exact"/>
              <w:jc w:val="left"/>
              <w:rPr>
                <w:rFonts w:hint="default" w:hAnsi="宋体" w:cs="宋体"/>
                <w:color w:val="auto"/>
                <w:sz w:val="24"/>
                <w:szCs w:val="24"/>
                <w:u w:val="none" w:color="auto"/>
                <w:lang w:val="en-US"/>
              </w:rPr>
            </w:pPr>
            <w:r>
              <w:rPr>
                <w:rFonts w:hint="eastAsia" w:hAnsi="宋体" w:cs="宋体"/>
                <w:color w:val="auto"/>
                <w:sz w:val="24"/>
                <w:szCs w:val="24"/>
                <w:u w:val="none" w:color="auto"/>
              </w:rPr>
              <w:t>服务履行期：</w:t>
            </w:r>
            <w:r>
              <w:rPr>
                <w:rFonts w:hint="eastAsia" w:asciiTheme="minorEastAsia" w:hAnsiTheme="minorEastAsia" w:eastAsiaTheme="minorEastAsia" w:cstheme="minorEastAsia"/>
                <w:color w:val="auto"/>
                <w:sz w:val="24"/>
                <w:szCs w:val="24"/>
                <w:highlight w:val="none"/>
                <w:lang w:val="en-US" w:eastAsia="zh-CN"/>
              </w:rPr>
              <w:t>按照上款所列服务时间。</w:t>
            </w:r>
          </w:p>
        </w:tc>
      </w:tr>
      <w:tr w14:paraId="5736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50F8ADF5">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7</w:t>
            </w:r>
          </w:p>
        </w:tc>
        <w:tc>
          <w:tcPr>
            <w:tcW w:w="8355" w:type="dxa"/>
            <w:noWrap w:val="0"/>
            <w:vAlign w:val="center"/>
          </w:tcPr>
          <w:p w14:paraId="0750A1AA">
            <w:pPr>
              <w:pStyle w:val="33"/>
              <w:spacing w:line="520" w:lineRule="exact"/>
              <w:jc w:val="left"/>
              <w:rPr>
                <w:rFonts w:hint="default" w:hAnsi="宋体" w:eastAsia="宋体" w:cs="宋体"/>
                <w:color w:val="auto"/>
                <w:sz w:val="24"/>
                <w:szCs w:val="24"/>
                <w:u w:val="none" w:color="auto"/>
                <w:lang w:val="en-US" w:eastAsia="zh-CN"/>
              </w:rPr>
            </w:pPr>
            <w:r>
              <w:rPr>
                <w:rFonts w:hint="eastAsia" w:hAnsi="宋体" w:cs="宋体"/>
                <w:color w:val="auto"/>
                <w:sz w:val="24"/>
                <w:szCs w:val="24"/>
                <w:u w:val="none" w:color="auto"/>
              </w:rPr>
              <w:t>验收方式及标准：</w:t>
            </w:r>
            <w:r>
              <w:rPr>
                <w:rFonts w:hint="eastAsia" w:asciiTheme="minorEastAsia" w:hAnsiTheme="minorEastAsia" w:eastAsiaTheme="minorEastAsia" w:cstheme="minorEastAsia"/>
                <w:color w:val="auto"/>
                <w:sz w:val="24"/>
                <w:szCs w:val="24"/>
                <w:highlight w:val="none"/>
                <w:lang w:val="en-US" w:eastAsia="zh-CN"/>
              </w:rPr>
              <w:t>乙方按约定，定期给甲方提交服务报告，甲方根据合同条款的约定对服务期内的服务实施具体情况进行年度考核评价，综合考核评价情况和服务效果进行验收。</w:t>
            </w:r>
          </w:p>
        </w:tc>
      </w:tr>
      <w:tr w14:paraId="0137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1E601E3B">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8</w:t>
            </w:r>
          </w:p>
        </w:tc>
        <w:tc>
          <w:tcPr>
            <w:tcW w:w="8355" w:type="dxa"/>
            <w:noWrap w:val="0"/>
            <w:vAlign w:val="center"/>
          </w:tcPr>
          <w:p w14:paraId="5EF2F1F3">
            <w:pPr>
              <w:spacing w:line="520" w:lineRule="exact"/>
              <w:contextualSpacing/>
              <w:rPr>
                <w:rFonts w:ascii="宋体" w:hAnsi="宋体" w:eastAsia="宋体"/>
                <w:color w:val="auto"/>
                <w:sz w:val="24"/>
                <w:szCs w:val="24"/>
                <w:u w:val="none" w:color="auto"/>
              </w:rPr>
            </w:pPr>
            <w:r>
              <w:rPr>
                <w:rFonts w:hint="eastAsia" w:ascii="宋体" w:hAnsi="宋体" w:eastAsia="宋体"/>
                <w:color w:val="auto"/>
                <w:sz w:val="24"/>
                <w:szCs w:val="24"/>
                <w:u w:val="none" w:color="auto"/>
              </w:rPr>
              <w:t>付款方式及条件：</w:t>
            </w:r>
            <w:r>
              <w:rPr>
                <w:rFonts w:hint="eastAsia" w:ascii="宋体" w:hAnsi="宋体"/>
                <w:color w:val="auto"/>
                <w:sz w:val="24"/>
                <w:szCs w:val="24"/>
                <w:u w:val="none" w:color="auto"/>
                <w:lang w:val="en-US" w:eastAsia="zh-CN"/>
              </w:rPr>
              <w:t>甲方</w:t>
            </w:r>
            <w:r>
              <w:rPr>
                <w:rFonts w:hint="eastAsia" w:asciiTheme="minorEastAsia" w:hAnsiTheme="minorEastAsia" w:eastAsiaTheme="minorEastAsia" w:cstheme="minorEastAsia"/>
                <w:color w:val="auto"/>
                <w:sz w:val="24"/>
                <w:szCs w:val="24"/>
                <w:highlight w:val="none"/>
                <w:lang w:val="en-US" w:eastAsia="zh-CN"/>
              </w:rPr>
              <w:t>按季度支付</w:t>
            </w:r>
            <w:r>
              <w:rPr>
                <w:rFonts w:hint="eastAsia" w:asciiTheme="minorEastAsia" w:hAnsiTheme="minorEastAsia" w:eastAsiaTheme="minorEastAsia" w:cstheme="minorEastAsia"/>
                <w:color w:val="auto"/>
                <w:sz w:val="24"/>
                <w:szCs w:val="24"/>
                <w:highlight w:val="none"/>
                <w:lang w:eastAsia="zh-CN"/>
              </w:rPr>
              <w:t>物业管理服务</w:t>
            </w:r>
            <w:r>
              <w:rPr>
                <w:rFonts w:hint="eastAsia" w:asciiTheme="minorEastAsia" w:hAnsiTheme="minorEastAsia" w:eastAsiaTheme="minorEastAsia" w:cstheme="minorEastAsia"/>
                <w:color w:val="auto"/>
                <w:sz w:val="24"/>
                <w:szCs w:val="24"/>
                <w:highlight w:val="none"/>
                <w:lang w:val="en-US" w:eastAsia="zh-CN"/>
              </w:rPr>
              <w:t>费用，乙方需提供合法有效的增值税发票。</w:t>
            </w:r>
          </w:p>
        </w:tc>
      </w:tr>
      <w:tr w14:paraId="4711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75A46FDF">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9</w:t>
            </w:r>
          </w:p>
        </w:tc>
        <w:tc>
          <w:tcPr>
            <w:tcW w:w="8355" w:type="dxa"/>
            <w:noWrap w:val="0"/>
            <w:vAlign w:val="center"/>
          </w:tcPr>
          <w:p w14:paraId="2E90907A">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履约保证金及其返还：</w:t>
            </w:r>
            <w:r>
              <w:rPr>
                <w:rFonts w:hint="eastAsia" w:hAnsi="宋体" w:cs="宋体"/>
                <w:color w:val="auto"/>
                <w:sz w:val="24"/>
                <w:szCs w:val="24"/>
                <w:u w:val="none" w:color="auto"/>
                <w:lang w:val="en-US" w:eastAsia="zh-CN"/>
              </w:rPr>
              <w:t>本项目无履约保证金</w:t>
            </w:r>
            <w:r>
              <w:rPr>
                <w:rFonts w:hAnsi="宋体" w:cs="宋体"/>
                <w:color w:val="auto"/>
                <w:sz w:val="24"/>
                <w:szCs w:val="24"/>
                <w:u w:val="none" w:color="auto"/>
              </w:rPr>
              <w:t xml:space="preserve"> </w:t>
            </w:r>
          </w:p>
        </w:tc>
      </w:tr>
      <w:tr w14:paraId="750B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5" w:type="dxa"/>
            <w:noWrap w:val="0"/>
            <w:vAlign w:val="center"/>
          </w:tcPr>
          <w:p w14:paraId="07EF2C7E">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10</w:t>
            </w:r>
          </w:p>
        </w:tc>
        <w:tc>
          <w:tcPr>
            <w:tcW w:w="8355" w:type="dxa"/>
            <w:noWrap w:val="0"/>
            <w:vAlign w:val="center"/>
          </w:tcPr>
          <w:p w14:paraId="0EB15E36">
            <w:pPr>
              <w:pStyle w:val="3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hAnsi="宋体" w:eastAsia="宋体" w:cs="宋体"/>
                <w:b/>
                <w:bCs/>
                <w:color w:val="auto"/>
                <w:sz w:val="24"/>
                <w:szCs w:val="24"/>
                <w:u w:val="none" w:color="auto"/>
                <w:lang w:val="en-US" w:eastAsia="zh-CN"/>
              </w:rPr>
            </w:pPr>
            <w:r>
              <w:rPr>
                <w:rFonts w:hint="eastAsia" w:hAnsi="宋体" w:cs="宋体"/>
                <w:color w:val="auto"/>
                <w:sz w:val="24"/>
                <w:szCs w:val="24"/>
                <w:u w:val="none" w:color="auto"/>
                <w:lang w:eastAsia="zh-CN"/>
              </w:rPr>
              <w:t>☑</w:t>
            </w:r>
            <w:r>
              <w:rPr>
                <w:rFonts w:hint="eastAsia" w:hAnsi="宋体" w:cs="宋体"/>
                <w:color w:val="auto"/>
                <w:sz w:val="24"/>
                <w:szCs w:val="24"/>
                <w:u w:val="none" w:color="auto"/>
              </w:rPr>
              <w:t>违约金约定：</w:t>
            </w:r>
            <w:r>
              <w:rPr>
                <w:rFonts w:hint="eastAsia" w:hAnsi="宋体" w:cs="宋体"/>
                <w:color w:val="auto"/>
                <w:sz w:val="24"/>
                <w:szCs w:val="24"/>
                <w:u w:val="none" w:color="auto"/>
                <w:lang w:val="en-US" w:eastAsia="zh-CN"/>
              </w:rPr>
              <w:t>详见</w:t>
            </w:r>
            <w:r>
              <w:rPr>
                <w:rFonts w:hint="eastAsia" w:hAnsi="宋体" w:cs="宋体"/>
                <w:b/>
                <w:bCs/>
                <w:color w:val="auto"/>
                <w:sz w:val="24"/>
                <w:szCs w:val="24"/>
                <w:u w:val="none" w:color="auto"/>
                <w:lang w:val="en-US" w:eastAsia="zh-CN"/>
              </w:rPr>
              <w:t>通用条款</w:t>
            </w:r>
            <w:r>
              <w:rPr>
                <w:rFonts w:hint="eastAsia" w:hAnsi="宋体" w:cs="宋体"/>
                <w:b/>
                <w:bCs/>
                <w:color w:val="auto"/>
                <w:sz w:val="24"/>
                <w:szCs w:val="24"/>
                <w:u w:val="none" w:color="auto"/>
              </w:rPr>
              <w:t>9.违约责任</w:t>
            </w:r>
            <w:r>
              <w:rPr>
                <w:rFonts w:hint="eastAsia" w:hAnsi="宋体" w:cs="宋体"/>
                <w:color w:val="auto"/>
                <w:sz w:val="24"/>
                <w:szCs w:val="24"/>
                <w:u w:val="none" w:color="auto"/>
                <w:lang w:val="en-US" w:eastAsia="zh-CN"/>
              </w:rPr>
              <w:t>部分</w:t>
            </w:r>
          </w:p>
          <w:p w14:paraId="29E06851">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□损失赔偿约定：</w:t>
            </w:r>
          </w:p>
        </w:tc>
      </w:tr>
      <w:tr w14:paraId="59E4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775E8953">
            <w:pPr>
              <w:pStyle w:val="33"/>
              <w:spacing w:line="520" w:lineRule="exact"/>
              <w:ind w:firstLine="240" w:firstLineChars="100"/>
              <w:rPr>
                <w:rFonts w:hAnsi="宋体" w:cs="宋体"/>
                <w:color w:val="auto"/>
                <w:sz w:val="24"/>
                <w:szCs w:val="24"/>
                <w:u w:val="none" w:color="auto"/>
              </w:rPr>
            </w:pPr>
            <w:r>
              <w:rPr>
                <w:rFonts w:hint="eastAsia" w:hAnsi="宋体" w:cs="宋体"/>
                <w:color w:val="auto"/>
                <w:sz w:val="24"/>
                <w:szCs w:val="24"/>
                <w:u w:val="none" w:color="auto"/>
              </w:rPr>
              <w:t>11</w:t>
            </w:r>
          </w:p>
        </w:tc>
        <w:tc>
          <w:tcPr>
            <w:tcW w:w="8355" w:type="dxa"/>
            <w:noWrap w:val="0"/>
            <w:vAlign w:val="center"/>
          </w:tcPr>
          <w:p w14:paraId="28269219">
            <w:pPr>
              <w:pStyle w:val="33"/>
              <w:spacing w:line="520" w:lineRule="exact"/>
              <w:jc w:val="left"/>
              <w:rPr>
                <w:rFonts w:hint="eastAsia" w:hAnsi="宋体" w:eastAsia="宋体" w:cs="宋体"/>
                <w:color w:val="auto"/>
                <w:sz w:val="24"/>
                <w:szCs w:val="24"/>
                <w:u w:val="none" w:color="auto"/>
                <w:lang w:eastAsia="zh-CN"/>
              </w:rPr>
            </w:pPr>
            <w:r>
              <w:rPr>
                <w:rFonts w:hint="eastAsia" w:hAnsi="宋体" w:cs="宋体"/>
                <w:color w:val="auto"/>
                <w:sz w:val="24"/>
                <w:szCs w:val="24"/>
                <w:u w:val="none" w:color="auto"/>
              </w:rPr>
              <w:t>误期赔偿费约定：赔偿费按每日加收合同金额的0.5%计收，直至提供服务为止。误期超过30日的，甲方有权单方解除合同，并要求乙方承担合同价款总额15%的违约金。</w:t>
            </w:r>
          </w:p>
        </w:tc>
      </w:tr>
      <w:tr w14:paraId="687A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5CD24EBF">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12</w:t>
            </w:r>
          </w:p>
        </w:tc>
        <w:tc>
          <w:tcPr>
            <w:tcW w:w="8355" w:type="dxa"/>
            <w:noWrap w:val="0"/>
            <w:vAlign w:val="center"/>
          </w:tcPr>
          <w:p w14:paraId="700609C9">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合同履行期限：自合同生效之日起至合同全部权利义务履行完毕之日止。</w:t>
            </w:r>
          </w:p>
        </w:tc>
      </w:tr>
      <w:tr w14:paraId="22EF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75" w:type="dxa"/>
            <w:noWrap w:val="0"/>
            <w:vAlign w:val="center"/>
          </w:tcPr>
          <w:p w14:paraId="12F44A18">
            <w:pPr>
              <w:pStyle w:val="33"/>
              <w:spacing w:line="520" w:lineRule="exact"/>
              <w:jc w:val="center"/>
              <w:rPr>
                <w:rFonts w:hAnsi="宋体" w:cs="宋体"/>
                <w:color w:val="auto"/>
                <w:sz w:val="24"/>
                <w:szCs w:val="24"/>
                <w:u w:val="none" w:color="auto"/>
              </w:rPr>
            </w:pPr>
            <w:r>
              <w:rPr>
                <w:rFonts w:hint="eastAsia" w:hAnsi="宋体" w:cs="宋体"/>
                <w:color w:val="auto"/>
                <w:sz w:val="24"/>
                <w:szCs w:val="24"/>
                <w:u w:val="none" w:color="auto"/>
              </w:rPr>
              <w:t>13</w:t>
            </w:r>
          </w:p>
        </w:tc>
        <w:tc>
          <w:tcPr>
            <w:tcW w:w="8355" w:type="dxa"/>
            <w:noWrap w:val="0"/>
            <w:vAlign w:val="center"/>
          </w:tcPr>
          <w:p w14:paraId="16E8F716">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合同纠纷的解决方式：</w:t>
            </w:r>
          </w:p>
          <w:p w14:paraId="5C84E477">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首先通过双方协商解决，协商解决不成，则通过以下途径之一解决纠纷(请在方框内画“√”选择)：</w:t>
            </w:r>
          </w:p>
          <w:p w14:paraId="1F7AC3F6">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rPr>
              <w:t>□提请______仲裁委员会按照仲裁程序在______(仲裁地)仲裁</w:t>
            </w:r>
          </w:p>
          <w:p w14:paraId="6BEF51C1">
            <w:pPr>
              <w:pStyle w:val="33"/>
              <w:spacing w:line="520" w:lineRule="exact"/>
              <w:jc w:val="left"/>
              <w:rPr>
                <w:rFonts w:hAnsi="宋体" w:cs="宋体"/>
                <w:color w:val="auto"/>
                <w:sz w:val="24"/>
                <w:szCs w:val="24"/>
                <w:u w:val="none" w:color="auto"/>
              </w:rPr>
            </w:pPr>
            <w:r>
              <w:rPr>
                <w:rFonts w:hint="eastAsia" w:hAnsi="宋体" w:cs="宋体"/>
                <w:color w:val="auto"/>
                <w:sz w:val="24"/>
                <w:szCs w:val="24"/>
                <w:u w:val="none" w:color="auto"/>
                <w:lang w:eastAsia="zh-CN"/>
              </w:rPr>
              <w:t>☑</w:t>
            </w:r>
            <w:r>
              <w:rPr>
                <w:rFonts w:hint="eastAsia" w:hAnsi="宋体" w:cs="宋体"/>
                <w:color w:val="auto"/>
                <w:sz w:val="24"/>
                <w:szCs w:val="24"/>
                <w:u w:val="none" w:color="auto"/>
              </w:rPr>
              <w:t>向甲方所在地人民法院提起诉讼</w:t>
            </w:r>
          </w:p>
        </w:tc>
      </w:tr>
    </w:tbl>
    <w:p w14:paraId="37A6CB25">
      <w:pPr>
        <w:pStyle w:val="33"/>
        <w:spacing w:line="520" w:lineRule="exact"/>
        <w:ind w:firstLine="480" w:firstLineChars="200"/>
        <w:rPr>
          <w:rFonts w:hAnsi="宋体" w:cs="宋体"/>
          <w:color w:val="auto"/>
          <w:sz w:val="24"/>
          <w:szCs w:val="24"/>
          <w:u w:val="none" w:color="auto"/>
        </w:rPr>
      </w:pPr>
    </w:p>
    <w:p w14:paraId="42F68020">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2.投标报价表（内容略）</w:t>
      </w:r>
    </w:p>
    <w:p w14:paraId="2F73C476">
      <w:pPr>
        <w:pStyle w:val="33"/>
        <w:spacing w:line="520" w:lineRule="exact"/>
        <w:ind w:firstLine="480" w:firstLineChars="200"/>
        <w:rPr>
          <w:rFonts w:hAnsi="宋体" w:cs="宋体"/>
          <w:color w:val="auto"/>
          <w:sz w:val="24"/>
          <w:szCs w:val="24"/>
          <w:u w:val="none" w:color="auto"/>
        </w:rPr>
      </w:pPr>
    </w:p>
    <w:p w14:paraId="5966D6D6">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3.投标文件技术部分（内容略）</w:t>
      </w:r>
    </w:p>
    <w:p w14:paraId="2B323AEA">
      <w:pPr>
        <w:pStyle w:val="33"/>
        <w:spacing w:line="520" w:lineRule="exact"/>
        <w:ind w:firstLine="480" w:firstLineChars="200"/>
        <w:rPr>
          <w:rFonts w:hAnsi="宋体" w:cs="宋体"/>
          <w:color w:val="auto"/>
          <w:sz w:val="24"/>
          <w:szCs w:val="24"/>
          <w:u w:val="none" w:color="auto"/>
        </w:rPr>
      </w:pPr>
    </w:p>
    <w:p w14:paraId="34174E5D">
      <w:pPr>
        <w:pStyle w:val="537"/>
        <w:spacing w:line="520" w:lineRule="exact"/>
        <w:ind w:firstLine="0" w:firstLineChars="0"/>
        <w:rPr>
          <w:rFonts w:ascii="宋体" w:hAnsi="宋体" w:cs="宋体"/>
          <w:color w:val="auto"/>
          <w:sz w:val="24"/>
          <w:szCs w:val="24"/>
          <w:u w:val="none" w:color="auto"/>
        </w:rPr>
      </w:pPr>
    </w:p>
    <w:p w14:paraId="1C91E0EB">
      <w:pPr>
        <w:pStyle w:val="33"/>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Ansi="宋体" w:cs="宋体"/>
          <w:color w:val="auto"/>
          <w:sz w:val="24"/>
          <w:szCs w:val="24"/>
          <w:u w:val="none" w:color="auto"/>
        </w:rPr>
      </w:pPr>
      <w:r>
        <w:rPr>
          <w:rFonts w:hAnsi="宋体" w:cs="宋体"/>
          <w:color w:val="auto"/>
          <w:sz w:val="24"/>
          <w:szCs w:val="24"/>
          <w:u w:val="none" w:color="auto"/>
        </w:rPr>
        <w:br w:type="page"/>
      </w:r>
    </w:p>
    <w:p w14:paraId="38D38831">
      <w:pPr>
        <w:pStyle w:val="3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hAnsi="宋体" w:eastAsia="宋体" w:cs="宋体"/>
          <w:b/>
          <w:bCs/>
          <w:color w:val="auto"/>
          <w:sz w:val="24"/>
          <w:szCs w:val="24"/>
          <w:u w:val="none" w:color="auto"/>
          <w:lang w:val="en-US" w:eastAsia="zh-CN"/>
        </w:rPr>
      </w:pPr>
      <w:r>
        <w:rPr>
          <w:rFonts w:hint="eastAsia" w:hAnsi="宋体" w:cs="宋体"/>
          <w:b/>
          <w:bCs/>
          <w:color w:val="auto"/>
          <w:sz w:val="24"/>
          <w:szCs w:val="24"/>
          <w:u w:val="none" w:color="auto"/>
          <w:lang w:val="en-US" w:eastAsia="zh-CN"/>
        </w:rPr>
        <w:t>通用条款</w:t>
      </w:r>
    </w:p>
    <w:p w14:paraId="45031305">
      <w:pPr>
        <w:pStyle w:val="33"/>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hAnsi="宋体" w:cs="宋体"/>
          <w:b/>
          <w:bCs/>
          <w:color w:val="auto"/>
          <w:sz w:val="24"/>
          <w:szCs w:val="24"/>
          <w:u w:val="none" w:color="auto"/>
        </w:rPr>
      </w:pPr>
      <w:r>
        <w:rPr>
          <w:rFonts w:hint="eastAsia" w:hAnsi="宋体" w:cs="宋体"/>
          <w:b/>
          <w:bCs/>
          <w:color w:val="auto"/>
          <w:sz w:val="24"/>
          <w:szCs w:val="24"/>
          <w:u w:val="none" w:color="auto"/>
        </w:rPr>
        <w:t>1.定义</w:t>
      </w:r>
    </w:p>
    <w:p w14:paraId="21A4B53C">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本合同下列术语应解释为：</w:t>
      </w:r>
    </w:p>
    <w:p w14:paraId="450B8BC8">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1.1　“甲方”是指</w:t>
      </w:r>
      <w:ins w:id="12" w:author="金政浩" w:date="2025-11-23T21:00:00Z">
        <w:r>
          <w:rPr>
            <w:rFonts w:hint="eastAsia" w:hAnsi="宋体" w:cs="宋体"/>
            <w:color w:val="auto"/>
            <w:sz w:val="24"/>
            <w:szCs w:val="24"/>
            <w:u w:val="none" w:color="auto"/>
            <w:lang w:eastAsia="zh-CN"/>
          </w:rPr>
          <w:t>国家税务总局克拉玛依市克拉玛依区税务局</w:t>
        </w:r>
      </w:ins>
      <w:r>
        <w:rPr>
          <w:rFonts w:hint="eastAsia" w:hAnsi="宋体" w:cs="宋体"/>
          <w:color w:val="auto"/>
          <w:sz w:val="24"/>
          <w:szCs w:val="24"/>
          <w:u w:val="none" w:color="auto"/>
        </w:rPr>
        <w:t>。</w:t>
      </w:r>
    </w:p>
    <w:p w14:paraId="4A673400">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1.2　“乙方”是指XXXX。</w:t>
      </w:r>
    </w:p>
    <w:p w14:paraId="1001898F">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1.3　“合同”系指甲乙双方签署的、合同中载明的甲乙双方所达成的协议，包括所有的附件、附录和上述文件所提到的构成合同的所有文件。</w:t>
      </w:r>
    </w:p>
    <w:p w14:paraId="0077D3E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　“服务”是指乙方按照招标(采购)、投标(响应)文件要求，向采购人提供的技术支持服务。</w:t>
      </w:r>
    </w:p>
    <w:p w14:paraId="0B739714">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1.5　“项目现场”是指甲方指定的最终服务地点。</w:t>
      </w:r>
    </w:p>
    <w:p w14:paraId="52404722">
      <w:pPr>
        <w:pStyle w:val="33"/>
        <w:spacing w:line="500" w:lineRule="exact"/>
        <w:ind w:firstLine="480" w:firstLineChars="200"/>
        <w:rPr>
          <w:rFonts w:hint="eastAsia" w:hAnsi="宋体" w:cs="宋体"/>
          <w:color w:val="auto"/>
          <w:sz w:val="24"/>
          <w:szCs w:val="24"/>
          <w:u w:val="none" w:color="auto"/>
        </w:rPr>
      </w:pPr>
      <w:r>
        <w:rPr>
          <w:rFonts w:hint="eastAsia" w:hAnsi="宋体" w:cs="宋体"/>
          <w:color w:val="auto"/>
          <w:sz w:val="24"/>
          <w:szCs w:val="24"/>
          <w:u w:val="none" w:color="auto"/>
        </w:rPr>
        <w:t>1.6　“天”除非特别指出，“天”均为自然天。</w:t>
      </w:r>
    </w:p>
    <w:p w14:paraId="0C9E7506">
      <w:pPr>
        <w:spacing w:line="480" w:lineRule="exact"/>
        <w:ind w:firstLine="480" w:firstLineChars="200"/>
        <w:rPr>
          <w:rFonts w:hint="eastAsia" w:hAnsi="宋体" w:cs="宋体"/>
          <w:color w:val="auto"/>
          <w:sz w:val="24"/>
          <w:szCs w:val="24"/>
          <w:u w:val="none" w:color="auto"/>
        </w:rPr>
      </w:pPr>
      <w:r>
        <w:rPr>
          <w:rFonts w:hint="eastAsia" w:ascii="宋体" w:hAnsi="宋体" w:eastAsia="宋体" w:cs="仿宋"/>
          <w:color w:val="auto"/>
          <w:sz w:val="24"/>
          <w:szCs w:val="24"/>
          <w:u w:val="none" w:color="auto"/>
          <w:lang w:val="en-US" w:eastAsia="zh-CN"/>
        </w:rPr>
        <w:t>1.7 “合同编号”是指“合同年份”-“</w:t>
      </w:r>
      <w:r>
        <w:rPr>
          <w:rFonts w:hint="eastAsia" w:ascii="宋体" w:hAnsi="宋体" w:cs="仿宋"/>
          <w:color w:val="auto"/>
          <w:sz w:val="24"/>
          <w:szCs w:val="24"/>
          <w:u w:val="none" w:color="auto"/>
          <w:lang w:val="en-US" w:eastAsia="zh-CN"/>
        </w:rPr>
        <w:t>单位</w:t>
      </w:r>
      <w:r>
        <w:rPr>
          <w:rFonts w:hint="eastAsia" w:ascii="宋体" w:hAnsi="宋体" w:eastAsia="宋体" w:cs="仿宋"/>
          <w:color w:val="auto"/>
          <w:sz w:val="24"/>
          <w:szCs w:val="24"/>
          <w:u w:val="none" w:color="auto"/>
          <w:lang w:val="en-US" w:eastAsia="zh-CN"/>
        </w:rPr>
        <w:t>简称”-“合同年度</w:t>
      </w:r>
      <w:r>
        <w:rPr>
          <w:rFonts w:hint="eastAsia" w:ascii="宋体" w:hAnsi="宋体" w:cs="仿宋"/>
          <w:color w:val="auto"/>
          <w:sz w:val="24"/>
          <w:szCs w:val="24"/>
          <w:u w:val="none" w:color="auto"/>
          <w:lang w:val="en-US" w:eastAsia="zh-CN"/>
        </w:rPr>
        <w:t>内单位</w:t>
      </w:r>
      <w:r>
        <w:rPr>
          <w:rFonts w:hint="eastAsia" w:ascii="宋体" w:hAnsi="宋体" w:eastAsia="宋体" w:cs="仿宋"/>
          <w:color w:val="auto"/>
          <w:sz w:val="24"/>
          <w:szCs w:val="24"/>
          <w:u w:val="none" w:color="auto"/>
          <w:lang w:val="en-US" w:eastAsia="zh-CN"/>
        </w:rPr>
        <w:t>合同顺序号”，如：202</w:t>
      </w:r>
      <w:r>
        <w:rPr>
          <w:rFonts w:hint="eastAsia" w:ascii="宋体" w:hAnsi="宋体" w:cs="仿宋"/>
          <w:color w:val="auto"/>
          <w:sz w:val="24"/>
          <w:szCs w:val="24"/>
          <w:u w:val="none" w:color="auto"/>
          <w:lang w:val="en-US" w:eastAsia="zh-CN"/>
        </w:rPr>
        <w:t>3</w:t>
      </w:r>
      <w:r>
        <w:rPr>
          <w:rFonts w:hint="eastAsia" w:ascii="宋体" w:hAnsi="宋体" w:eastAsia="宋体" w:cs="仿宋"/>
          <w:color w:val="auto"/>
          <w:sz w:val="24"/>
          <w:szCs w:val="24"/>
          <w:u w:val="none" w:color="auto"/>
          <w:lang w:val="en-US" w:eastAsia="zh-CN"/>
        </w:rPr>
        <w:t>年</w:t>
      </w:r>
      <w:r>
        <w:rPr>
          <w:rFonts w:hint="eastAsia" w:ascii="宋体" w:hAnsi="宋体" w:cs="仿宋"/>
          <w:color w:val="auto"/>
          <w:sz w:val="24"/>
          <w:szCs w:val="24"/>
          <w:u w:val="none" w:color="auto"/>
          <w:lang w:val="en-US" w:eastAsia="zh-CN"/>
        </w:rPr>
        <w:t>克拉玛依区税务局</w:t>
      </w:r>
      <w:r>
        <w:rPr>
          <w:rFonts w:hint="eastAsia" w:ascii="宋体" w:hAnsi="宋体" w:eastAsia="宋体" w:cs="仿宋"/>
          <w:color w:val="auto"/>
          <w:sz w:val="24"/>
          <w:szCs w:val="24"/>
          <w:u w:val="none" w:color="auto"/>
          <w:lang w:val="en-US" w:eastAsia="zh-CN"/>
        </w:rPr>
        <w:t>第一号合同，合同编号为“2023-</w:t>
      </w:r>
      <w:r>
        <w:rPr>
          <w:rFonts w:hint="eastAsia" w:ascii="宋体" w:hAnsi="宋体" w:cs="仿宋"/>
          <w:color w:val="auto"/>
          <w:sz w:val="24"/>
          <w:szCs w:val="24"/>
          <w:u w:val="none" w:color="auto"/>
          <w:lang w:val="en-US" w:eastAsia="zh-CN"/>
        </w:rPr>
        <w:t>kqswj</w:t>
      </w:r>
      <w:r>
        <w:rPr>
          <w:rFonts w:hint="eastAsia" w:ascii="宋体" w:hAnsi="宋体" w:eastAsia="宋体" w:cs="仿宋"/>
          <w:color w:val="auto"/>
          <w:sz w:val="24"/>
          <w:szCs w:val="24"/>
          <w:u w:val="none" w:color="auto"/>
          <w:lang w:val="en-US" w:eastAsia="zh-CN"/>
        </w:rPr>
        <w:t>-01”。</w:t>
      </w:r>
    </w:p>
    <w:p w14:paraId="6324FE5F">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2.服务标准</w:t>
      </w:r>
    </w:p>
    <w:p w14:paraId="3374BE0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2.1　乙方为甲方交付的服务应符合招标(采购)文件所述的内容，如果没有提及适用标准，则应符合相应的国家标准。这些标准必须是有关机构发布的最新版本的标准。</w:t>
      </w:r>
    </w:p>
    <w:p w14:paraId="53F8AC0A">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2.2　除非技术要求中另有规定，计量单位均采用中华人民共和国法定计量单位。</w:t>
      </w:r>
    </w:p>
    <w:p w14:paraId="69FCAA8B">
      <w:pPr>
        <w:pStyle w:val="33"/>
        <w:spacing w:line="500" w:lineRule="exact"/>
        <w:ind w:firstLine="482" w:firstLineChars="200"/>
        <w:rPr>
          <w:rFonts w:hint="default" w:hAnsi="宋体" w:eastAsia="宋体" w:cs="宋体"/>
          <w:b/>
          <w:bCs/>
          <w:color w:val="auto"/>
          <w:sz w:val="24"/>
          <w:szCs w:val="24"/>
          <w:u w:val="none" w:color="auto"/>
          <w:lang w:val="en-US" w:eastAsia="zh-CN"/>
        </w:rPr>
      </w:pPr>
      <w:r>
        <w:rPr>
          <w:rFonts w:hint="eastAsia" w:hAnsi="宋体" w:cs="宋体"/>
          <w:b/>
          <w:bCs/>
          <w:color w:val="auto"/>
          <w:sz w:val="24"/>
          <w:szCs w:val="24"/>
          <w:u w:val="none" w:color="auto"/>
        </w:rPr>
        <w:t>3.服务</w:t>
      </w:r>
      <w:r>
        <w:rPr>
          <w:rFonts w:hint="eastAsia" w:hAnsi="宋体" w:cs="宋体"/>
          <w:b/>
          <w:bCs/>
          <w:color w:val="auto"/>
          <w:sz w:val="24"/>
          <w:szCs w:val="24"/>
          <w:u w:val="none" w:color="auto"/>
          <w:lang w:val="en-US" w:eastAsia="zh-CN"/>
        </w:rPr>
        <w:t>内容及人员配置要求</w:t>
      </w:r>
    </w:p>
    <w:p w14:paraId="3C4AA982">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rPr>
        <w:t>物业管理服务包括基本服务、房屋维护服务、公用设施设备维护服务、保洁服务、绿化服务、会议服务</w:t>
      </w:r>
      <w:r>
        <w:rPr>
          <w:rFonts w:hint="eastAsia" w:asciiTheme="minorEastAsia" w:hAnsiTheme="minorEastAsia" w:eastAsiaTheme="minorEastAsia" w:cstheme="minorEastAsia"/>
          <w:color w:val="auto"/>
          <w:sz w:val="24"/>
          <w:szCs w:val="24"/>
          <w:highlight w:val="none"/>
          <w:lang w:val="en-US" w:eastAsia="zh-CN"/>
        </w:rPr>
        <w:t>以及其他服务</w:t>
      </w:r>
      <w:r>
        <w:rPr>
          <w:rFonts w:hint="eastAsia" w:asciiTheme="minorEastAsia" w:hAnsiTheme="minorEastAsia" w:eastAsiaTheme="minorEastAsia" w:cstheme="minorEastAsia"/>
          <w:color w:val="auto"/>
          <w:sz w:val="24"/>
          <w:szCs w:val="24"/>
          <w:highlight w:val="none"/>
        </w:rPr>
        <w:t>等。</w:t>
      </w:r>
    </w:p>
    <w:p w14:paraId="30FBE36D">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3.1.1</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基本服务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739"/>
        <w:gridCol w:w="7268"/>
      </w:tblGrid>
      <w:tr w14:paraId="012D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23E43BF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73" w:type="pct"/>
            <w:noWrap w:val="0"/>
            <w:vAlign w:val="center"/>
          </w:tcPr>
          <w:p w14:paraId="4466011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49" w:type="pct"/>
            <w:noWrap w:val="0"/>
            <w:vAlign w:val="center"/>
          </w:tcPr>
          <w:p w14:paraId="15DC100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2C89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074657E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873" w:type="pct"/>
            <w:vMerge w:val="restart"/>
            <w:noWrap w:val="0"/>
            <w:vAlign w:val="center"/>
          </w:tcPr>
          <w:p w14:paraId="5F82F3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目标与</w:t>
            </w:r>
          </w:p>
          <w:p w14:paraId="00E281B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责任</w:t>
            </w:r>
          </w:p>
        </w:tc>
        <w:tc>
          <w:tcPr>
            <w:tcW w:w="3649" w:type="pct"/>
            <w:noWrap w:val="0"/>
            <w:vAlign w:val="center"/>
          </w:tcPr>
          <w:p w14:paraId="0E4E1E6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（1）结合甲方要求及物业服务实际情况，制定年度管理目标，明确责任分工，并制定配套实施方案。</w:t>
            </w:r>
          </w:p>
        </w:tc>
      </w:tr>
      <w:tr w14:paraId="47B5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6B85FDD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4DED923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3084518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（2）每月初定期给甲方报送上月物业服务工作报告、本月物业服务工作计划。</w:t>
            </w:r>
          </w:p>
        </w:tc>
      </w:tr>
      <w:tr w14:paraId="27B3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0CD22E8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73" w:type="pct"/>
            <w:vMerge w:val="restart"/>
            <w:noWrap w:val="0"/>
            <w:vAlign w:val="center"/>
          </w:tcPr>
          <w:p w14:paraId="771C96C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服务人员</w:t>
            </w:r>
          </w:p>
          <w:p w14:paraId="2334F6B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要求</w:t>
            </w:r>
          </w:p>
        </w:tc>
        <w:tc>
          <w:tcPr>
            <w:tcW w:w="3649" w:type="pct"/>
            <w:noWrap w:val="0"/>
            <w:vAlign w:val="center"/>
          </w:tcPr>
          <w:p w14:paraId="17EE7F3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（1）每季度至少开展1次岗位技能、职业素质、服务知识、绿色节能环保等教育培训，并进行适当形式的考核。</w:t>
            </w:r>
          </w:p>
        </w:tc>
      </w:tr>
      <w:tr w14:paraId="0FA6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0060A3D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732B461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20283DD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（2）根据甲方要求对服务人员进行从业资格审查，审查结果向甲方报备。</w:t>
            </w:r>
          </w:p>
        </w:tc>
      </w:tr>
      <w:tr w14:paraId="0ADA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06F5DA2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5618358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0C8A0E5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5B75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31E3EFF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1D4572E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68430AC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应当按照服务人员需求，足额配备岗位人员，如岗位人员缺失，甲方要根据实际情况核减当月服务费用。如甲方认为服务人员不适应岗位要求或存在其他影响工作的，可要求乙方进行调换。如因乙方原因对服务人员进行调换，应当经甲方同意，更换比例不得超过本项目服务人员总数的20%。本项目服务人员不得在其他项目兼职。</w:t>
            </w:r>
          </w:p>
        </w:tc>
      </w:tr>
      <w:tr w14:paraId="535A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735D7DE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6D44B5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58CD4C5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（5）着装分类统一。仪容整洁、姿态端正。发型配饰符合工作岗位。举止文明、用语文明礼貌，态度温和耐心。工作装由乙方提供。</w:t>
            </w:r>
          </w:p>
        </w:tc>
      </w:tr>
      <w:tr w14:paraId="051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4A961FA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0E07F80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2680534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（6）服务人员身体健康，无妨碍工作的病症。</w:t>
            </w:r>
          </w:p>
        </w:tc>
      </w:tr>
      <w:tr w14:paraId="2296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1562977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73" w:type="pct"/>
            <w:vMerge w:val="restart"/>
            <w:noWrap w:val="0"/>
            <w:vAlign w:val="center"/>
          </w:tcPr>
          <w:p w14:paraId="308AE2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保密和思想政治教育</w:t>
            </w:r>
          </w:p>
        </w:tc>
        <w:tc>
          <w:tcPr>
            <w:tcW w:w="3649" w:type="pct"/>
            <w:noWrap w:val="0"/>
            <w:vAlign w:val="center"/>
          </w:tcPr>
          <w:p w14:paraId="0A9B9867">
            <w:pPr>
              <w:keepNext w:val="0"/>
              <w:keepLines w:val="0"/>
              <w:pageBreakBefore w:val="0"/>
              <w:numPr>
                <w:ilvl w:val="0"/>
                <w:numId w:val="3"/>
              </w:numPr>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建立保密管理制度。制度内容应当包括但不限于：</w:t>
            </w:r>
          </w:p>
          <w:p w14:paraId="6FBF9BF8">
            <w:pPr>
              <w:keepNext w:val="0"/>
              <w:keepLines w:val="0"/>
              <w:pageBreakBefore w:val="0"/>
              <w:numPr>
                <w:ilvl w:val="0"/>
                <w:numId w:val="0"/>
              </w:numPr>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①明确重点要害岗位保密职责。</w:t>
            </w:r>
          </w:p>
          <w:p w14:paraId="469EFC7B">
            <w:pPr>
              <w:keepNext w:val="0"/>
              <w:keepLines w:val="0"/>
              <w:pageBreakBefore w:val="0"/>
              <w:numPr>
                <w:ilvl w:val="0"/>
                <w:numId w:val="0"/>
              </w:numPr>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②对涉密工作岗位的保密要求。</w:t>
            </w:r>
          </w:p>
        </w:tc>
      </w:tr>
      <w:tr w14:paraId="1B8E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24AD053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02D90D6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207E6FD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（2）根据甲方要求与涉密工作岗位的服务人员签订保密协议。保密协议应当向甲方报备。</w:t>
            </w:r>
          </w:p>
        </w:tc>
      </w:tr>
      <w:tr w14:paraId="3F4B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5816A69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6C6CEA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75EC73C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半年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0759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7363630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63887C8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2AD8239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（4）发现服务人员违法违规或重大过失，及时报告甲方，并采取必要补救措施。</w:t>
            </w:r>
          </w:p>
        </w:tc>
      </w:tr>
      <w:tr w14:paraId="2C9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6E22051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0543D45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5879211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服务人员严守保密底线，不随意打探、传播工作中接触到的采购单位的所有内部信息，对在电梯、走廊等公共区域听到的谈话内容做到“左耳进右耳出”；服务人员不轻易相信未经证实的信息，不参与口头、微信等任何方式的传谣；服务人员与他人交流不猜测、不评论、不议论采购单位内部的敏感话题，对各类消息保持审慎态度，严禁“听风就是雨”。</w:t>
            </w:r>
          </w:p>
        </w:tc>
      </w:tr>
      <w:tr w14:paraId="488D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7ABC9B9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873" w:type="pct"/>
            <w:vMerge w:val="restart"/>
            <w:noWrap w:val="0"/>
            <w:vAlign w:val="center"/>
          </w:tcPr>
          <w:p w14:paraId="4FB4479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档案管理</w:t>
            </w:r>
          </w:p>
        </w:tc>
        <w:tc>
          <w:tcPr>
            <w:tcW w:w="3649" w:type="pct"/>
            <w:noWrap w:val="0"/>
            <w:vAlign w:val="center"/>
          </w:tcPr>
          <w:p w14:paraId="53DD307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（1）建立物业信息，准确、及时地对文件资料和服务记录进行归档保存，并确保其物理安全。</w:t>
            </w:r>
          </w:p>
        </w:tc>
      </w:tr>
      <w:tr w14:paraId="66C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28B07AB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1E8AB45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6E1E5E65">
            <w:pPr>
              <w:keepNext w:val="0"/>
              <w:keepLines w:val="0"/>
              <w:pageBreakBefore w:val="0"/>
              <w:numPr>
                <w:ilvl w:val="0"/>
                <w:numId w:val="3"/>
              </w:numPr>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档案和记录齐全，包括但不限于：</w:t>
            </w:r>
          </w:p>
          <w:p w14:paraId="118A52EF">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①甲方建议与投诉等。教育培训和考核记录。保密、思想政治教育培训记录。</w:t>
            </w:r>
          </w:p>
          <w:p w14:paraId="19550A47">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②房屋维护服务：房屋台账、使用说明、房屋装修、维保记录等。</w:t>
            </w:r>
          </w:p>
          <w:p w14:paraId="6625B72F">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③公用设施设备维护服务：设备台账、设备卡、使用说明、维保记录、巡查记录、</w:t>
            </w:r>
            <w:r>
              <w:rPr>
                <w:rFonts w:hint="eastAsia" w:asciiTheme="minorEastAsia" w:hAnsiTheme="minorEastAsia" w:eastAsiaTheme="minorEastAsia" w:cstheme="minorEastAsia"/>
                <w:color w:val="auto"/>
                <w:sz w:val="24"/>
                <w:szCs w:val="24"/>
                <w:highlight w:val="none"/>
                <w:lang w:eastAsia="zh-CN"/>
              </w:rPr>
              <w:t>设施设备安全运行、设施设备定期巡检、维护保养、维修档案</w:t>
            </w:r>
            <w:r>
              <w:rPr>
                <w:rFonts w:hint="eastAsia" w:asciiTheme="minorEastAsia" w:hAnsiTheme="minorEastAsia" w:eastAsiaTheme="minorEastAsia" w:cstheme="minorEastAsia"/>
                <w:color w:val="auto"/>
                <w:sz w:val="24"/>
                <w:szCs w:val="24"/>
                <w:highlight w:val="none"/>
                <w:lang w:val="en-US" w:eastAsia="zh-CN"/>
              </w:rPr>
              <w:t>等。</w:t>
            </w:r>
          </w:p>
          <w:p w14:paraId="4E08C9FF">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④保洁服务：工作日志、清洁检查表、用品清单等。</w:t>
            </w:r>
          </w:p>
          <w:p w14:paraId="1B123F75">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⑤绿化服务：绿化总平面图、清洁整改记录、消杀记录等。</w:t>
            </w:r>
          </w:p>
          <w:p w14:paraId="5EC01772">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⑥其他：来访人员及车辆信息、信报信息分发及登记等。</w:t>
            </w:r>
          </w:p>
        </w:tc>
      </w:tr>
      <w:tr w14:paraId="42D3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1715860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680570E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00D6845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（3）遵守甲方的信息、档案资料保密要求，未经许可，不得将建筑物平面图等资料转作其他用途或向其他单位、个人提供。</w:t>
            </w:r>
          </w:p>
        </w:tc>
      </w:tr>
      <w:tr w14:paraId="0E10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19724E6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F900E6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08E6425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（4）全年各类档案和记录资料齐全，并定期汇总。</w:t>
            </w:r>
          </w:p>
        </w:tc>
      </w:tr>
      <w:tr w14:paraId="2539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61CC4B2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A9CC5E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10FC932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（5）履约结束后，相关资料交还甲方，甲方按政府采购相关规定存档。</w:t>
            </w:r>
          </w:p>
        </w:tc>
      </w:tr>
      <w:tr w14:paraId="1F8C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4A0F4B4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73" w:type="pct"/>
            <w:vMerge w:val="restart"/>
            <w:noWrap w:val="0"/>
            <w:vAlign w:val="center"/>
          </w:tcPr>
          <w:p w14:paraId="6300D5C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服务改进</w:t>
            </w:r>
          </w:p>
          <w:p w14:paraId="525A7E9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6D21AF3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（1）明确负责人，定期对物业服务过程进行自查，结合反馈意见与评价结果采取改进措施，持续提升管理与服务水平。</w:t>
            </w:r>
          </w:p>
        </w:tc>
      </w:tr>
      <w:tr w14:paraId="0870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482008C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5907499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094EEF0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（2）对不合格服务进行控制，对不合格服务的原因进行识别和分析，及时采取纠正措施，消除不合格的原因，防止不合格再发生。</w:t>
            </w:r>
          </w:p>
        </w:tc>
      </w:tr>
      <w:tr w14:paraId="3C0D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2D2155B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6B367A8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0A45092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（3）需整改问题限时整改完成。</w:t>
            </w:r>
          </w:p>
        </w:tc>
      </w:tr>
      <w:tr w14:paraId="2F1D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1A17B0C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73" w:type="pct"/>
            <w:vMerge w:val="restart"/>
            <w:noWrap w:val="0"/>
            <w:vAlign w:val="center"/>
          </w:tcPr>
          <w:p w14:paraId="2CB4045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重大活动</w:t>
            </w:r>
          </w:p>
          <w:p w14:paraId="66CF783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服务保障</w:t>
            </w:r>
          </w:p>
        </w:tc>
        <w:tc>
          <w:tcPr>
            <w:tcW w:w="3649" w:type="pct"/>
            <w:noWrap w:val="0"/>
            <w:vAlign w:val="center"/>
          </w:tcPr>
          <w:p w14:paraId="54A646B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（1）制订流程。配合甲方制订重大活动后勤保障工作流程，需对任务进行详细了解，并根据工作安排制定详细的后勤保障计划。</w:t>
            </w:r>
          </w:p>
        </w:tc>
      </w:tr>
      <w:tr w14:paraId="3442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6BBEF5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36393F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25EA980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0372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0CA5AB6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5C5C07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238A0C5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（3）收尾工作。对现场进行检查，做好清理工作。</w:t>
            </w:r>
          </w:p>
        </w:tc>
      </w:tr>
      <w:tr w14:paraId="67E9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5430844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873" w:type="pct"/>
            <w:vMerge w:val="restart"/>
            <w:noWrap w:val="0"/>
            <w:vAlign w:val="center"/>
          </w:tcPr>
          <w:p w14:paraId="2987070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应急保障</w:t>
            </w:r>
          </w:p>
          <w:p w14:paraId="5E068E6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预案</w:t>
            </w:r>
          </w:p>
        </w:tc>
        <w:tc>
          <w:tcPr>
            <w:tcW w:w="3649" w:type="pct"/>
            <w:noWrap w:val="0"/>
            <w:vAlign w:val="center"/>
          </w:tcPr>
          <w:p w14:paraId="5C7B5F5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334C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1E07B1A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ADF56E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5645264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7D4F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467D6FE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4E87DAC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5FE8152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（3）应急预案的培训和演练。应急预案定期培训和演练，组织相关岗位每半年至少开展1次专项应急预案演练；留存培训及演练记录和影像资料，并对预案进行评价，确保与实际情况相结合。</w:t>
            </w:r>
          </w:p>
        </w:tc>
      </w:tr>
      <w:tr w14:paraId="2BC6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153E72C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1592178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4B7C838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（4）应急物资的管理。根据专项预案中的应对需要、必要的应急物资，建立清单或台账，并由专人定期对应急物资进行检查，如有应急物资不足应及时购置齐全，确保能够随时正常使用。</w:t>
            </w:r>
          </w:p>
        </w:tc>
      </w:tr>
      <w:tr w14:paraId="624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789CB64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873" w:type="pct"/>
            <w:vMerge w:val="restart"/>
            <w:noWrap w:val="0"/>
            <w:vAlign w:val="center"/>
          </w:tcPr>
          <w:p w14:paraId="7F92F84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服务方案及工作制度</w:t>
            </w:r>
          </w:p>
        </w:tc>
        <w:tc>
          <w:tcPr>
            <w:tcW w:w="3649" w:type="pct"/>
            <w:noWrap w:val="0"/>
            <w:vAlign w:val="center"/>
          </w:tcPr>
          <w:p w14:paraId="1B84D9C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（1）制定工作制度，</w:t>
            </w:r>
            <w:r>
              <w:rPr>
                <w:rFonts w:hint="eastAsia" w:asciiTheme="minorEastAsia" w:hAnsiTheme="minorEastAsia" w:eastAsiaTheme="minorEastAsia" w:cstheme="minorEastAsia"/>
                <w:color w:val="auto"/>
                <w:sz w:val="24"/>
                <w:szCs w:val="24"/>
                <w:highlight w:val="none"/>
                <w:lang w:eastAsia="zh-CN"/>
              </w:rPr>
              <w:t>主要包括但不限于：</w:t>
            </w:r>
            <w:r>
              <w:rPr>
                <w:rFonts w:hint="eastAsia" w:asciiTheme="minorEastAsia" w:hAnsiTheme="minorEastAsia" w:eastAsiaTheme="minorEastAsia" w:cstheme="minorEastAsia"/>
                <w:color w:val="auto"/>
                <w:sz w:val="24"/>
                <w:szCs w:val="24"/>
                <w:highlight w:val="none"/>
                <w:lang w:val="en-US" w:eastAsia="zh-CN"/>
              </w:rPr>
              <w:t>人员录用制度、档案管理制度、</w:t>
            </w:r>
            <w:r>
              <w:rPr>
                <w:rFonts w:hint="eastAsia" w:asciiTheme="minorEastAsia" w:hAnsiTheme="minorEastAsia" w:eastAsiaTheme="minorEastAsia" w:cstheme="minorEastAsia"/>
                <w:color w:val="auto"/>
                <w:sz w:val="24"/>
                <w:szCs w:val="24"/>
                <w:highlight w:val="none"/>
                <w:lang w:eastAsia="zh-CN"/>
              </w:rPr>
              <w:t>物业服务管理制度、</w:t>
            </w:r>
            <w:r>
              <w:rPr>
                <w:rFonts w:hint="eastAsia" w:asciiTheme="minorEastAsia" w:hAnsiTheme="minorEastAsia" w:eastAsiaTheme="minorEastAsia" w:cstheme="minorEastAsia"/>
                <w:color w:val="auto"/>
                <w:sz w:val="24"/>
                <w:szCs w:val="24"/>
                <w:highlight w:val="none"/>
                <w:lang w:val="en-US" w:eastAsia="zh-CN"/>
              </w:rPr>
              <w:t>公用设施设备相关管理制度等</w:t>
            </w:r>
            <w:r>
              <w:rPr>
                <w:rFonts w:hint="eastAsia" w:asciiTheme="minorEastAsia" w:hAnsiTheme="minorEastAsia" w:eastAsiaTheme="minorEastAsia" w:cstheme="minorEastAsia"/>
                <w:color w:val="auto"/>
                <w:sz w:val="24"/>
                <w:szCs w:val="24"/>
                <w:highlight w:val="none"/>
                <w:lang w:eastAsia="zh-CN"/>
              </w:rPr>
              <w:t>。</w:t>
            </w:r>
          </w:p>
        </w:tc>
      </w:tr>
      <w:tr w14:paraId="179D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2D57313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2D3CB1E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44B8BB7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（2）制定</w:t>
            </w:r>
            <w:r>
              <w:rPr>
                <w:rFonts w:hint="eastAsia" w:asciiTheme="minorEastAsia" w:hAnsiTheme="minorEastAsia" w:eastAsiaTheme="minorEastAsia" w:cstheme="minorEastAsia"/>
                <w:color w:val="auto"/>
                <w:sz w:val="24"/>
                <w:szCs w:val="24"/>
                <w:highlight w:val="none"/>
                <w:lang w:eastAsia="zh-CN"/>
              </w:rPr>
              <w:t>项目实施方案，主要包括但不限于：</w:t>
            </w:r>
            <w:r>
              <w:rPr>
                <w:rFonts w:hint="eastAsia" w:asciiTheme="minorEastAsia" w:hAnsiTheme="minorEastAsia" w:eastAsiaTheme="minorEastAsia" w:cstheme="minorEastAsia"/>
                <w:color w:val="auto"/>
                <w:sz w:val="24"/>
                <w:szCs w:val="24"/>
                <w:highlight w:val="none"/>
                <w:lang w:val="en-US" w:eastAsia="zh-CN"/>
              </w:rPr>
              <w:t>交接</w:t>
            </w:r>
            <w:r>
              <w:rPr>
                <w:rFonts w:hint="eastAsia" w:asciiTheme="minorEastAsia" w:hAnsiTheme="minorEastAsia" w:eastAsiaTheme="minorEastAsia" w:cstheme="minorEastAsia"/>
                <w:color w:val="auto"/>
                <w:sz w:val="24"/>
                <w:szCs w:val="24"/>
                <w:highlight w:val="none"/>
                <w:lang w:eastAsia="zh-CN"/>
              </w:rPr>
              <w:t>方案、人员培训方案、人员稳定性方案、保密方案等。</w:t>
            </w:r>
          </w:p>
        </w:tc>
      </w:tr>
      <w:tr w14:paraId="0A5B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48B97B4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38D43FF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6954730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（3）制定</w:t>
            </w:r>
            <w:r>
              <w:rPr>
                <w:rFonts w:hint="eastAsia" w:asciiTheme="minorEastAsia" w:hAnsiTheme="minorEastAsia" w:eastAsiaTheme="minorEastAsia" w:cstheme="minorEastAsia"/>
                <w:color w:val="auto"/>
                <w:sz w:val="24"/>
                <w:szCs w:val="24"/>
                <w:highlight w:val="none"/>
                <w:lang w:eastAsia="zh-CN"/>
              </w:rPr>
              <w:t>物业服务方案，主要包括但不限于：</w:t>
            </w:r>
            <w:r>
              <w:rPr>
                <w:rFonts w:hint="eastAsia" w:asciiTheme="minorEastAsia" w:hAnsiTheme="minorEastAsia" w:eastAsiaTheme="minorEastAsia" w:cstheme="minorEastAsia"/>
                <w:color w:val="auto"/>
                <w:sz w:val="24"/>
                <w:szCs w:val="24"/>
                <w:highlight w:val="none"/>
                <w:lang w:val="en-US" w:eastAsia="zh-CN"/>
              </w:rPr>
              <w:t>房屋维护服务方案、公用设施设备维护服务方案、</w:t>
            </w:r>
            <w:r>
              <w:rPr>
                <w:rFonts w:hint="eastAsia" w:asciiTheme="minorEastAsia" w:hAnsiTheme="minorEastAsia" w:eastAsiaTheme="minorEastAsia" w:cstheme="minorEastAsia"/>
                <w:color w:val="auto"/>
                <w:sz w:val="24"/>
                <w:szCs w:val="24"/>
                <w:highlight w:val="none"/>
                <w:lang w:eastAsia="zh-CN"/>
              </w:rPr>
              <w:t>绿化</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方案、保洁服务方案、</w:t>
            </w:r>
            <w:r>
              <w:rPr>
                <w:rFonts w:hint="eastAsia" w:asciiTheme="minorEastAsia" w:hAnsiTheme="minorEastAsia" w:eastAsiaTheme="minorEastAsia" w:cstheme="minorEastAsia"/>
                <w:color w:val="auto"/>
                <w:sz w:val="24"/>
                <w:szCs w:val="24"/>
                <w:highlight w:val="none"/>
                <w:lang w:val="en-US" w:eastAsia="zh-CN"/>
              </w:rPr>
              <w:t>保安</w:t>
            </w:r>
            <w:r>
              <w:rPr>
                <w:rFonts w:hint="eastAsia" w:asciiTheme="minorEastAsia" w:hAnsiTheme="minorEastAsia" w:eastAsiaTheme="minorEastAsia" w:cstheme="minorEastAsia"/>
                <w:color w:val="auto"/>
                <w:sz w:val="24"/>
                <w:szCs w:val="24"/>
                <w:highlight w:val="none"/>
                <w:lang w:eastAsia="zh-CN"/>
              </w:rPr>
              <w:t>服务方案、会议服务方案</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eastAsia="zh-CN"/>
              </w:rPr>
              <w:t>。</w:t>
            </w:r>
          </w:p>
        </w:tc>
      </w:tr>
      <w:tr w14:paraId="5B9A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68A6962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873" w:type="pct"/>
            <w:vMerge w:val="restart"/>
            <w:noWrap w:val="0"/>
            <w:vAlign w:val="center"/>
          </w:tcPr>
          <w:p w14:paraId="15E29E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信报服务</w:t>
            </w:r>
          </w:p>
        </w:tc>
        <w:tc>
          <w:tcPr>
            <w:tcW w:w="3649" w:type="pct"/>
            <w:noWrap w:val="0"/>
            <w:vAlign w:val="center"/>
          </w:tcPr>
          <w:p w14:paraId="6947CE1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（1）对邮件、包裹和挂号信等进行正确分理、安全检查。</w:t>
            </w:r>
          </w:p>
        </w:tc>
      </w:tr>
      <w:tr w14:paraId="5CED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01057B2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3170D8E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65E86F8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（2）每日定时分发甲方订购的报刊、各类书籍，及时通知收件人领取邮件。</w:t>
            </w:r>
          </w:p>
        </w:tc>
      </w:tr>
      <w:tr w14:paraId="52E6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4E79302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3D71136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9" w:type="pct"/>
            <w:noWrap w:val="0"/>
            <w:vAlign w:val="center"/>
          </w:tcPr>
          <w:p w14:paraId="34B5B8D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大件物品出入</w:t>
            </w:r>
            <w:r>
              <w:rPr>
                <w:rFonts w:hint="eastAsia" w:asciiTheme="minorEastAsia" w:hAnsiTheme="minorEastAsia" w:eastAsiaTheme="minorEastAsia" w:cstheme="minorEastAsia"/>
                <w:color w:val="auto"/>
                <w:sz w:val="24"/>
                <w:szCs w:val="24"/>
                <w:highlight w:val="none"/>
                <w:lang w:val="en-US" w:eastAsia="zh-CN"/>
              </w:rPr>
              <w:t>向甲方报告，待甲方确认无误后放行</w:t>
            </w:r>
            <w:r>
              <w:rPr>
                <w:rFonts w:hint="eastAsia" w:asciiTheme="minorEastAsia" w:hAnsiTheme="minorEastAsia" w:eastAsiaTheme="minorEastAsia" w:cstheme="minorEastAsia"/>
                <w:color w:val="auto"/>
                <w:sz w:val="24"/>
                <w:szCs w:val="24"/>
                <w:highlight w:val="none"/>
                <w:lang w:eastAsia="zh-CN"/>
              </w:rPr>
              <w:t>。</w:t>
            </w:r>
          </w:p>
        </w:tc>
      </w:tr>
      <w:tr w14:paraId="2AF7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3590894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873" w:type="pct"/>
            <w:vMerge w:val="restart"/>
            <w:noWrap w:val="0"/>
            <w:vAlign w:val="center"/>
          </w:tcPr>
          <w:p w14:paraId="7FAAEEB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服务热线及紧急维修</w:t>
            </w:r>
          </w:p>
        </w:tc>
        <w:tc>
          <w:tcPr>
            <w:tcW w:w="3649" w:type="pct"/>
            <w:noWrap w:val="0"/>
            <w:vAlign w:val="center"/>
          </w:tcPr>
          <w:p w14:paraId="7B7FA74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（1）在甲方工作时间内设置客服热线，接受对物业管理服务报修、求助、建议、问询、质疑、投诉等。</w:t>
            </w:r>
          </w:p>
        </w:tc>
      </w:tr>
      <w:tr w14:paraId="6F2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6B6E091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73" w:type="pct"/>
            <w:vMerge w:val="continue"/>
            <w:noWrap w:val="0"/>
            <w:vAlign w:val="center"/>
          </w:tcPr>
          <w:p w14:paraId="4D2A994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p>
        </w:tc>
        <w:tc>
          <w:tcPr>
            <w:tcW w:w="3649" w:type="pct"/>
            <w:noWrap w:val="0"/>
            <w:vAlign w:val="center"/>
          </w:tcPr>
          <w:p w14:paraId="1E2B144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（2）紧急维修应当3分钟内到达现场，不间断维修直至修复。</w:t>
            </w:r>
          </w:p>
        </w:tc>
      </w:tr>
    </w:tbl>
    <w:p w14:paraId="667DA28E">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3.1.2</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房屋维护服务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757"/>
        <w:gridCol w:w="7260"/>
      </w:tblGrid>
      <w:tr w14:paraId="6041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noWrap w:val="0"/>
            <w:vAlign w:val="center"/>
          </w:tcPr>
          <w:p w14:paraId="15A67E3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82" w:type="pct"/>
            <w:noWrap w:val="0"/>
            <w:vAlign w:val="center"/>
          </w:tcPr>
          <w:p w14:paraId="2A233C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45" w:type="pct"/>
            <w:noWrap w:val="0"/>
            <w:vAlign w:val="center"/>
          </w:tcPr>
          <w:p w14:paraId="46E5486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4164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000804A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882" w:type="pct"/>
            <w:vMerge w:val="restart"/>
            <w:noWrap w:val="0"/>
            <w:vAlign w:val="center"/>
          </w:tcPr>
          <w:p w14:paraId="1DF6C8D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主体结构、围护结构、部品部件</w:t>
            </w:r>
          </w:p>
        </w:tc>
        <w:tc>
          <w:tcPr>
            <w:tcW w:w="3645" w:type="pct"/>
            <w:noWrap w:val="0"/>
            <w:vAlign w:val="center"/>
          </w:tcPr>
          <w:p w14:paraId="4B707EF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（1）每季度至少开展1次房屋结构安全巡视，发现外观有变形、开裂等现象，及时采取必要的避险和防护措施，并建议甲方申请房屋安全鉴定。</w:t>
            </w:r>
          </w:p>
        </w:tc>
      </w:tr>
      <w:tr w14:paraId="3194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0BBF499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2A670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57AC809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（2）每季度至少开展1次外墙贴饰面、幕墙玻璃、雨篷、散水、空调室外机支撑构件等检查，发现破损，及时出具维修方案实施维修，并向甲方报告。</w:t>
            </w:r>
          </w:p>
        </w:tc>
      </w:tr>
      <w:tr w14:paraId="053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8C182C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70D71D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6C7E002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（3）每半月至少开展1次公用部位的门、窗、楼梯、通风道、室内地面、墙面、吊顶和室外屋面等巡查，发现破损，及时出具维修方案实施维修，并向甲方报告。</w:t>
            </w:r>
          </w:p>
        </w:tc>
      </w:tr>
      <w:tr w14:paraId="6756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38CECEC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2B05F2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37744CD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（4）每年强降雨天气前后、雨雪季节检查屋面防水和雨落管等，发现破损，及时出具维修方案实施维修，并向甲方报告。</w:t>
            </w:r>
          </w:p>
        </w:tc>
      </w:tr>
      <w:tr w14:paraId="2A34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0FAEE57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D34252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59F8355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（5）办公楼外观完好，建筑装饰面无脱落、无破损、无污渍，玻璃幕墙清洁明亮、无破损。</w:t>
            </w:r>
          </w:p>
        </w:tc>
      </w:tr>
      <w:tr w14:paraId="64D4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BDBB4D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309462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76F85FC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（6）通道、楼梯、门窗等设施的完好和正常使用。</w:t>
            </w:r>
          </w:p>
        </w:tc>
      </w:tr>
      <w:tr w14:paraId="45DE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5284A18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82" w:type="pct"/>
            <w:vMerge w:val="restart"/>
            <w:noWrap w:val="0"/>
            <w:vAlign w:val="center"/>
          </w:tcPr>
          <w:p w14:paraId="347F79C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其他设施</w:t>
            </w:r>
          </w:p>
        </w:tc>
        <w:tc>
          <w:tcPr>
            <w:tcW w:w="3645" w:type="pct"/>
            <w:noWrap w:val="0"/>
            <w:vAlign w:val="center"/>
          </w:tcPr>
          <w:p w14:paraId="681B40D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（1）每半月至少开展1次大门、道路、场地、管井等巡查。</w:t>
            </w:r>
          </w:p>
        </w:tc>
      </w:tr>
      <w:tr w14:paraId="1797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3207D0F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6440C61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40FFE2F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（2）路面状态良好，地漏通畅不堵塞。</w:t>
            </w:r>
          </w:p>
        </w:tc>
      </w:tr>
      <w:tr w14:paraId="0E6C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8CE985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65E8F36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5268C85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（3）接到甲方家具报修服务后，针对保修期内的家具，及时通知供货商进行维修；针对保修期外的家具，限时进行维修。</w:t>
            </w:r>
          </w:p>
        </w:tc>
      </w:tr>
      <w:tr w14:paraId="1DB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28952BC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82" w:type="pct"/>
            <w:vMerge w:val="restart"/>
            <w:noWrap w:val="0"/>
            <w:vAlign w:val="center"/>
          </w:tcPr>
          <w:p w14:paraId="6C53736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装饰装修</w:t>
            </w:r>
          </w:p>
          <w:p w14:paraId="2FA51B8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监督</w:t>
            </w:r>
            <w:r>
              <w:rPr>
                <w:rFonts w:hint="eastAsia" w:asciiTheme="minorEastAsia" w:hAnsiTheme="minorEastAsia" w:eastAsiaTheme="minorEastAsia" w:cstheme="minorEastAsia"/>
                <w:color w:val="auto"/>
                <w:sz w:val="24"/>
                <w:szCs w:val="24"/>
                <w:highlight w:val="none"/>
                <w:lang w:eastAsia="zh-CN"/>
              </w:rPr>
              <w:t>管理</w:t>
            </w:r>
          </w:p>
        </w:tc>
        <w:tc>
          <w:tcPr>
            <w:tcW w:w="3645" w:type="pct"/>
            <w:noWrap w:val="0"/>
            <w:vAlign w:val="center"/>
          </w:tcPr>
          <w:p w14:paraId="2CE7249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（1）装饰装修前，乙方应当与甲方委托的装修方签订装饰装修管理服务协议，告知装饰装修须知，并对装饰装修过程进行管理服务。</w:t>
            </w:r>
          </w:p>
        </w:tc>
      </w:tr>
      <w:tr w14:paraId="4E67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6EEB3CE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6CFD9A5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37D07AF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（2）受甲方委托对房屋内装修进行严格的监督管理，发现问题及时上报，确保不因装修而危及大楼结构安全、人身安全和影响正常办公秩序。</w:t>
            </w:r>
          </w:p>
        </w:tc>
      </w:tr>
      <w:tr w14:paraId="29EF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1E01645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882" w:type="pct"/>
            <w:vMerge w:val="restart"/>
            <w:noWrap w:val="0"/>
            <w:vAlign w:val="center"/>
          </w:tcPr>
          <w:p w14:paraId="0857083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标识标牌</w:t>
            </w:r>
          </w:p>
        </w:tc>
        <w:tc>
          <w:tcPr>
            <w:tcW w:w="3645" w:type="pct"/>
            <w:noWrap w:val="0"/>
            <w:vAlign w:val="center"/>
          </w:tcPr>
          <w:p w14:paraId="2E001E3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（1）标识标牌符合《</w:t>
            </w:r>
            <w:r>
              <w:rPr>
                <w:rFonts w:hint="eastAsia" w:asciiTheme="minorEastAsia" w:hAnsiTheme="minorEastAsia" w:eastAsiaTheme="minorEastAsia" w:cstheme="minorEastAsia"/>
                <w:color w:val="auto"/>
                <w:sz w:val="24"/>
                <w:szCs w:val="24"/>
                <w:highlight w:val="none"/>
                <w:lang w:eastAsia="zh-CN"/>
              </w:rPr>
              <w:t>公共信息图形符号 第1部分：通用符号</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GB/T 10001.1</w:t>
            </w:r>
            <w:r>
              <w:rPr>
                <w:rFonts w:hint="eastAsia" w:asciiTheme="minorEastAsia" w:hAnsiTheme="minorEastAsia" w:eastAsiaTheme="minorEastAsia" w:cstheme="minorEastAsia"/>
                <w:color w:val="auto"/>
                <w:sz w:val="24"/>
                <w:szCs w:val="24"/>
                <w:highlight w:val="none"/>
                <w:lang w:val="en-US" w:eastAsia="zh-CN"/>
              </w:rPr>
              <w:t>）的相关要求，消防与安全标识符合《</w:t>
            </w:r>
            <w:r>
              <w:rPr>
                <w:rFonts w:hint="eastAsia" w:asciiTheme="minorEastAsia" w:hAnsiTheme="minorEastAsia" w:eastAsiaTheme="minorEastAsia" w:cstheme="minorEastAsia"/>
                <w:color w:val="auto"/>
                <w:sz w:val="24"/>
                <w:szCs w:val="24"/>
                <w:highlight w:val="none"/>
                <w:lang w:eastAsia="zh-CN"/>
              </w:rPr>
              <w:t>安全标志及其使用导则</w:t>
            </w:r>
            <w:r>
              <w:rPr>
                <w:rFonts w:hint="eastAsia" w:asciiTheme="minorEastAsia" w:hAnsiTheme="minorEastAsia" w:eastAsiaTheme="minorEastAsia" w:cstheme="minorEastAsia"/>
                <w:color w:val="auto"/>
                <w:sz w:val="24"/>
                <w:szCs w:val="24"/>
                <w:highlight w:val="none"/>
                <w:lang w:val="en-US" w:eastAsia="zh-CN"/>
              </w:rPr>
              <w:t>》（GB 2894）、《消防安全标志　第1部分：标志》（GB 13495.1）的相关要求。</w:t>
            </w:r>
          </w:p>
        </w:tc>
      </w:tr>
      <w:tr w14:paraId="502E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1764367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E4405E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5C07640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（2）每月至少检查1次标识标牌和消防与安全标识，做好检查记录。标牌标识应当规范清晰、路线指引正确、安装稳固。</w:t>
            </w:r>
          </w:p>
        </w:tc>
      </w:tr>
      <w:tr w14:paraId="5E23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89ADCF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FE09EA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0FD2423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（3）根据甲方要求或协助甲方张贴公共机构节能、爱卫、禁烟等相关宣传标识。</w:t>
            </w:r>
          </w:p>
        </w:tc>
      </w:tr>
    </w:tbl>
    <w:p w14:paraId="7D4AB239">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3.1.3</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公用设施设备维护服务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757"/>
        <w:gridCol w:w="7270"/>
      </w:tblGrid>
      <w:tr w14:paraId="5063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5B49E5C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82" w:type="pct"/>
            <w:noWrap w:val="0"/>
            <w:vAlign w:val="center"/>
          </w:tcPr>
          <w:p w14:paraId="718722E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50" w:type="pct"/>
            <w:noWrap w:val="0"/>
            <w:vAlign w:val="center"/>
          </w:tcPr>
          <w:p w14:paraId="6DFBFD5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3846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2E86FBE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882" w:type="pct"/>
            <w:vMerge w:val="restart"/>
            <w:noWrap w:val="0"/>
            <w:vAlign w:val="center"/>
          </w:tcPr>
          <w:p w14:paraId="1EBAF77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基本要求</w:t>
            </w:r>
          </w:p>
        </w:tc>
        <w:tc>
          <w:tcPr>
            <w:tcW w:w="3650" w:type="pct"/>
            <w:noWrap w:val="0"/>
            <w:vAlign w:val="center"/>
          </w:tcPr>
          <w:p w14:paraId="454FC66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（1）重大节假日及恶劣天气前后，组织系统巡检1次。</w:t>
            </w:r>
          </w:p>
        </w:tc>
      </w:tr>
      <w:tr w14:paraId="4C3D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1E51B70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F79ADF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6CB6786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（2）具备设施设备安全、稳定运行的环境和场所（含有限空间），温湿度、照度、粉尘和烟雾浓度等符合相关安全规范。</w:t>
            </w:r>
          </w:p>
        </w:tc>
      </w:tr>
      <w:tr w14:paraId="68D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2290669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882" w:type="pct"/>
            <w:vMerge w:val="restart"/>
            <w:noWrap w:val="0"/>
            <w:vAlign w:val="center"/>
          </w:tcPr>
          <w:p w14:paraId="1FF40B3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一般设备维护、保养</w:t>
            </w:r>
          </w:p>
        </w:tc>
        <w:tc>
          <w:tcPr>
            <w:tcW w:w="3650" w:type="pct"/>
            <w:noWrap w:val="0"/>
            <w:vAlign w:val="center"/>
          </w:tcPr>
          <w:p w14:paraId="24C2363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办公楼内设备、设施损坏的维修,以保持房屋原来完好等级为目的的日常养护工程，日常水、电、暖及基础设施零星维修；下水管道、雨水井的日常检查、维护；定期对设备、各类配电箱/柜检查及室外管网的日常维护保养；室外设施设备冬季防冻保温；各类办公区、会议室设施、桌椅紧固检查维修；楼内水、电、中央空调等设施的巡视检查；办公室、会议室物品的临时搬迁和调整；电梯的日常巡检记录工作；外来施工人员的监督配合管理；工程维修材料均由甲方供应。设备管理制度健全,设备的运行、维护、保养、巡检必须要有记录。</w:t>
            </w:r>
          </w:p>
        </w:tc>
      </w:tr>
      <w:tr w14:paraId="040E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2D5005D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B9F60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329DE2E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（2）遵守设备操作规程,保证设备正常运行使用。</w:t>
            </w:r>
          </w:p>
        </w:tc>
      </w:tr>
      <w:tr w14:paraId="1772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5592FCA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4B7F754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70C09FC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（3）定期和及时养护、检修设备,确保设备正常运行。</w:t>
            </w:r>
          </w:p>
        </w:tc>
      </w:tr>
      <w:tr w14:paraId="1C2B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37E56F1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5B3560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4F398A7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（4）水、电、暖等维修接业主报修电话10分钟内到达现场,确认故障,小修及时解决,中修、大修先确定方案,及时上报甲方。</w:t>
            </w:r>
          </w:p>
        </w:tc>
      </w:tr>
      <w:tr w14:paraId="02F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7C6E89A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4D8206B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70216D6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（5）设备卫生每月清洁一次,保证设备、设施清洁。</w:t>
            </w:r>
          </w:p>
        </w:tc>
      </w:tr>
      <w:tr w14:paraId="4EBC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29CAFDA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6BE215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44EC3B2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（6）每年设备全面安全检查二次。</w:t>
            </w:r>
          </w:p>
        </w:tc>
      </w:tr>
      <w:tr w14:paraId="1C40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restart"/>
            <w:noWrap w:val="0"/>
            <w:vAlign w:val="center"/>
          </w:tcPr>
          <w:p w14:paraId="3581600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82" w:type="pct"/>
            <w:vMerge w:val="restart"/>
            <w:noWrap w:val="0"/>
            <w:vAlign w:val="center"/>
          </w:tcPr>
          <w:p w14:paraId="3C9D4FB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设备维</w:t>
            </w:r>
            <w:r>
              <w:rPr>
                <w:rFonts w:hint="eastAsia" w:asciiTheme="minorEastAsia" w:hAnsiTheme="minorEastAsia" w:eastAsiaTheme="minorEastAsia" w:cstheme="minorEastAsia"/>
                <w:color w:val="auto"/>
                <w:sz w:val="24"/>
                <w:szCs w:val="24"/>
                <w:highlight w:val="none"/>
                <w:lang w:eastAsia="zh-CN"/>
              </w:rPr>
              <w:t>修</w:t>
            </w:r>
          </w:p>
          <w:p w14:paraId="20E26F4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监督</w:t>
            </w:r>
            <w:r>
              <w:rPr>
                <w:rFonts w:hint="eastAsia" w:asciiTheme="minorEastAsia" w:hAnsiTheme="minorEastAsia" w:eastAsiaTheme="minorEastAsia" w:cstheme="minorEastAsia"/>
                <w:color w:val="auto"/>
                <w:sz w:val="24"/>
                <w:szCs w:val="24"/>
                <w:highlight w:val="none"/>
                <w:lang w:eastAsia="zh-CN"/>
              </w:rPr>
              <w:t>管理</w:t>
            </w:r>
          </w:p>
        </w:tc>
        <w:tc>
          <w:tcPr>
            <w:tcW w:w="3650" w:type="pct"/>
            <w:noWrap w:val="0"/>
            <w:vAlign w:val="center"/>
          </w:tcPr>
          <w:p w14:paraId="101B27B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（1）设备维修前，乙方应当与甲方委托的设备维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方签订设备维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管理服务协议，告知设备维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须知，并对设备维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过程进行管理服务。</w:t>
            </w:r>
          </w:p>
        </w:tc>
      </w:tr>
      <w:tr w14:paraId="05B0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continue"/>
            <w:noWrap w:val="0"/>
            <w:vAlign w:val="center"/>
          </w:tcPr>
          <w:p w14:paraId="51CA59D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40B7C28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06D42C4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（2）受甲方委托对设备的维</w:t>
            </w:r>
            <w:r>
              <w:rPr>
                <w:rFonts w:hint="eastAsia" w:asciiTheme="minorEastAsia" w:hAnsiTheme="minorEastAsia" w:eastAsiaTheme="minorEastAsia" w:cstheme="minorEastAsia"/>
                <w:color w:val="auto"/>
                <w:sz w:val="24"/>
                <w:szCs w:val="24"/>
                <w:highlight w:val="none"/>
                <w:lang w:eastAsia="zh-CN"/>
              </w:rPr>
              <w:t>修</w:t>
            </w:r>
            <w:r>
              <w:rPr>
                <w:rFonts w:hint="eastAsia" w:asciiTheme="minorEastAsia" w:hAnsiTheme="minorEastAsia" w:eastAsiaTheme="minorEastAsia" w:cstheme="minorEastAsia"/>
                <w:color w:val="auto"/>
                <w:sz w:val="24"/>
                <w:szCs w:val="24"/>
                <w:highlight w:val="none"/>
                <w:lang w:val="en-US" w:eastAsia="zh-CN"/>
              </w:rPr>
              <w:t>进行严格的监督管理，发现问题及时上报，确保人身安全、不影响正常办公秩序、不发生安全事故、。</w:t>
            </w:r>
          </w:p>
        </w:tc>
      </w:tr>
      <w:tr w14:paraId="785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restart"/>
            <w:noWrap w:val="0"/>
            <w:vAlign w:val="center"/>
          </w:tcPr>
          <w:p w14:paraId="1CDFB8E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882" w:type="pct"/>
            <w:vMerge w:val="restart"/>
            <w:noWrap w:val="0"/>
            <w:vAlign w:val="center"/>
          </w:tcPr>
          <w:p w14:paraId="33C0721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设备机房</w:t>
            </w:r>
          </w:p>
        </w:tc>
        <w:tc>
          <w:tcPr>
            <w:tcW w:w="3650" w:type="pct"/>
            <w:noWrap w:val="0"/>
            <w:vAlign w:val="center"/>
          </w:tcPr>
          <w:p w14:paraId="4F942CF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52FB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7" w:type="pct"/>
            <w:vMerge w:val="continue"/>
            <w:noWrap w:val="0"/>
            <w:vAlign w:val="center"/>
          </w:tcPr>
          <w:p w14:paraId="091D448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0230BE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44912B8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（2）设备机房门窗、锁具应当完好、有效。</w:t>
            </w:r>
          </w:p>
        </w:tc>
      </w:tr>
      <w:tr w14:paraId="7D6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continue"/>
            <w:noWrap w:val="0"/>
            <w:vAlign w:val="center"/>
          </w:tcPr>
          <w:p w14:paraId="10B89BE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D7E04A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66A98FA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（3）每月至少开展1次清洁，整洁有序、无杂物、无积尘、无鼠、无虫害，温湿度符合设备运行要求。</w:t>
            </w:r>
          </w:p>
        </w:tc>
      </w:tr>
      <w:tr w14:paraId="784C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67" w:type="pct"/>
            <w:vMerge w:val="continue"/>
            <w:noWrap w:val="0"/>
            <w:vAlign w:val="center"/>
          </w:tcPr>
          <w:p w14:paraId="129743C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7EAC22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0E9C8DD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（4）按各设备机房国家标准规范规定维护/保管消防、通风、应急照明，防止小动物进入。</w:t>
            </w:r>
          </w:p>
        </w:tc>
      </w:tr>
      <w:tr w14:paraId="32B7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67" w:type="pct"/>
            <w:vMerge w:val="continue"/>
            <w:noWrap w:val="0"/>
            <w:vAlign w:val="center"/>
          </w:tcPr>
          <w:p w14:paraId="22080CF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CF74FA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3CE1779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（5）安全防护用具配置齐全，检验合格。</w:t>
            </w:r>
          </w:p>
        </w:tc>
      </w:tr>
      <w:tr w14:paraId="5198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67" w:type="pct"/>
            <w:vMerge w:val="continue"/>
            <w:noWrap w:val="0"/>
            <w:vAlign w:val="center"/>
          </w:tcPr>
          <w:p w14:paraId="37D8EB8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340FFB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470AEFE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（6）应急设施设备用品应当齐全、完备，可随时启用。</w:t>
            </w:r>
          </w:p>
        </w:tc>
      </w:tr>
      <w:tr w14:paraId="314E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52F2FD3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82" w:type="pct"/>
            <w:vMerge w:val="restart"/>
            <w:noWrap w:val="0"/>
            <w:vAlign w:val="center"/>
          </w:tcPr>
          <w:p w14:paraId="2DF8445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给排水系统</w:t>
            </w:r>
          </w:p>
        </w:tc>
        <w:tc>
          <w:tcPr>
            <w:tcW w:w="3650" w:type="pct"/>
            <w:noWrap w:val="0"/>
            <w:vAlign w:val="center"/>
          </w:tcPr>
          <w:p w14:paraId="7923B37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（1）设施设备、阀门、管道等运行正常，无跑、冒、滴、漏现象。</w:t>
            </w:r>
          </w:p>
        </w:tc>
      </w:tr>
      <w:tr w14:paraId="5634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781050F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4E8A87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48E81C0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（2）有泵房、消防水箱间、水池的，每日至少巡视1次。每年至少养护1次水泵。</w:t>
            </w:r>
          </w:p>
        </w:tc>
      </w:tr>
      <w:tr w14:paraId="66AF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4172766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4F888B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487749E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（3）遇供水单位限水、停水，提前做好相应措施并通知甲方。</w:t>
            </w:r>
          </w:p>
        </w:tc>
      </w:tr>
      <w:tr w14:paraId="590D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32B964F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82" w:type="pct"/>
            <w:vMerge w:val="restart"/>
            <w:noWrap w:val="0"/>
            <w:vAlign w:val="center"/>
          </w:tcPr>
          <w:p w14:paraId="304B707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空调</w:t>
            </w:r>
            <w:r>
              <w:rPr>
                <w:rFonts w:hint="eastAsia" w:asciiTheme="minorEastAsia" w:hAnsiTheme="minorEastAsia" w:eastAsiaTheme="minorEastAsia" w:cstheme="minorEastAsia"/>
                <w:color w:val="auto"/>
                <w:sz w:val="24"/>
                <w:szCs w:val="24"/>
                <w:highlight w:val="none"/>
                <w:lang w:eastAsia="zh-CN"/>
              </w:rPr>
              <w:t>系统及新风系统</w:t>
            </w:r>
          </w:p>
        </w:tc>
        <w:tc>
          <w:tcPr>
            <w:tcW w:w="3650" w:type="pct"/>
            <w:noWrap w:val="0"/>
            <w:vAlign w:val="center"/>
          </w:tcPr>
          <w:p w14:paraId="1C1398F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（1）系统运行管理符合国家标准有关要求；系统清洗符合《空调通风系统清洗规范》（GB 19210-2003）的相关要求。</w:t>
            </w:r>
          </w:p>
        </w:tc>
      </w:tr>
      <w:tr w14:paraId="6673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4EC1065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5B8056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28C2555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（2）办公楼内温湿度、空气质量等符合《室内空气质量标准》（GB/T 18883）的相关要求。</w:t>
            </w:r>
          </w:p>
        </w:tc>
      </w:tr>
      <w:tr w14:paraId="70B4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72A7EB9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7D3C78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4D729D3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（3）定期维保并做好记录，保证空调设施设备处于良好状态。</w:t>
            </w:r>
          </w:p>
        </w:tc>
      </w:tr>
      <w:tr w14:paraId="772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56614E2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AB80B5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4E4C09E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（4）中央空调运行前对冷水机组、循环水泵、冷却水泵、冷却塔、风机盘管等设施设备进行系统检查，运行期间每日至少开展1次运行情况巡查。</w:t>
            </w:r>
          </w:p>
        </w:tc>
      </w:tr>
      <w:tr w14:paraId="00F1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63A3AB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33318E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3EAC9CC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（5）每年至少开展1次管道、阀门、循环水泵、冷却水泵检查并除锈。</w:t>
            </w:r>
          </w:p>
        </w:tc>
      </w:tr>
      <w:tr w14:paraId="2AE5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67" w:type="pct"/>
            <w:vMerge w:val="continue"/>
            <w:noWrap w:val="0"/>
            <w:vAlign w:val="center"/>
          </w:tcPr>
          <w:p w14:paraId="7CBED52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5C908C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2671065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（6）每季度至少开展1次挂机和室外支架稳固性巡查。</w:t>
            </w:r>
          </w:p>
        </w:tc>
      </w:tr>
      <w:tr w14:paraId="1B98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18E7351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7F93BD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2678CAC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（7）制冷、供暖系统温度设定及启用时间符合节能要求。</w:t>
            </w:r>
          </w:p>
        </w:tc>
      </w:tr>
      <w:tr w14:paraId="1B12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21F2B72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2CCBCA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5902D2D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（8）发现故障或损坏应当在10分钟内到场，紧急维修应当在3分钟内到达现场，在24小时内维修完毕。</w:t>
            </w:r>
          </w:p>
        </w:tc>
      </w:tr>
      <w:tr w14:paraId="1AF7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3AB1224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882" w:type="pct"/>
            <w:vMerge w:val="restart"/>
            <w:noWrap w:val="0"/>
            <w:vAlign w:val="center"/>
          </w:tcPr>
          <w:p w14:paraId="7E7E88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w:t>
            </w:r>
            <w:r>
              <w:rPr>
                <w:rFonts w:hint="eastAsia" w:asciiTheme="minorEastAsia" w:hAnsiTheme="minorEastAsia" w:eastAsiaTheme="minorEastAsia" w:cstheme="minorEastAsia"/>
                <w:color w:val="auto"/>
                <w:sz w:val="24"/>
                <w:szCs w:val="24"/>
                <w:highlight w:val="none"/>
                <w:lang w:val="en-US" w:eastAsia="zh-CN"/>
              </w:rPr>
              <w:t>配电</w:t>
            </w:r>
            <w:r>
              <w:rPr>
                <w:rFonts w:hint="eastAsia" w:asciiTheme="minorEastAsia" w:hAnsiTheme="minorEastAsia" w:eastAsiaTheme="minorEastAsia" w:cstheme="minorEastAsia"/>
                <w:color w:val="auto"/>
                <w:sz w:val="24"/>
                <w:szCs w:val="24"/>
                <w:highlight w:val="none"/>
                <w:lang w:eastAsia="zh-CN"/>
              </w:rPr>
              <w:t>系统</w:t>
            </w:r>
          </w:p>
        </w:tc>
        <w:tc>
          <w:tcPr>
            <w:tcW w:w="3650" w:type="pct"/>
            <w:noWrap w:val="0"/>
            <w:vAlign w:val="center"/>
          </w:tcPr>
          <w:p w14:paraId="725777C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（1）建立24小时运行值班监控制度。</w:t>
            </w:r>
          </w:p>
        </w:tc>
      </w:tr>
      <w:tr w14:paraId="3B04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0AA5E50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5607AF1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11C02DB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（2）对供电范围内的电气设备定期巡视维护，电气设备编号标识齐全、明显，加强高低压配电柜、配电箱、控制柜及线路等重点部位监测。</w:t>
            </w:r>
          </w:p>
        </w:tc>
      </w:tr>
      <w:tr w14:paraId="67F6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1A033E7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11C86DC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2C8B7B9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（3）公共使用的照明、指示灯具线路、开关、接地等保持完好，确保用电安全。</w:t>
            </w:r>
          </w:p>
        </w:tc>
      </w:tr>
      <w:tr w14:paraId="3D3F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2B8C2B0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148D18B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655D0E6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（4）核心部位用电建立高可控用电保障和配备应急发电设备，定期维护应急发电设备。</w:t>
            </w:r>
          </w:p>
        </w:tc>
      </w:tr>
      <w:tr w14:paraId="1FE9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0C3A072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125F6A5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74187BD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（5）发生非计划性停电的，应当在事件发生后采取快速恢复或启用应急电源处理工作，并及时通知甲方。</w:t>
            </w:r>
          </w:p>
        </w:tc>
      </w:tr>
      <w:tr w14:paraId="61A1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0F0B588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7738FDA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1D8814E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（6）复杂故障涉及供电部门维修处置的及时与供电部门联系，并向甲方报告。</w:t>
            </w:r>
          </w:p>
        </w:tc>
      </w:tr>
      <w:tr w14:paraId="2790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229EFBF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882" w:type="pct"/>
            <w:vMerge w:val="restart"/>
            <w:noWrap w:val="0"/>
            <w:vAlign w:val="center"/>
          </w:tcPr>
          <w:p w14:paraId="2E5D1BC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弱电系统</w:t>
            </w:r>
          </w:p>
        </w:tc>
        <w:tc>
          <w:tcPr>
            <w:tcW w:w="3650" w:type="pct"/>
            <w:noWrap w:val="0"/>
            <w:vAlign w:val="center"/>
          </w:tcPr>
          <w:p w14:paraId="5829E52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（1）安全防范系统维护保养符合《安全防范系统维护保养规范》（</w:t>
            </w:r>
            <w:r>
              <w:rPr>
                <w:rFonts w:hint="eastAsia" w:asciiTheme="minorEastAsia" w:hAnsiTheme="minorEastAsia" w:eastAsiaTheme="minorEastAsia" w:cstheme="minorEastAsia"/>
                <w:color w:val="auto"/>
                <w:sz w:val="24"/>
                <w:szCs w:val="24"/>
                <w:highlight w:val="none"/>
                <w:lang w:eastAsia="zh-CN"/>
              </w:rPr>
              <w:t>GA/T 1081</w:t>
            </w:r>
            <w:r>
              <w:rPr>
                <w:rFonts w:hint="eastAsia" w:asciiTheme="minorEastAsia" w:hAnsiTheme="minorEastAsia" w:eastAsiaTheme="minorEastAsia" w:cstheme="minorEastAsia"/>
                <w:color w:val="auto"/>
                <w:sz w:val="24"/>
                <w:szCs w:val="24"/>
                <w:highlight w:val="none"/>
                <w:lang w:val="en-US" w:eastAsia="zh-CN"/>
              </w:rPr>
              <w:t>）的相关要求。</w:t>
            </w:r>
          </w:p>
        </w:tc>
      </w:tr>
      <w:tr w14:paraId="4B02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7EB34B4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5179EF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27637BF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（2）保持监控系统、门禁系统、安全防范系统等运行正常，有故障及时排除。</w:t>
            </w:r>
          </w:p>
        </w:tc>
      </w:tr>
      <w:tr w14:paraId="352D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052BAB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882" w:type="pct"/>
            <w:vMerge w:val="restart"/>
            <w:noWrap w:val="0"/>
            <w:vAlign w:val="center"/>
          </w:tcPr>
          <w:p w14:paraId="301A2E4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照明</w:t>
            </w:r>
            <w:r>
              <w:rPr>
                <w:rFonts w:hint="eastAsia" w:asciiTheme="minorEastAsia" w:hAnsiTheme="minorEastAsia" w:eastAsiaTheme="minorEastAsia" w:cstheme="minorEastAsia"/>
                <w:color w:val="auto"/>
                <w:sz w:val="24"/>
                <w:szCs w:val="24"/>
                <w:highlight w:val="none"/>
                <w:lang w:eastAsia="zh-CN"/>
              </w:rPr>
              <w:t>系统</w:t>
            </w:r>
          </w:p>
        </w:tc>
        <w:tc>
          <w:tcPr>
            <w:tcW w:w="3650" w:type="pct"/>
            <w:noWrap w:val="0"/>
            <w:vAlign w:val="center"/>
          </w:tcPr>
          <w:p w14:paraId="7B71290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（1）外观整洁无缺损、无松落；换新后的照明相关设备无破损、无歪斜。</w:t>
            </w:r>
          </w:p>
        </w:tc>
      </w:tr>
      <w:tr w14:paraId="1AB8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4505090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61E876F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652185C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（2）更换的照明灯具应当选用节能环保产品，亮度与更换前保持一致。</w:t>
            </w:r>
          </w:p>
        </w:tc>
      </w:tr>
      <w:tr w14:paraId="12DF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54A6565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5A31F6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1AD7713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（3）每周至少开展1次公共区域照明设备巡视。</w:t>
            </w:r>
          </w:p>
        </w:tc>
      </w:tr>
      <w:tr w14:paraId="14B9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5468610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0F368E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023256E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（4）配合甲方做好节电等节约资源能源相关工作。</w:t>
            </w:r>
          </w:p>
        </w:tc>
      </w:tr>
      <w:tr w14:paraId="390B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restart"/>
            <w:noWrap w:val="0"/>
            <w:vAlign w:val="center"/>
          </w:tcPr>
          <w:p w14:paraId="300ED65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882" w:type="pct"/>
            <w:vMerge w:val="restart"/>
            <w:noWrap w:val="0"/>
            <w:vAlign w:val="center"/>
          </w:tcPr>
          <w:p w14:paraId="6DB4E13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采暖系统</w:t>
            </w:r>
          </w:p>
        </w:tc>
        <w:tc>
          <w:tcPr>
            <w:tcW w:w="3650" w:type="pct"/>
            <w:noWrap w:val="0"/>
            <w:vAlign w:val="center"/>
          </w:tcPr>
          <w:p w14:paraId="384A115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（1）定期检查供暖管道、阀门、暖气片、板式换热器、循环水泵、风机盘管运行情况，确保正常无隐患。</w:t>
            </w:r>
          </w:p>
        </w:tc>
      </w:tr>
      <w:tr w14:paraId="3040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45A5201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84D910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3718FE6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（2）负责暖气片、阀门龙头等新装布置及旧装拆除、日常维修更换及管线的跑、冒、滴、漏的维修。</w:t>
            </w:r>
          </w:p>
        </w:tc>
      </w:tr>
      <w:tr w14:paraId="2188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3AEE50D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C6D3CF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50" w:type="pct"/>
            <w:noWrap w:val="0"/>
            <w:vAlign w:val="center"/>
          </w:tcPr>
          <w:p w14:paraId="4412E93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（3）做好供暖前检查等相关准备工作。</w:t>
            </w:r>
          </w:p>
        </w:tc>
      </w:tr>
      <w:tr w14:paraId="7A38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0F7DACF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82ED8D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2E98A0B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（4）暖气片上水前，提前通知甲方。</w:t>
            </w:r>
          </w:p>
        </w:tc>
      </w:tr>
      <w:tr w14:paraId="71D6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Merge w:val="continue"/>
            <w:noWrap w:val="0"/>
            <w:vAlign w:val="center"/>
          </w:tcPr>
          <w:p w14:paraId="7B6BCC7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C99AEC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50" w:type="pct"/>
            <w:noWrap w:val="0"/>
            <w:vAlign w:val="center"/>
          </w:tcPr>
          <w:p w14:paraId="1CF447A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（5）供暖期间做好日常检查、维护、抢修、登记上报等工作，要确保办公室、大厅温度在规定范围，如温度过低，及时排查原因并解决。</w:t>
            </w:r>
          </w:p>
        </w:tc>
      </w:tr>
    </w:tbl>
    <w:p w14:paraId="0EB376FC">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3.1.4</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保洁服务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757"/>
        <w:gridCol w:w="7260"/>
      </w:tblGrid>
      <w:tr w14:paraId="47D8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noWrap w:val="0"/>
            <w:vAlign w:val="center"/>
          </w:tcPr>
          <w:p w14:paraId="4F3B1B5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82" w:type="pct"/>
            <w:noWrap w:val="0"/>
            <w:vAlign w:val="center"/>
          </w:tcPr>
          <w:p w14:paraId="4A0CDFE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45" w:type="pct"/>
            <w:noWrap w:val="0"/>
            <w:vAlign w:val="center"/>
          </w:tcPr>
          <w:p w14:paraId="023CDD1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663F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4FC5DBB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882" w:type="pct"/>
            <w:vMerge w:val="restart"/>
            <w:noWrap w:val="0"/>
            <w:vAlign w:val="center"/>
          </w:tcPr>
          <w:p w14:paraId="2499AE5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基本要求</w:t>
            </w:r>
          </w:p>
        </w:tc>
        <w:tc>
          <w:tcPr>
            <w:tcW w:w="3645" w:type="pct"/>
            <w:noWrap w:val="0"/>
            <w:vAlign w:val="center"/>
          </w:tcPr>
          <w:p w14:paraId="086AB73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（1）建立保洁服务的工作制度及工作计划，并按照执行。</w:t>
            </w:r>
          </w:p>
        </w:tc>
      </w:tr>
      <w:tr w14:paraId="3FF7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3D91D2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6B6EF2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3A1E68A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（2）做好每日保洁服务工作记录，记录填写规范、保存完好。</w:t>
            </w:r>
          </w:p>
        </w:tc>
      </w:tr>
      <w:tr w14:paraId="626D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1749CD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2A63466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304B5F5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（3）按制度规定统一着装，作业时采取安全防护措施，防止对作业人员或他人造成伤害。相关耗材的环保、安全性等应当符合国家相关规定要求。</w:t>
            </w:r>
          </w:p>
        </w:tc>
      </w:tr>
      <w:tr w14:paraId="3C8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EF95DD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10B823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11A38BA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（4）用语文明礼貌，不扎堆闲聊或大声喧哗；严禁进入涉密区域。日常工作中能及时发现并反馈保洁区域内的各类设备设施等缺陷或问题。</w:t>
            </w:r>
          </w:p>
        </w:tc>
      </w:tr>
      <w:tr w14:paraId="7C0A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ED8488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59FD7B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3F2DD02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（5）保洁服务所使用的工具、用品、消耗品均由乙方提供。</w:t>
            </w:r>
          </w:p>
        </w:tc>
      </w:tr>
      <w:tr w14:paraId="25EC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72" w:type="pct"/>
            <w:vMerge w:val="restart"/>
            <w:noWrap w:val="0"/>
            <w:vAlign w:val="center"/>
          </w:tcPr>
          <w:p w14:paraId="10150C5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82" w:type="pct"/>
            <w:vMerge w:val="restart"/>
            <w:noWrap w:val="0"/>
            <w:vAlign w:val="center"/>
          </w:tcPr>
          <w:p w14:paraId="6998CBF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楼内办公用房区域保洁</w:t>
            </w:r>
          </w:p>
        </w:tc>
        <w:tc>
          <w:tcPr>
            <w:tcW w:w="3645" w:type="pct"/>
            <w:noWrap w:val="0"/>
            <w:vAlign w:val="center"/>
          </w:tcPr>
          <w:p w14:paraId="7BA406F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楼内公共区域（大厅、楼梯、走廊、空中连廊、电梯、门厅、卫生间、开水间、天台、地下车库、设备间）、各类会议室、领导办公室、值班室、多功能用房等卫生清洁，垃圾的收集、分类、清运管理工作：</w:t>
            </w:r>
          </w:p>
          <w:p w14:paraId="352FC08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①公共通道保持干净，无异味、无杂物、无积水，每日至少开展1次清洁作业。大理石、瓷砖经过清洁、尘推保洁后，能做到表面光亮，无污迹、无杂物。</w:t>
            </w:r>
          </w:p>
          <w:p w14:paraId="660C21B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②门窗玻璃干净无尘，透光性好。楼内面砖、乳胶涂料、金属材料等镜面墙面无灰尘、蛛网、无污染。墙面上装饰品、吊顶灯具、指示牌、外露管道等，保持无污迹、无积尘。</w:t>
            </w:r>
          </w:p>
          <w:p w14:paraId="725E1AF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③楼内面砖、乳胶涂料、金属材料等镜面墙面无灰尘、蛛网、无污染。墙面上装饰品、吊顶灯具、指示牌、外露管道等，保持无污迹、无积尘。</w:t>
            </w:r>
          </w:p>
        </w:tc>
      </w:tr>
      <w:tr w14:paraId="75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72" w:type="pct"/>
            <w:vMerge w:val="continue"/>
            <w:noWrap w:val="0"/>
            <w:vAlign w:val="center"/>
          </w:tcPr>
          <w:p w14:paraId="5F11700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2ABCCF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53704A5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（2）电器、消防等设施设备：</w:t>
            </w:r>
          </w:p>
          <w:p w14:paraId="4FA50A8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①配电箱、设备机房、会议室音视频设备、消防栓及开关插座等保持表面干净，无尘无污迹，每月至少开展1次清洁作业。</w:t>
            </w:r>
          </w:p>
          <w:p w14:paraId="744CACF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②监控、门禁系统等表面光亮，无尘、无斑点，每月至少开展1次清洁作业。</w:t>
            </w:r>
          </w:p>
        </w:tc>
      </w:tr>
      <w:tr w14:paraId="7F66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2" w:type="pct"/>
            <w:vMerge w:val="continue"/>
            <w:noWrap w:val="0"/>
            <w:vAlign w:val="center"/>
          </w:tcPr>
          <w:p w14:paraId="6DE69AD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D00004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1FA1EA9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（3）领导办公室保洁服务：</w:t>
            </w:r>
          </w:p>
          <w:p w14:paraId="22DECA4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①办公桌椅、书柜等，每天擦拭，确保无积尘、无污迹。</w:t>
            </w:r>
          </w:p>
          <w:p w14:paraId="7E3F4FDA">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②地面每日擦拭、吸尘，不得有杂物或污渍，门窗玻璃擦拭干净，无污迹。</w:t>
            </w:r>
          </w:p>
          <w:p w14:paraId="7C50E0F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③屋内物品清洁后摆放整齐，归还原位。</w:t>
            </w:r>
          </w:p>
          <w:p w14:paraId="7EEC6BF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④配送物品每周检查一次，及时补充更换有关日常用品。</w:t>
            </w:r>
          </w:p>
        </w:tc>
      </w:tr>
      <w:tr w14:paraId="02A2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008708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6908F22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5B1A6F7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（4）饮水机保持干净、无异味、无杂物、无积水，每日至少开展1次清洁作业。</w:t>
            </w:r>
          </w:p>
        </w:tc>
      </w:tr>
      <w:tr w14:paraId="4CA9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000939D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993098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3418F04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（5）洗消间、作业工具间：</w:t>
            </w:r>
          </w:p>
          <w:p w14:paraId="6F3960E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①保持干净，无异味、无杂物、无积水，每日至少开展1次清洁作业。</w:t>
            </w:r>
          </w:p>
          <w:p w14:paraId="487E6A1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②作业工具摆放整齐有序，表面干净无渍，每日消毒。</w:t>
            </w:r>
          </w:p>
        </w:tc>
      </w:tr>
      <w:tr w14:paraId="37C2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72" w:type="pct"/>
            <w:vMerge w:val="continue"/>
            <w:noWrap w:val="0"/>
            <w:vAlign w:val="center"/>
          </w:tcPr>
          <w:p w14:paraId="3A8806A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1BF1FC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45" w:type="pct"/>
            <w:noWrap w:val="0"/>
            <w:vAlign w:val="center"/>
          </w:tcPr>
          <w:p w14:paraId="625A9FF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（6）公共卫生间：</w:t>
            </w:r>
          </w:p>
          <w:p w14:paraId="1809A1C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①保持干净，无异味，垃圾无溢出，每日至少开展1次清洁作业。</w:t>
            </w:r>
          </w:p>
          <w:p w14:paraId="118C3EF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②卫生间日常用品、消耗品由乙方提供，用品需摆放整齐，缺少时及时补充厕纸、洗手液等必要日常用品。各楼层净水器每晚21：00关闭。</w:t>
            </w:r>
          </w:p>
          <w:p w14:paraId="4831948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③便池洁白无污秽且畅通，不得有便渍、水锈和异味。</w:t>
            </w:r>
          </w:p>
          <w:p w14:paraId="6A3076E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④门窗时刻保持光亮，无污迹。</w:t>
            </w:r>
          </w:p>
          <w:p w14:paraId="757D249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⑤小便池内无尿碱，无烟头，无异物，及时更换避味球。</w:t>
            </w:r>
          </w:p>
          <w:p w14:paraId="3DBFECF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⑥墙面、装饰面不得有污迹，保持原有本色，地面不得有污迹或杂物。</w:t>
            </w:r>
          </w:p>
          <w:p w14:paraId="7599343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⑦水龙头光亮见本色，镜面、台面光亮无灰尘。</w:t>
            </w:r>
          </w:p>
        </w:tc>
      </w:tr>
      <w:tr w14:paraId="329E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72" w:type="pct"/>
            <w:vMerge w:val="continue"/>
            <w:noWrap w:val="0"/>
            <w:vAlign w:val="center"/>
          </w:tcPr>
          <w:p w14:paraId="52EC74B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337075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11360EF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（7）电梯轿厢：</w:t>
            </w:r>
          </w:p>
          <w:p w14:paraId="7CE1894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①电梯轿厢内地摊清洁，保持整洁；不锈钢墙面做到表面光亮，无污迹。</w:t>
            </w:r>
          </w:p>
          <w:p w14:paraId="0FE32F9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②除专业宣传海报外，禁止乱贴其他宣传品。</w:t>
            </w:r>
          </w:p>
          <w:p w14:paraId="3D87F749">
            <w:pPr>
              <w:pStyle w:val="2"/>
              <w:keepNext w:val="0"/>
              <w:keepLines w:val="0"/>
              <w:pageBreakBefore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③电梯内部抽纸的及时放置和垃圾桶的及时清理。</w:t>
            </w:r>
          </w:p>
        </w:tc>
      </w:tr>
      <w:tr w14:paraId="09E2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4B04E9E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447DB11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5CA03F0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（8）平台、屋顶、天沟保持干净，有杂物及时清扫，每月至少开展1次清洁作业。</w:t>
            </w:r>
          </w:p>
        </w:tc>
      </w:tr>
      <w:tr w14:paraId="4BB4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D2F0E8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1E46FB4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65864DE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（9）地下停车场：</w:t>
            </w:r>
          </w:p>
          <w:p w14:paraId="5DD150D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①及时督促杂物堆存部门清运建筑、设备垃圾和废旧桌椅，确保消防安全和畅通无阻。</w:t>
            </w:r>
          </w:p>
          <w:p w14:paraId="528D188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②每月彻底清扫1次，及时清理污水、污物，保持地面干净。</w:t>
            </w:r>
          </w:p>
        </w:tc>
      </w:tr>
      <w:tr w14:paraId="44AA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2" w:type="pct"/>
            <w:vMerge w:val="continue"/>
            <w:noWrap w:val="0"/>
            <w:vAlign w:val="center"/>
          </w:tcPr>
          <w:p w14:paraId="483BE66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807F39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15B5A94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（10）定期对电梯地毯、值班室布草、各类会议室地摊的清洗、维护。</w:t>
            </w:r>
          </w:p>
        </w:tc>
      </w:tr>
      <w:tr w14:paraId="1639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6AB5D15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82" w:type="pct"/>
            <w:vMerge w:val="restart"/>
            <w:noWrap w:val="0"/>
            <w:vAlign w:val="center"/>
          </w:tcPr>
          <w:p w14:paraId="656F37A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办公楼外</w:t>
            </w:r>
            <w:r>
              <w:rPr>
                <w:rFonts w:hint="eastAsia" w:asciiTheme="minorEastAsia" w:hAnsiTheme="minorEastAsia" w:eastAsiaTheme="minorEastAsia" w:cstheme="minorEastAsia"/>
                <w:color w:val="auto"/>
                <w:sz w:val="24"/>
                <w:szCs w:val="24"/>
                <w:highlight w:val="none"/>
                <w:lang w:eastAsia="zh-CN"/>
              </w:rPr>
              <w:t>区域保洁</w:t>
            </w:r>
          </w:p>
        </w:tc>
        <w:tc>
          <w:tcPr>
            <w:tcW w:w="3645" w:type="pct"/>
            <w:noWrap w:val="0"/>
            <w:vAlign w:val="center"/>
          </w:tcPr>
          <w:p w14:paraId="347554E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（1）办公楼外区域包括环办公楼区域、环办公楼停车场、环办公楼三侧马路、办公楼正前方马路对面停车场区域、办公楼东侧马路对面停车场区域。</w:t>
            </w:r>
          </w:p>
        </w:tc>
      </w:tr>
      <w:tr w14:paraId="0877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46FADCF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745E22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0EF70AA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（2）环办公楼区域、环办公楼停车场、环办公楼三侧马路每日清扫1次，保持干净、无杂物、无积水，办公楼正前方马路对面停车场区域、办公楼东侧马路对面停车场区域每周至少打扫1次。</w:t>
            </w:r>
          </w:p>
        </w:tc>
      </w:tr>
      <w:tr w14:paraId="39DB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1A9539C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53803E5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1D95116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（3）秋冬季节，要及时清扫落叶，确保路面无积叶。雪、冰冻等恶劣天气时，要在雪停后第一时间清扫积雪、铲冰，并采取安全防护措施。</w:t>
            </w:r>
          </w:p>
        </w:tc>
      </w:tr>
      <w:tr w14:paraId="325B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10845DD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05DE016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4B18F42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（4）各种路标、宣传栏等保持干净，每月至少开展1次清洁作业。</w:t>
            </w:r>
          </w:p>
        </w:tc>
      </w:tr>
      <w:tr w14:paraId="130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73A7E3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2E25600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3D84C18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（5）清洁室外（院内）照明设备，每年至少开展1次清洁作业。</w:t>
            </w:r>
          </w:p>
        </w:tc>
      </w:tr>
      <w:tr w14:paraId="4DA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67AD7D1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882" w:type="pct"/>
            <w:vMerge w:val="continue"/>
            <w:noWrap w:val="0"/>
            <w:vAlign w:val="center"/>
          </w:tcPr>
          <w:p w14:paraId="0062035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0D65370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（6）绿地内无杂物、无改变用途和破坏、践踏、占用现象，每天至少开展1次巡查。</w:t>
            </w:r>
          </w:p>
        </w:tc>
      </w:tr>
      <w:tr w14:paraId="601F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restart"/>
            <w:noWrap w:val="0"/>
            <w:vAlign w:val="center"/>
          </w:tcPr>
          <w:p w14:paraId="67EFBF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882" w:type="pct"/>
            <w:vMerge w:val="restart"/>
            <w:noWrap w:val="0"/>
            <w:vAlign w:val="center"/>
          </w:tcPr>
          <w:p w14:paraId="580F42E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垃圾处理</w:t>
            </w:r>
          </w:p>
        </w:tc>
        <w:tc>
          <w:tcPr>
            <w:tcW w:w="3645" w:type="pct"/>
            <w:noWrap w:val="0"/>
            <w:vAlign w:val="center"/>
          </w:tcPr>
          <w:p w14:paraId="1410CB3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（1）在指定位置摆放垃圾桶。</w:t>
            </w:r>
          </w:p>
        </w:tc>
      </w:tr>
      <w:tr w14:paraId="672C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72590A5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674AF39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350A2C60">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（2）桶身表面干净无污渍，每日开展至少1次清洁作业，每年开展至少4次消毒。</w:t>
            </w:r>
          </w:p>
        </w:tc>
      </w:tr>
      <w:tr w14:paraId="4FC6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52CEDF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0F8E9E8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2B92B8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（3）每日将楼层产生的垃圾运至垃圾集中堆放点，垃圾装袋，日产日清。</w:t>
            </w:r>
          </w:p>
        </w:tc>
      </w:tr>
      <w:tr w14:paraId="22A0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 w:type="pct"/>
            <w:vMerge w:val="continue"/>
            <w:noWrap w:val="0"/>
            <w:vAlign w:val="center"/>
          </w:tcPr>
          <w:p w14:paraId="2BA567D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4C819AD">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63E2D08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（4）做好垃圾分类管理的宣传工作，督促并引导全员参与垃圾分类投放。</w:t>
            </w:r>
          </w:p>
        </w:tc>
      </w:tr>
      <w:tr w14:paraId="6756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72" w:type="pct"/>
            <w:vMerge w:val="continue"/>
            <w:noWrap w:val="0"/>
            <w:vAlign w:val="center"/>
          </w:tcPr>
          <w:p w14:paraId="4E84063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7DCE437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1C5F355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（5）垃圾分类投放管理工作的执行标准，按所在城市的要求执行。</w:t>
            </w:r>
          </w:p>
        </w:tc>
      </w:tr>
      <w:tr w14:paraId="2A9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72" w:type="pct"/>
            <w:vMerge w:val="restart"/>
            <w:noWrap w:val="0"/>
            <w:vAlign w:val="center"/>
          </w:tcPr>
          <w:p w14:paraId="47CDA4B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82" w:type="pct"/>
            <w:vMerge w:val="restart"/>
            <w:noWrap w:val="0"/>
            <w:vAlign w:val="center"/>
          </w:tcPr>
          <w:p w14:paraId="6B71924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卫生消毒</w:t>
            </w:r>
          </w:p>
        </w:tc>
        <w:tc>
          <w:tcPr>
            <w:tcW w:w="3645" w:type="pct"/>
            <w:noWrap w:val="0"/>
            <w:vAlign w:val="center"/>
          </w:tcPr>
          <w:p w14:paraId="7CA53D9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（1）办公用房区域、公共场所区域和周围环境预防性卫生消毒，消毒后及时通风，每周至少开展1次作业。</w:t>
            </w:r>
          </w:p>
        </w:tc>
      </w:tr>
      <w:tr w14:paraId="431E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72" w:type="pct"/>
            <w:vMerge w:val="continue"/>
            <w:noWrap w:val="0"/>
            <w:vAlign w:val="center"/>
          </w:tcPr>
          <w:p w14:paraId="7B957A6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5701ACD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5E7AF059">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（2）采取综合措施消灭老鼠、蟑螂，控制室内外蚊虫孳生，达到基本无蝇，每季度至少开展1次作业。</w:t>
            </w:r>
          </w:p>
        </w:tc>
      </w:tr>
      <w:tr w14:paraId="3D27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72" w:type="pct"/>
            <w:vMerge w:val="continue"/>
            <w:noWrap w:val="0"/>
            <w:vAlign w:val="center"/>
          </w:tcPr>
          <w:p w14:paraId="3602F6B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2" w:type="pct"/>
            <w:vMerge w:val="continue"/>
            <w:noWrap w:val="0"/>
            <w:vAlign w:val="center"/>
          </w:tcPr>
          <w:p w14:paraId="32F3BDF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3645" w:type="pct"/>
            <w:noWrap w:val="0"/>
            <w:vAlign w:val="center"/>
          </w:tcPr>
          <w:p w14:paraId="4C7F91F1">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（3）发生公共卫生事件时，邀请专业单位开展消毒、检测等工作。</w:t>
            </w:r>
          </w:p>
        </w:tc>
      </w:tr>
    </w:tbl>
    <w:p w14:paraId="0770FA65">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3.1.5</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绿化服务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765"/>
        <w:gridCol w:w="7242"/>
      </w:tblGrid>
      <w:tr w14:paraId="0327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045CFA8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86" w:type="pct"/>
            <w:noWrap w:val="0"/>
            <w:vAlign w:val="center"/>
          </w:tcPr>
          <w:p w14:paraId="0D03A52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35" w:type="pct"/>
            <w:noWrap w:val="0"/>
            <w:vAlign w:val="center"/>
          </w:tcPr>
          <w:p w14:paraId="10F97CC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0D0F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198232D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886" w:type="pct"/>
            <w:vMerge w:val="restart"/>
            <w:noWrap w:val="0"/>
            <w:vAlign w:val="center"/>
          </w:tcPr>
          <w:p w14:paraId="215E661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基本要求</w:t>
            </w:r>
          </w:p>
        </w:tc>
        <w:tc>
          <w:tcPr>
            <w:tcW w:w="3635" w:type="pct"/>
            <w:noWrap w:val="0"/>
            <w:vAlign w:val="center"/>
          </w:tcPr>
          <w:p w14:paraId="732AD7E4">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（1）制定绿化服务的工作制度及工作计划，并按照执行。</w:t>
            </w:r>
          </w:p>
        </w:tc>
      </w:tr>
      <w:tr w14:paraId="328C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200AD54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6" w:type="pct"/>
            <w:vMerge w:val="continue"/>
            <w:noWrap w:val="0"/>
            <w:vAlign w:val="center"/>
          </w:tcPr>
          <w:p w14:paraId="449A875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5" w:type="pct"/>
            <w:noWrap w:val="0"/>
            <w:vAlign w:val="center"/>
          </w:tcPr>
          <w:p w14:paraId="0793A5C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（2）作业时采取安全防护措施，防止对作业人员或他人造成伤害。</w:t>
            </w:r>
          </w:p>
        </w:tc>
      </w:tr>
      <w:tr w14:paraId="79A0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6C18C22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6" w:type="pct"/>
            <w:vMerge w:val="continue"/>
            <w:noWrap w:val="0"/>
            <w:vAlign w:val="center"/>
          </w:tcPr>
          <w:p w14:paraId="26F3A9D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5" w:type="pct"/>
            <w:noWrap w:val="0"/>
            <w:vAlign w:val="center"/>
          </w:tcPr>
          <w:p w14:paraId="0266ECCC">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（3）相关耗材的环保、安全性应当符合规定要求。</w:t>
            </w:r>
          </w:p>
        </w:tc>
      </w:tr>
      <w:tr w14:paraId="357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2678F51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86" w:type="pct"/>
            <w:noWrap w:val="0"/>
            <w:vAlign w:val="center"/>
          </w:tcPr>
          <w:p w14:paraId="3A6E0CE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室内绿化</w:t>
            </w:r>
          </w:p>
          <w:p w14:paraId="416BA46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养护</w:t>
            </w:r>
          </w:p>
        </w:tc>
        <w:tc>
          <w:tcPr>
            <w:tcW w:w="3635" w:type="pct"/>
            <w:noWrap w:val="0"/>
            <w:vAlign w:val="center"/>
          </w:tcPr>
          <w:p w14:paraId="03A4AAF8">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（1）简单花卉养护维护。根据生长特点每周或每半月至少1次清洁绿植及容器表面，遇节日及重要活动及时摆放绿植盆栽。</w:t>
            </w:r>
          </w:p>
        </w:tc>
      </w:tr>
    </w:tbl>
    <w:p w14:paraId="7D33477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3.1.6</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会议服务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771"/>
        <w:gridCol w:w="7236"/>
      </w:tblGrid>
      <w:tr w14:paraId="4E03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0D9A6C9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89" w:type="pct"/>
            <w:noWrap w:val="0"/>
            <w:vAlign w:val="center"/>
          </w:tcPr>
          <w:p w14:paraId="14683B0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32" w:type="pct"/>
            <w:noWrap w:val="0"/>
            <w:vAlign w:val="center"/>
          </w:tcPr>
          <w:p w14:paraId="4871501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1BF7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restart"/>
            <w:noWrap w:val="0"/>
            <w:vAlign w:val="center"/>
          </w:tcPr>
          <w:p w14:paraId="36CBE2D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889" w:type="pct"/>
            <w:vMerge w:val="restart"/>
            <w:noWrap w:val="0"/>
            <w:vAlign w:val="center"/>
          </w:tcPr>
          <w:p w14:paraId="5ECFB3C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会务服务</w:t>
            </w:r>
          </w:p>
          <w:p w14:paraId="575A6F5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内容</w:t>
            </w:r>
          </w:p>
        </w:tc>
        <w:tc>
          <w:tcPr>
            <w:tcW w:w="3632" w:type="pct"/>
            <w:noWrap w:val="0"/>
            <w:vAlign w:val="center"/>
          </w:tcPr>
          <w:p w14:paraId="7B4F016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（1）会议日常服务及领导办公室报刊发放。</w:t>
            </w:r>
          </w:p>
        </w:tc>
      </w:tr>
      <w:tr w14:paraId="394E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570432C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9" w:type="pct"/>
            <w:vMerge w:val="continue"/>
            <w:noWrap w:val="0"/>
            <w:vAlign w:val="center"/>
          </w:tcPr>
          <w:p w14:paraId="2D004C7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2" w:type="pct"/>
            <w:noWrap w:val="0"/>
            <w:vAlign w:val="center"/>
          </w:tcPr>
          <w:p w14:paraId="79689CD5">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（2）会议桌签摆放、茶水服务、设备开启及简单操作。</w:t>
            </w:r>
          </w:p>
        </w:tc>
      </w:tr>
      <w:tr w14:paraId="2B41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70E5121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9" w:type="pct"/>
            <w:vMerge w:val="continue"/>
            <w:noWrap w:val="0"/>
            <w:vAlign w:val="center"/>
          </w:tcPr>
          <w:p w14:paraId="0CA7B08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2" w:type="pct"/>
            <w:noWrap w:val="0"/>
            <w:vAlign w:val="center"/>
          </w:tcPr>
          <w:p w14:paraId="7716E573">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（3）会议室内物品保管维护，上报需要采购、维修的物品。</w:t>
            </w:r>
          </w:p>
        </w:tc>
      </w:tr>
      <w:tr w14:paraId="4B9E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3749E3D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9" w:type="pct"/>
            <w:vMerge w:val="continue"/>
            <w:noWrap w:val="0"/>
            <w:vAlign w:val="center"/>
          </w:tcPr>
          <w:p w14:paraId="2B74D12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2" w:type="pct"/>
            <w:noWrap w:val="0"/>
            <w:vAlign w:val="center"/>
          </w:tcPr>
          <w:p w14:paraId="2307BC17">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（4）会议室安全生产管理，会后及时关闭设施设备，光源、门窗，会议室物品规整。</w:t>
            </w:r>
          </w:p>
        </w:tc>
      </w:tr>
      <w:tr w14:paraId="13A9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Merge w:val="continue"/>
            <w:noWrap w:val="0"/>
            <w:vAlign w:val="center"/>
          </w:tcPr>
          <w:p w14:paraId="1A76213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889" w:type="pct"/>
            <w:vMerge w:val="continue"/>
            <w:noWrap w:val="0"/>
            <w:vAlign w:val="center"/>
          </w:tcPr>
          <w:p w14:paraId="756A6BC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2" w:type="pct"/>
            <w:noWrap w:val="0"/>
            <w:vAlign w:val="center"/>
          </w:tcPr>
          <w:p w14:paraId="279D8F5B">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（5）会议过程中突发事项的处理。</w:t>
            </w:r>
          </w:p>
        </w:tc>
      </w:tr>
    </w:tbl>
    <w:p w14:paraId="50FFF652">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3.1.7</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其他服务</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771"/>
        <w:gridCol w:w="7238"/>
      </w:tblGrid>
      <w:tr w14:paraId="22B4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39D718D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889" w:type="pct"/>
            <w:noWrap w:val="0"/>
            <w:vAlign w:val="center"/>
          </w:tcPr>
          <w:p w14:paraId="78AA2F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3633" w:type="pct"/>
            <w:noWrap w:val="0"/>
            <w:vAlign w:val="center"/>
          </w:tcPr>
          <w:p w14:paraId="57BCB74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0DC9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0B8B09A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889" w:type="pct"/>
            <w:vMerge w:val="restart"/>
            <w:noWrap w:val="0"/>
            <w:vAlign w:val="center"/>
          </w:tcPr>
          <w:p w14:paraId="2E6D97D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其他服务</w:t>
            </w:r>
          </w:p>
        </w:tc>
        <w:tc>
          <w:tcPr>
            <w:tcW w:w="3633" w:type="pct"/>
            <w:noWrap w:val="0"/>
            <w:vAlign w:val="center"/>
          </w:tcPr>
          <w:p w14:paraId="2B021DFF">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（1）楼内设施（设备）及物品的少量简易搬运服务，大件或大批量搬运由甲方负责。</w:t>
            </w:r>
          </w:p>
        </w:tc>
      </w:tr>
      <w:tr w14:paraId="07D8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0147A04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89" w:type="pct"/>
            <w:vMerge w:val="continue"/>
            <w:noWrap w:val="0"/>
            <w:vAlign w:val="center"/>
          </w:tcPr>
          <w:p w14:paraId="0DBAED2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3633" w:type="pct"/>
            <w:noWrap w:val="0"/>
            <w:vAlign w:val="center"/>
          </w:tcPr>
          <w:p w14:paraId="638E3572">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（2）要与安保、消防运行协调配合，积极做好相关工作。</w:t>
            </w:r>
          </w:p>
        </w:tc>
      </w:tr>
    </w:tbl>
    <w:p w14:paraId="65AC4BB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r>
        <w:rPr>
          <w:rFonts w:hint="eastAsia" w:hAnsi="宋体" w:cs="宋体"/>
          <w:b w:val="0"/>
          <w:bCs w:val="0"/>
          <w:color w:val="auto"/>
          <w:sz w:val="24"/>
          <w:szCs w:val="24"/>
          <w:u w:val="none" w:color="auto"/>
        </w:rPr>
        <w:t>　</w:t>
      </w:r>
      <w:r>
        <w:rPr>
          <w:rFonts w:hint="eastAsia" w:hAnsi="宋体" w:cs="宋体"/>
          <w:b w:val="0"/>
          <w:bCs w:val="0"/>
          <w:color w:val="auto"/>
          <w:sz w:val="24"/>
          <w:szCs w:val="24"/>
          <w:u w:val="none" w:color="auto"/>
          <w:lang w:val="en-US" w:eastAsia="zh-CN"/>
        </w:rPr>
        <w:t>人员配置要求</w:t>
      </w:r>
    </w:p>
    <w:p w14:paraId="427BC33E">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岗位人员配置</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844"/>
        <w:gridCol w:w="2227"/>
        <w:gridCol w:w="3211"/>
      </w:tblGrid>
      <w:tr w14:paraId="75E5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pct"/>
            <w:noWrap w:val="0"/>
            <w:vAlign w:val="center"/>
          </w:tcPr>
          <w:p w14:paraId="26110D9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部门职能</w:t>
            </w:r>
          </w:p>
        </w:tc>
        <w:tc>
          <w:tcPr>
            <w:tcW w:w="1427" w:type="pct"/>
            <w:noWrap w:val="0"/>
            <w:vAlign w:val="center"/>
          </w:tcPr>
          <w:p w14:paraId="3D57E8D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岗位</w:t>
            </w:r>
          </w:p>
        </w:tc>
        <w:tc>
          <w:tcPr>
            <w:tcW w:w="1118" w:type="pct"/>
            <w:noWrap w:val="0"/>
            <w:vAlign w:val="center"/>
          </w:tcPr>
          <w:p w14:paraId="4281523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岗位所需人数</w:t>
            </w:r>
          </w:p>
        </w:tc>
        <w:tc>
          <w:tcPr>
            <w:tcW w:w="1612" w:type="pct"/>
            <w:noWrap w:val="0"/>
            <w:vAlign w:val="center"/>
          </w:tcPr>
          <w:p w14:paraId="479EB9D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14:paraId="2962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pct"/>
            <w:noWrap w:val="0"/>
            <w:vAlign w:val="center"/>
          </w:tcPr>
          <w:p w14:paraId="1A64E73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管理</w:t>
            </w:r>
          </w:p>
        </w:tc>
        <w:tc>
          <w:tcPr>
            <w:tcW w:w="1427" w:type="pct"/>
            <w:noWrap w:val="0"/>
            <w:vAlign w:val="center"/>
          </w:tcPr>
          <w:p w14:paraId="61D849C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lang w:val="en-US" w:eastAsia="zh-CN"/>
              </w:rPr>
              <w:t>经理</w:t>
            </w:r>
          </w:p>
        </w:tc>
        <w:tc>
          <w:tcPr>
            <w:tcW w:w="1118" w:type="pct"/>
            <w:noWrap w:val="0"/>
            <w:vAlign w:val="center"/>
          </w:tcPr>
          <w:p w14:paraId="691E030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612" w:type="pct"/>
            <w:noWrap w:val="0"/>
            <w:vAlign w:val="center"/>
          </w:tcPr>
          <w:p w14:paraId="20B1E87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r>
      <w:tr w14:paraId="1CD4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pct"/>
            <w:noWrap w:val="0"/>
            <w:vAlign w:val="center"/>
          </w:tcPr>
          <w:p w14:paraId="17EBD02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工程服务</w:t>
            </w:r>
          </w:p>
        </w:tc>
        <w:tc>
          <w:tcPr>
            <w:tcW w:w="1427" w:type="pct"/>
            <w:noWrap w:val="0"/>
            <w:vAlign w:val="center"/>
          </w:tcPr>
          <w:p w14:paraId="6514FE8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综合维修岗</w:t>
            </w:r>
          </w:p>
        </w:tc>
        <w:tc>
          <w:tcPr>
            <w:tcW w:w="1118" w:type="pct"/>
            <w:noWrap w:val="0"/>
            <w:vAlign w:val="center"/>
          </w:tcPr>
          <w:p w14:paraId="506FC82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612" w:type="pct"/>
            <w:noWrap w:val="0"/>
            <w:vAlign w:val="center"/>
          </w:tcPr>
          <w:p w14:paraId="543BF53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持证上岗</w:t>
            </w:r>
          </w:p>
        </w:tc>
      </w:tr>
      <w:tr w14:paraId="7A11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pct"/>
            <w:vMerge w:val="restart"/>
            <w:noWrap w:val="0"/>
            <w:vAlign w:val="center"/>
          </w:tcPr>
          <w:p w14:paraId="6BBF59E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卫生保洁</w:t>
            </w:r>
          </w:p>
        </w:tc>
        <w:tc>
          <w:tcPr>
            <w:tcW w:w="1427" w:type="pct"/>
            <w:noWrap w:val="0"/>
            <w:vAlign w:val="center"/>
          </w:tcPr>
          <w:p w14:paraId="1D1CDD3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领班</w:t>
            </w:r>
          </w:p>
        </w:tc>
        <w:tc>
          <w:tcPr>
            <w:tcW w:w="1118" w:type="pct"/>
            <w:noWrap w:val="0"/>
            <w:vAlign w:val="center"/>
          </w:tcPr>
          <w:p w14:paraId="691591D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612" w:type="pct"/>
            <w:vMerge w:val="restart"/>
            <w:noWrap w:val="0"/>
            <w:vAlign w:val="center"/>
          </w:tcPr>
          <w:p w14:paraId="6233162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14:paraId="47F6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pct"/>
            <w:vMerge w:val="continue"/>
            <w:noWrap w:val="0"/>
            <w:vAlign w:val="center"/>
          </w:tcPr>
          <w:p w14:paraId="4D1FA146">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1427" w:type="pct"/>
            <w:noWrap w:val="0"/>
            <w:vAlign w:val="center"/>
          </w:tcPr>
          <w:p w14:paraId="646FA40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保洁员</w:t>
            </w:r>
          </w:p>
        </w:tc>
        <w:tc>
          <w:tcPr>
            <w:tcW w:w="1118" w:type="pct"/>
            <w:noWrap w:val="0"/>
            <w:vAlign w:val="center"/>
          </w:tcPr>
          <w:p w14:paraId="62378D5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612" w:type="pct"/>
            <w:vMerge w:val="continue"/>
            <w:noWrap w:val="0"/>
            <w:vAlign w:val="center"/>
          </w:tcPr>
          <w:p w14:paraId="03AB6B2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14:paraId="4652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pct"/>
            <w:noWrap w:val="0"/>
            <w:vAlign w:val="center"/>
          </w:tcPr>
          <w:p w14:paraId="61C3B30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会议服务</w:t>
            </w:r>
          </w:p>
        </w:tc>
        <w:tc>
          <w:tcPr>
            <w:tcW w:w="1427" w:type="pct"/>
            <w:noWrap w:val="0"/>
            <w:vAlign w:val="center"/>
          </w:tcPr>
          <w:p w14:paraId="4FCAF1E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会务</w:t>
            </w:r>
            <w:r>
              <w:rPr>
                <w:rFonts w:hint="eastAsia" w:asciiTheme="minorEastAsia" w:hAnsiTheme="minorEastAsia" w:eastAsiaTheme="minorEastAsia" w:cstheme="minorEastAsia"/>
                <w:color w:val="auto"/>
                <w:sz w:val="24"/>
                <w:szCs w:val="24"/>
                <w:highlight w:val="none"/>
                <w:lang w:val="en-US" w:eastAsia="zh-CN"/>
              </w:rPr>
              <w:t>岗</w:t>
            </w:r>
          </w:p>
        </w:tc>
        <w:tc>
          <w:tcPr>
            <w:tcW w:w="1118" w:type="pct"/>
            <w:noWrap w:val="0"/>
            <w:vAlign w:val="center"/>
          </w:tcPr>
          <w:p w14:paraId="43B45C0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612" w:type="pct"/>
            <w:noWrap w:val="0"/>
            <w:vAlign w:val="center"/>
          </w:tcPr>
          <w:p w14:paraId="79A996F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14:paraId="25E8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9" w:type="pct"/>
            <w:gridSpan w:val="2"/>
            <w:noWrap w:val="0"/>
            <w:vAlign w:val="center"/>
          </w:tcPr>
          <w:p w14:paraId="445519AC">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合计</w:t>
            </w:r>
          </w:p>
        </w:tc>
        <w:tc>
          <w:tcPr>
            <w:tcW w:w="1118" w:type="pct"/>
            <w:noWrap w:val="0"/>
            <w:vAlign w:val="center"/>
          </w:tcPr>
          <w:p w14:paraId="4E4C9B3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612" w:type="pct"/>
            <w:noWrap w:val="0"/>
            <w:vAlign w:val="center"/>
          </w:tcPr>
          <w:p w14:paraId="5C3BE62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bl>
    <w:p w14:paraId="57D73C56">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注：乙方</w:t>
      </w:r>
      <w:r>
        <w:rPr>
          <w:rFonts w:hint="eastAsia" w:asciiTheme="minorEastAsia" w:hAnsiTheme="minorEastAsia" w:eastAsiaTheme="minorEastAsia" w:cstheme="minorEastAsia"/>
          <w:color w:val="auto"/>
          <w:sz w:val="24"/>
          <w:szCs w:val="24"/>
          <w:highlight w:val="none"/>
          <w:lang w:eastAsia="zh-CN"/>
        </w:rPr>
        <w:t>应当按国家相关法律法规，合理确定服务人员工资标准、工作时间等。</w:t>
      </w:r>
    </w:p>
    <w:p w14:paraId="4359A5BB">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w:t>
      </w:r>
      <w:r>
        <w:rPr>
          <w:rFonts w:hint="eastAsia" w:hAnsi="宋体" w:cs="宋体"/>
          <w:color w:val="auto"/>
          <w:sz w:val="24"/>
          <w:szCs w:val="24"/>
          <w:u w:val="none" w:color="auto"/>
        </w:rPr>
        <w:t>　</w:t>
      </w:r>
      <w:r>
        <w:rPr>
          <w:rFonts w:hint="eastAsia" w:asciiTheme="minorEastAsia" w:hAnsiTheme="minorEastAsia" w:eastAsiaTheme="minorEastAsia" w:cstheme="minorEastAsia"/>
          <w:color w:val="auto"/>
          <w:sz w:val="24"/>
          <w:szCs w:val="24"/>
          <w:highlight w:val="none"/>
          <w:lang w:val="en-US" w:eastAsia="zh-CN"/>
        </w:rPr>
        <w:t>其他要求</w:t>
      </w:r>
    </w:p>
    <w:p w14:paraId="1C775733">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不得随意调整、更换项目负责人员。如有调整或更换,应提前告知甲方或物业使用人，并取得甲方或物业使用人同意。未经甲方或物业使用人书面同意，乙方不得私自更换项目负责人（主动辞职或甲方、物业使用人主动要求除外）；</w:t>
      </w:r>
    </w:p>
    <w:p w14:paraId="310A9ACB">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（2）乙方为本项目配备的工作人员不得有犯罪记录；</w:t>
      </w:r>
    </w:p>
    <w:p w14:paraId="20FFAE35">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（3）乙方应定期对员工进行岗位培训，不断提高员工服务技能；员工有较强的服务责任、保密意识以及稳定性；</w:t>
      </w:r>
    </w:p>
    <w:p w14:paraId="35FE405D">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（4）乙方所有员工身体健康，无传染病、精神病和不良癖好；</w:t>
      </w:r>
    </w:p>
    <w:p w14:paraId="4A8C743F">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（5）要加强员工队伍形象建设，要教育员工文明用语、礼貌待人，同时所有员工须统一着装；</w:t>
      </w:r>
    </w:p>
    <w:p w14:paraId="1088EE43">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（6）要对员工进行岗前培训，要加强员工的教育和培养，不断提高员工队伍的整体素质，进而提升服务质量；</w:t>
      </w:r>
    </w:p>
    <w:p w14:paraId="755E295A">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乙方所有员工应服从楼内治安管理，并自觉遵守相关法律法规和楼内管理制度。乙方员工出现违反法律、法规和党群有关规定的行为，乙方须进行处理、解决，承担由此带来的后果，防止类似事件再次发生；</w:t>
      </w:r>
    </w:p>
    <w:p w14:paraId="177659E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（8）乙方必须按有关法律和政策规定，为员工参加社会保险；</w:t>
      </w:r>
    </w:p>
    <w:p w14:paraId="019DD2E0">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（9）乙方与所聘用员工之间发生劳动、劳务纠纷等均由乙方自行负责。</w:t>
      </w:r>
    </w:p>
    <w:p w14:paraId="58231417">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4.知识产权</w:t>
      </w:r>
    </w:p>
    <w:p w14:paraId="0F88C152">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4.1　乙方应保证所提供的服务免受第三方提出侵犯其知识产权(专利权、商标权、版权等)的起诉。因侵害他人知识产权而产生的法律责任，全部由</w:t>
      </w:r>
      <w:r>
        <w:rPr>
          <w:rFonts w:hint="eastAsia" w:hAnsi="宋体" w:cs="宋体"/>
          <w:color w:val="auto"/>
          <w:sz w:val="24"/>
          <w:szCs w:val="24"/>
          <w:u w:val="none" w:color="auto"/>
          <w:lang w:eastAsia="zh-CN"/>
        </w:rPr>
        <w:t>乙方</w:t>
      </w:r>
      <w:r>
        <w:rPr>
          <w:rFonts w:hint="eastAsia" w:hAnsi="宋体" w:cs="宋体"/>
          <w:color w:val="auto"/>
          <w:sz w:val="24"/>
          <w:szCs w:val="24"/>
          <w:u w:val="none" w:color="auto"/>
        </w:rPr>
        <w:t>承担。</w:t>
      </w:r>
    </w:p>
    <w:p w14:paraId="570B0F4C">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4.2　甲方委托乙方开发的产品，甲方享有知识产权，未经甲方许可不得转让任何第三人。</w:t>
      </w:r>
    </w:p>
    <w:p w14:paraId="2EF98452">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5.保密条款</w:t>
      </w:r>
    </w:p>
    <w:p w14:paraId="0A1A4D4C">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5.1　甲乙双方应对在本合同签订或履行过程中所接触的对方信息，包括但不限于知识产权、技术资料、技术诀窍、内部管理及其他相关信息，负有保密义务。</w:t>
      </w:r>
    </w:p>
    <w:p w14:paraId="453CD4C6">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0F5AF37A">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(1)应以审慎态度避免泄露、公开或传播甲方的信息；</w:t>
      </w:r>
    </w:p>
    <w:p w14:paraId="4C762BD1">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(2)未经甲方书面许可，不得对有关信息进行修改、补充、复制；</w:t>
      </w:r>
    </w:p>
    <w:p w14:paraId="2FC3D93C">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(3)未经甲方书面许可，不得将信息以任何方式(如E－mail)携带出甲方场所；</w:t>
      </w:r>
    </w:p>
    <w:p w14:paraId="4C53A58B">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(4)未经甲方书面许可，不得将信息透露给任何其他人；</w:t>
      </w:r>
    </w:p>
    <w:p w14:paraId="7709D6A0">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(5)甲方以书面形式提出的其他保密措施。</w:t>
      </w:r>
    </w:p>
    <w:p w14:paraId="3E297D56">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(6)乙方如发生泄漏信息行为，泄露信息未达刑法标准的，每次向甲方付1万元违约金；达到刑法标准的每次向甲方付10万元违约金，并承担相应刑事责任。</w:t>
      </w:r>
    </w:p>
    <w:p w14:paraId="54E579DF">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5.3　保密期限不受合同有效期的限制，在合同有效期结束后，信息接受方仍应承担保密义务，直至该等信息成为公开信息。</w:t>
      </w:r>
    </w:p>
    <w:p w14:paraId="15108629">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5.4　甲乙双方如出现泄密行为，泄密方应承担相关的法律责任，包括但是不限于对由此给对方造成的经济损失进行赔偿。</w:t>
      </w:r>
    </w:p>
    <w:p w14:paraId="64B0C51A">
      <w:pPr>
        <w:pStyle w:val="33"/>
        <w:spacing w:line="500" w:lineRule="exact"/>
        <w:ind w:firstLine="482" w:firstLineChars="200"/>
        <w:rPr>
          <w:rFonts w:hint="eastAsia" w:hAnsi="宋体" w:eastAsia="宋体" w:cs="宋体"/>
          <w:b/>
          <w:bCs/>
          <w:color w:val="auto"/>
          <w:sz w:val="24"/>
          <w:szCs w:val="24"/>
          <w:u w:val="none" w:color="auto"/>
          <w:lang w:val="en-US" w:eastAsia="zh-CN"/>
        </w:rPr>
      </w:pPr>
      <w:r>
        <w:rPr>
          <w:rFonts w:hint="eastAsia" w:hAnsi="宋体" w:cs="宋体"/>
          <w:b/>
          <w:bCs/>
          <w:color w:val="auto"/>
          <w:sz w:val="24"/>
          <w:szCs w:val="24"/>
          <w:u w:val="none" w:color="auto"/>
        </w:rPr>
        <w:t>6.服务质量保证</w:t>
      </w:r>
    </w:p>
    <w:p w14:paraId="6AB8DE91">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6.1　乙方应保证所提供的服务，符合合同规定的技术要求。如不符时，乙方应负全责并尽快处理解决，由此造成的损失和相关费用由乙方负责，甲方保留终止合同及索赔的权利。</w:t>
      </w:r>
    </w:p>
    <w:p w14:paraId="011F6683">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6.2　乙方应保证通过执行合同中全部方案后，可以取得本合同规定的结果，达到本合同规定的预期目标。对任何情况下出现问题的，应尽快提出解决方案。</w:t>
      </w:r>
    </w:p>
    <w:p w14:paraId="633DA13F">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6.3　如果乙方提供的服务和解决方案不符合甲方要求，或在规定的时间内没有弥补缺陷，甲方有权采取一切必要的补救措施，由此产生的费用全部由乙方负责。</w:t>
      </w:r>
    </w:p>
    <w:p w14:paraId="6FEDCE19">
      <w:pPr>
        <w:pStyle w:val="33"/>
        <w:spacing w:line="500" w:lineRule="exact"/>
        <w:ind w:firstLine="482" w:firstLineChars="200"/>
        <w:rPr>
          <w:rFonts w:hAnsi="宋体" w:cs="宋体"/>
          <w:b w:val="0"/>
          <w:bCs w:val="0"/>
          <w:color w:val="auto"/>
          <w:sz w:val="24"/>
          <w:szCs w:val="24"/>
          <w:u w:val="none" w:color="auto"/>
        </w:rPr>
      </w:pPr>
      <w:r>
        <w:rPr>
          <w:rFonts w:hint="eastAsia" w:hAnsi="宋体" w:cs="宋体"/>
          <w:b/>
          <w:bCs/>
          <w:color w:val="auto"/>
          <w:sz w:val="24"/>
          <w:szCs w:val="24"/>
          <w:u w:val="none" w:color="auto"/>
        </w:rPr>
        <w:t>7.履约保证金</w:t>
      </w:r>
      <w:r>
        <w:rPr>
          <w:rFonts w:hint="eastAsia" w:hAnsi="宋体" w:cs="宋体"/>
          <w:b w:val="0"/>
          <w:bCs w:val="0"/>
          <w:color w:val="auto"/>
          <w:sz w:val="24"/>
          <w:szCs w:val="24"/>
          <w:u w:val="none" w:color="auto"/>
        </w:rPr>
        <w:t>　</w:t>
      </w:r>
    </w:p>
    <w:p w14:paraId="158092F1">
      <w:pPr>
        <w:pStyle w:val="33"/>
        <w:spacing w:line="500" w:lineRule="exact"/>
        <w:ind w:firstLine="480" w:firstLineChars="200"/>
        <w:rPr>
          <w:rFonts w:hAnsi="宋体" w:cs="宋体"/>
          <w:b w:val="0"/>
          <w:bCs w:val="0"/>
          <w:color w:val="auto"/>
          <w:sz w:val="24"/>
          <w:szCs w:val="24"/>
          <w:u w:val="none" w:color="auto"/>
        </w:rPr>
      </w:pPr>
      <w:r>
        <w:rPr>
          <w:rFonts w:hint="eastAsia" w:hAnsi="宋体" w:cs="宋体"/>
          <w:b w:val="0"/>
          <w:bCs w:val="0"/>
          <w:color w:val="auto"/>
          <w:sz w:val="24"/>
          <w:szCs w:val="24"/>
          <w:u w:val="none" w:color="auto"/>
        </w:rPr>
        <w:t>7.</w:t>
      </w:r>
      <w:r>
        <w:rPr>
          <w:rFonts w:hint="eastAsia" w:hAnsi="宋体" w:cs="宋体"/>
          <w:b w:val="0"/>
          <w:bCs w:val="0"/>
          <w:color w:val="auto"/>
          <w:sz w:val="24"/>
          <w:szCs w:val="24"/>
          <w:u w:val="none" w:color="auto"/>
          <w:lang w:val="en-US" w:eastAsia="zh-CN"/>
        </w:rPr>
        <w:t>1</w:t>
      </w:r>
      <w:r>
        <w:rPr>
          <w:rFonts w:hint="eastAsia" w:hAnsi="宋体" w:cs="宋体"/>
          <w:b w:val="0"/>
          <w:bCs w:val="0"/>
          <w:color w:val="auto"/>
          <w:sz w:val="24"/>
          <w:szCs w:val="24"/>
          <w:u w:val="none" w:color="auto"/>
        </w:rPr>
        <w:t>　履约保证金具体金额及返还要求见</w:t>
      </w:r>
      <w:r>
        <w:rPr>
          <w:rFonts w:hint="eastAsia" w:hAnsi="宋体" w:cs="宋体"/>
          <w:b/>
          <w:bCs/>
          <w:color w:val="auto"/>
          <w:sz w:val="24"/>
          <w:szCs w:val="24"/>
          <w:u w:val="none" w:color="auto"/>
        </w:rPr>
        <w:t>合同条款前附表</w:t>
      </w:r>
      <w:r>
        <w:rPr>
          <w:rFonts w:hint="eastAsia" w:hAnsi="宋体" w:cs="宋体"/>
          <w:b w:val="0"/>
          <w:bCs w:val="0"/>
          <w:color w:val="auto"/>
          <w:sz w:val="24"/>
          <w:szCs w:val="24"/>
          <w:u w:val="none" w:color="auto"/>
        </w:rPr>
        <w:t>。</w:t>
      </w:r>
    </w:p>
    <w:p w14:paraId="42E396E8">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8.服务时间、地点与验收</w:t>
      </w:r>
    </w:p>
    <w:p w14:paraId="295332EE">
      <w:pPr>
        <w:pStyle w:val="33"/>
        <w:spacing w:line="500" w:lineRule="exact"/>
        <w:ind w:firstLine="480" w:firstLineChars="200"/>
        <w:rPr>
          <w:rFonts w:hint="eastAsia" w:hAnsi="宋体" w:cs="宋体"/>
          <w:color w:val="auto"/>
          <w:sz w:val="24"/>
          <w:szCs w:val="24"/>
          <w:u w:val="none" w:color="auto"/>
        </w:rPr>
      </w:pPr>
      <w:r>
        <w:rPr>
          <w:rFonts w:hint="eastAsia" w:hAnsi="宋体" w:cs="宋体"/>
          <w:color w:val="auto"/>
          <w:sz w:val="24"/>
          <w:szCs w:val="24"/>
          <w:u w:val="none" w:color="auto"/>
        </w:rPr>
        <w:t>8.1　服务地点：合同条款前附表指定地点。</w:t>
      </w:r>
    </w:p>
    <w:p w14:paraId="3F566774">
      <w:pPr>
        <w:pStyle w:val="33"/>
        <w:spacing w:line="500" w:lineRule="exact"/>
        <w:ind w:firstLine="480" w:firstLineChars="200"/>
        <w:rPr>
          <w:rFonts w:hint="eastAsia" w:hAnsi="宋体" w:cs="宋体"/>
          <w:color w:val="auto"/>
          <w:sz w:val="24"/>
          <w:szCs w:val="24"/>
          <w:u w:val="none" w:color="auto"/>
        </w:rPr>
      </w:pPr>
      <w:r>
        <w:rPr>
          <w:rFonts w:hint="eastAsia" w:hAnsi="宋体" w:cs="宋体"/>
          <w:color w:val="auto"/>
          <w:sz w:val="24"/>
          <w:szCs w:val="24"/>
          <w:u w:val="none" w:color="auto"/>
        </w:rPr>
        <w:t>8.2　服务时间：合同条款前附表指定时间。</w:t>
      </w:r>
    </w:p>
    <w:p w14:paraId="6670CB43">
      <w:pPr>
        <w:pStyle w:val="33"/>
        <w:spacing w:line="500" w:lineRule="exact"/>
        <w:ind w:firstLine="480" w:firstLineChars="200"/>
        <w:rPr>
          <w:rFonts w:hint="eastAsia" w:hAnsi="宋体" w:cs="宋体"/>
          <w:color w:val="auto"/>
          <w:sz w:val="24"/>
          <w:szCs w:val="24"/>
          <w:u w:val="none" w:color="auto"/>
          <w:lang w:val="en-US" w:eastAsia="zh-CN"/>
        </w:rPr>
      </w:pPr>
      <w:r>
        <w:rPr>
          <w:rFonts w:hint="eastAsia" w:hAnsi="宋体" w:cs="宋体"/>
          <w:color w:val="auto"/>
          <w:sz w:val="24"/>
          <w:szCs w:val="24"/>
          <w:u w:val="none" w:color="auto"/>
          <w:lang w:val="en-US" w:eastAsia="zh-CN"/>
        </w:rPr>
        <w:t>8.3</w:t>
      </w:r>
      <w:r>
        <w:rPr>
          <w:rFonts w:hint="eastAsia" w:hAnsi="宋体" w:cs="宋体"/>
          <w:color w:val="auto"/>
          <w:sz w:val="24"/>
          <w:szCs w:val="24"/>
          <w:u w:val="none" w:color="auto"/>
        </w:rPr>
        <w:t>　甲方应在乙方完成相关服务工作后及时对服务质量、技术指标、服务成果进行验收。</w:t>
      </w:r>
      <w:r>
        <w:rPr>
          <w:rFonts w:hint="eastAsia" w:hAnsi="宋体" w:cs="宋体"/>
          <w:color w:val="auto"/>
          <w:sz w:val="24"/>
          <w:szCs w:val="24"/>
          <w:u w:val="none" w:color="auto"/>
          <w:lang w:val="en-US" w:eastAsia="zh-CN"/>
        </w:rPr>
        <w:t>验收标准与要求如下：</w:t>
      </w:r>
    </w:p>
    <w:p w14:paraId="454ECD7D">
      <w:pPr>
        <w:pStyle w:val="33"/>
        <w:spacing w:line="500" w:lineRule="exact"/>
        <w:ind w:firstLine="480" w:firstLineChars="200"/>
        <w:rPr>
          <w:rFonts w:hint="eastAsia" w:hAnsi="宋体" w:cs="宋体"/>
          <w:color w:val="auto"/>
          <w:sz w:val="24"/>
          <w:szCs w:val="24"/>
          <w:u w:val="none" w:color="auto"/>
          <w:lang w:val="en-US" w:eastAsia="zh-CN"/>
        </w:rPr>
      </w:pPr>
      <w:r>
        <w:rPr>
          <w:rFonts w:hint="eastAsia" w:hAnsi="宋体" w:cs="宋体"/>
          <w:color w:val="auto"/>
          <w:sz w:val="24"/>
          <w:szCs w:val="24"/>
          <w:u w:val="none" w:color="auto"/>
          <w:lang w:val="en-US" w:eastAsia="zh-CN"/>
        </w:rPr>
        <w:t>（1）乙方按约定，定期给甲方提交服务报告，合同期满或者履行完毕后，甲方根据合同条款的约定对服务期内的服务实施具体情况进行年度考核评价，根据年度考核评价分数进行验收。</w:t>
      </w:r>
    </w:p>
    <w:p w14:paraId="6E1EFC6A">
      <w:pPr>
        <w:pStyle w:val="33"/>
        <w:spacing w:line="500" w:lineRule="exact"/>
        <w:ind w:firstLine="480" w:firstLineChars="200"/>
        <w:rPr>
          <w:rFonts w:hint="eastAsia" w:hAnsi="宋体" w:cs="宋体"/>
          <w:color w:val="auto"/>
          <w:sz w:val="24"/>
          <w:szCs w:val="24"/>
          <w:u w:val="none" w:color="auto"/>
          <w:lang w:val="en-US" w:eastAsia="zh-CN"/>
        </w:rPr>
      </w:pPr>
      <w:r>
        <w:rPr>
          <w:rFonts w:hint="eastAsia" w:hAnsi="宋体" w:cs="宋体"/>
          <w:color w:val="auto"/>
          <w:sz w:val="24"/>
          <w:szCs w:val="24"/>
          <w:u w:val="none" w:color="auto"/>
          <w:lang w:val="en-US" w:eastAsia="zh-CN"/>
        </w:rPr>
        <w:t>年度考核评价方案采用百分制评分方式，总分≥80分为合格，60-79分为基本合格（需限期整改），＜60分为不合格。验收合格，甲乙双方按照合同约定支付物业管理服务费用，继续履行合同。基本合格：乙方须在规定期限内完成整改并通过复核后，甲方支付相应服务费用；若整改后仍未达标或超期完成整改，甲方可根据合同前附表</w:t>
      </w:r>
      <w:r>
        <w:rPr>
          <w:rFonts w:hint="eastAsia" w:hAnsi="宋体" w:cs="宋体"/>
          <w:color w:val="auto"/>
          <w:sz w:val="24"/>
          <w:szCs w:val="24"/>
          <w:u w:val="none" w:color="auto"/>
        </w:rPr>
        <w:t>11</w:t>
      </w:r>
      <w:r>
        <w:rPr>
          <w:rFonts w:hint="eastAsia" w:hAnsi="宋体" w:cs="宋体"/>
          <w:color w:val="auto"/>
          <w:sz w:val="24"/>
          <w:szCs w:val="24"/>
          <w:u w:val="none" w:color="auto"/>
          <w:lang w:val="en-US" w:eastAsia="zh-CN"/>
        </w:rPr>
        <w:t>.</w:t>
      </w:r>
      <w:r>
        <w:rPr>
          <w:rFonts w:hint="eastAsia" w:hAnsi="宋体" w:cs="宋体"/>
          <w:color w:val="auto"/>
          <w:sz w:val="24"/>
          <w:szCs w:val="24"/>
          <w:u w:val="none" w:color="auto"/>
        </w:rPr>
        <w:t>误期赔偿费约定</w:t>
      </w:r>
      <w:r>
        <w:rPr>
          <w:rFonts w:hint="eastAsia" w:hAnsi="宋体" w:cs="宋体"/>
          <w:color w:val="auto"/>
          <w:sz w:val="24"/>
          <w:szCs w:val="24"/>
          <w:u w:val="none" w:color="auto"/>
          <w:lang w:val="en-US" w:eastAsia="zh-CN"/>
        </w:rPr>
        <w:t>内容，要求乙方承担违约责任。验收不合格：甲方有权根据合同约定解除合同，要求乙方承担违约责任，同时启动重新采购程序。</w:t>
      </w:r>
    </w:p>
    <w:p w14:paraId="4C665577">
      <w:pPr>
        <w:pStyle w:val="33"/>
        <w:spacing w:line="500" w:lineRule="exact"/>
        <w:ind w:firstLine="480" w:firstLineChars="200"/>
        <w:rPr>
          <w:rFonts w:hint="default" w:hAnsi="宋体" w:cs="宋体"/>
          <w:color w:val="auto"/>
          <w:sz w:val="24"/>
          <w:szCs w:val="24"/>
          <w:u w:val="none" w:color="auto"/>
          <w:lang w:val="en-US" w:eastAsia="zh-CN"/>
        </w:rPr>
      </w:pPr>
      <w:r>
        <w:rPr>
          <w:rFonts w:hint="eastAsia" w:hAnsi="宋体" w:cs="宋体"/>
          <w:color w:val="auto"/>
          <w:sz w:val="24"/>
          <w:szCs w:val="24"/>
          <w:u w:val="none" w:color="auto"/>
          <w:lang w:val="en-US" w:eastAsia="zh-CN"/>
        </w:rPr>
        <w:t>具体评分标准如下：</w:t>
      </w:r>
    </w:p>
    <w:tbl>
      <w:tblPr>
        <w:tblStyle w:val="6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403"/>
        <w:gridCol w:w="2423"/>
        <w:gridCol w:w="3166"/>
      </w:tblGrid>
      <w:tr w14:paraId="33ED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7" w:type="pct"/>
            <w:noWrap w:val="0"/>
            <w:vAlign w:val="center"/>
          </w:tcPr>
          <w:p w14:paraId="343169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验收类别</w:t>
            </w:r>
          </w:p>
        </w:tc>
        <w:tc>
          <w:tcPr>
            <w:tcW w:w="1206" w:type="pct"/>
            <w:noWrap w:val="0"/>
            <w:vAlign w:val="center"/>
          </w:tcPr>
          <w:p w14:paraId="27D9FD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验收指标</w:t>
            </w:r>
          </w:p>
        </w:tc>
        <w:tc>
          <w:tcPr>
            <w:tcW w:w="1216" w:type="pct"/>
            <w:noWrap w:val="0"/>
            <w:vAlign w:val="center"/>
          </w:tcPr>
          <w:p w14:paraId="06E0CF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分值（分）</w:t>
            </w:r>
          </w:p>
        </w:tc>
        <w:tc>
          <w:tcPr>
            <w:tcW w:w="1589" w:type="pct"/>
            <w:noWrap w:val="0"/>
            <w:vAlign w:val="center"/>
          </w:tcPr>
          <w:p w14:paraId="1DBB36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评分标准</w:t>
            </w:r>
          </w:p>
        </w:tc>
      </w:tr>
      <w:tr w14:paraId="32F7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7" w:type="pct"/>
            <w:vMerge w:val="restart"/>
            <w:noWrap w:val="0"/>
            <w:vAlign w:val="center"/>
          </w:tcPr>
          <w:p w14:paraId="36FE0D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岗位人员配置</w:t>
            </w:r>
          </w:p>
        </w:tc>
        <w:tc>
          <w:tcPr>
            <w:tcW w:w="1206" w:type="pct"/>
            <w:noWrap w:val="0"/>
            <w:vAlign w:val="center"/>
          </w:tcPr>
          <w:p w14:paraId="6F33B1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岗位设置合规性</w:t>
            </w:r>
          </w:p>
        </w:tc>
        <w:tc>
          <w:tcPr>
            <w:tcW w:w="1216" w:type="pct"/>
            <w:noWrap w:val="0"/>
            <w:vAlign w:val="center"/>
          </w:tcPr>
          <w:p w14:paraId="2ADF77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5E8714F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按合同约定设置岗位，足额配置得10分；若发现岗位缺失或人员不足，每处扣2分，扣完为止。</w:t>
            </w:r>
          </w:p>
        </w:tc>
      </w:tr>
      <w:tr w14:paraId="50C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64735E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1E945F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人员资质齐全性</w:t>
            </w:r>
          </w:p>
        </w:tc>
        <w:tc>
          <w:tcPr>
            <w:tcW w:w="1216" w:type="pct"/>
            <w:noWrap w:val="0"/>
            <w:vAlign w:val="center"/>
          </w:tcPr>
          <w:p w14:paraId="62F24D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89" w:type="pct"/>
            <w:noWrap w:val="0"/>
            <w:vAlign w:val="center"/>
          </w:tcPr>
          <w:p w14:paraId="4A1E27A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综合维修岗位人员应资质齐全、符合要求得4分；每1人资质不全或不符，扣2分，扣完为止。 </w:t>
            </w:r>
          </w:p>
        </w:tc>
      </w:tr>
      <w:tr w14:paraId="2B38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1D2F36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1BC45FA5">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岗位人员规范性</w:t>
            </w:r>
          </w:p>
        </w:tc>
        <w:tc>
          <w:tcPr>
            <w:tcW w:w="1216" w:type="pct"/>
            <w:noWrap w:val="0"/>
            <w:vAlign w:val="center"/>
          </w:tcPr>
          <w:p w14:paraId="54D40E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61E36F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岗位人员着装分类统一，仪容整洁、姿态端正。发型配饰符合工作岗位，举止文明、用语文明礼貌，态度温和耐心。落实完好得10分；每发现1次违规，扣2分，扣完为止。 </w:t>
            </w:r>
          </w:p>
        </w:tc>
      </w:tr>
      <w:tr w14:paraId="3BF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restart"/>
            <w:noWrap w:val="0"/>
            <w:vAlign w:val="center"/>
          </w:tcPr>
          <w:p w14:paraId="036A50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物业管理服务</w:t>
            </w:r>
          </w:p>
          <w:p w14:paraId="1D82DD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效果考核</w:t>
            </w:r>
          </w:p>
        </w:tc>
        <w:tc>
          <w:tcPr>
            <w:tcW w:w="1206" w:type="pct"/>
            <w:noWrap w:val="0"/>
            <w:vAlign w:val="center"/>
          </w:tcPr>
          <w:p w14:paraId="696FFB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文件、资料查阅</w:t>
            </w:r>
          </w:p>
        </w:tc>
        <w:tc>
          <w:tcPr>
            <w:tcW w:w="1216" w:type="pct"/>
            <w:noWrap w:val="0"/>
            <w:vAlign w:val="center"/>
          </w:tcPr>
          <w:p w14:paraId="0C85ED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6B39C74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应做好档案和记录、物业管理服务工作报告、本月物业管理服务工作计划等做好相关资料档案管理，填写规范，保存完好得10分。缺记漏记，记录不完整，每处扣2分，扣完为止。</w:t>
            </w:r>
          </w:p>
        </w:tc>
      </w:tr>
      <w:tr w14:paraId="4C0F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2EE094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79E474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落实房屋维护服务工作情况</w:t>
            </w:r>
          </w:p>
        </w:tc>
        <w:tc>
          <w:tcPr>
            <w:tcW w:w="1216" w:type="pct"/>
            <w:noWrap w:val="0"/>
            <w:vAlign w:val="center"/>
          </w:tcPr>
          <w:p w14:paraId="4AF3FA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7A3A20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房屋维护服务工作落实完好得10分；每发现1次岗位人员无故脱岗、维修不及时、异常情况未及时上报等情况，扣2分，扣完为止。</w:t>
            </w:r>
          </w:p>
        </w:tc>
      </w:tr>
      <w:tr w14:paraId="67BE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111947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7DC6B0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落实公用设施设备维护服务工作情况</w:t>
            </w:r>
          </w:p>
        </w:tc>
        <w:tc>
          <w:tcPr>
            <w:tcW w:w="1216" w:type="pct"/>
            <w:noWrap w:val="0"/>
            <w:vAlign w:val="center"/>
          </w:tcPr>
          <w:p w14:paraId="38ACE6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1AF420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公用设施设备维护服务工作落实完好得10分；每发现1次巡查巡检记录缺失、岗位人员无故脱岗、维修不及时、异常情况未及时上报等情况，扣2分，扣完为止。</w:t>
            </w:r>
          </w:p>
        </w:tc>
      </w:tr>
      <w:tr w14:paraId="0488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424853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69CE23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落实保洁服务</w:t>
            </w:r>
          </w:p>
          <w:p w14:paraId="1F416C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工作情况</w:t>
            </w:r>
          </w:p>
        </w:tc>
        <w:tc>
          <w:tcPr>
            <w:tcW w:w="1216" w:type="pct"/>
            <w:noWrap w:val="0"/>
            <w:vAlign w:val="center"/>
          </w:tcPr>
          <w:p w14:paraId="7C41D5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0461BE9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保洁服务工作落实完好得5分；每发现1次岗位人员无故脱岗、楼内办公用房</w:t>
            </w:r>
            <w:r>
              <w:rPr>
                <w:rFonts w:hint="eastAsia" w:asciiTheme="minorEastAsia" w:hAnsiTheme="minorEastAsia" w:eastAsiaTheme="minorEastAsia" w:cstheme="minorEastAsia"/>
                <w:color w:val="auto"/>
                <w:sz w:val="24"/>
                <w:szCs w:val="24"/>
                <w:highlight w:val="none"/>
                <w:lang w:eastAsia="zh-CN"/>
              </w:rPr>
              <w:t>区域</w:t>
            </w:r>
            <w:r>
              <w:rPr>
                <w:rFonts w:hint="eastAsia" w:asciiTheme="minorEastAsia" w:hAnsiTheme="minorEastAsia" w:eastAsiaTheme="minorEastAsia" w:cstheme="minorEastAsia"/>
                <w:color w:val="auto"/>
                <w:sz w:val="24"/>
                <w:szCs w:val="24"/>
                <w:highlight w:val="none"/>
                <w:lang w:val="en-US" w:eastAsia="zh-CN"/>
              </w:rPr>
              <w:t>内外保洁不及时、</w:t>
            </w:r>
            <w:r>
              <w:rPr>
                <w:rFonts w:hint="eastAsia" w:asciiTheme="minorEastAsia" w:hAnsiTheme="minorEastAsia" w:eastAsiaTheme="minorEastAsia" w:cstheme="minorEastAsia"/>
                <w:color w:val="auto"/>
                <w:sz w:val="24"/>
                <w:szCs w:val="24"/>
                <w:highlight w:val="none"/>
                <w:lang w:eastAsia="zh-CN"/>
              </w:rPr>
              <w:t>垃圾处理</w:t>
            </w:r>
            <w:r>
              <w:rPr>
                <w:rFonts w:hint="eastAsia" w:asciiTheme="minorEastAsia" w:hAnsiTheme="minorEastAsia" w:eastAsiaTheme="minorEastAsia" w:cstheme="minorEastAsia"/>
                <w:color w:val="auto"/>
                <w:sz w:val="24"/>
                <w:szCs w:val="24"/>
                <w:highlight w:val="none"/>
                <w:lang w:val="en-US" w:eastAsia="zh-CN"/>
              </w:rPr>
              <w:t>不及时、</w:t>
            </w:r>
            <w:r>
              <w:rPr>
                <w:rFonts w:hint="eastAsia" w:asciiTheme="minorEastAsia" w:hAnsiTheme="minorEastAsia" w:eastAsiaTheme="minorEastAsia" w:cstheme="minorEastAsia"/>
                <w:color w:val="auto"/>
                <w:sz w:val="24"/>
                <w:szCs w:val="24"/>
                <w:highlight w:val="none"/>
                <w:lang w:eastAsia="zh-CN"/>
              </w:rPr>
              <w:t>卫生消毒</w:t>
            </w:r>
            <w:r>
              <w:rPr>
                <w:rFonts w:hint="eastAsia" w:asciiTheme="minorEastAsia" w:hAnsiTheme="minorEastAsia" w:eastAsiaTheme="minorEastAsia" w:cstheme="minorEastAsia"/>
                <w:color w:val="auto"/>
                <w:sz w:val="24"/>
                <w:szCs w:val="24"/>
                <w:highlight w:val="none"/>
                <w:lang w:val="en-US" w:eastAsia="zh-CN"/>
              </w:rPr>
              <w:t>不及时、雪停后未能第一时间清扫积雪铲冰、异常情况未及时上报等情况，扣2分，扣完为止。</w:t>
            </w:r>
          </w:p>
        </w:tc>
      </w:tr>
      <w:tr w14:paraId="08E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169033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75D44B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落实绿化服务</w:t>
            </w:r>
          </w:p>
          <w:p w14:paraId="5D8FBB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工作情况</w:t>
            </w:r>
          </w:p>
        </w:tc>
        <w:tc>
          <w:tcPr>
            <w:tcW w:w="1216" w:type="pct"/>
            <w:noWrap w:val="0"/>
            <w:vAlign w:val="center"/>
          </w:tcPr>
          <w:p w14:paraId="675F9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589" w:type="pct"/>
            <w:noWrap w:val="0"/>
            <w:vAlign w:val="center"/>
          </w:tcPr>
          <w:p w14:paraId="00240C9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绿化服务落实完好得8分；每发现1次未按照绿化服务的工作制度及工作计划执行、未积极开展简单花卉养护维护、异常情况未及时上报等违规情况，扣2分，扣完为止。</w:t>
            </w:r>
          </w:p>
        </w:tc>
      </w:tr>
      <w:tr w14:paraId="096D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noWrap w:val="0"/>
            <w:vAlign w:val="center"/>
          </w:tcPr>
          <w:p w14:paraId="7E40F8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7C6A50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落实会议服务</w:t>
            </w:r>
          </w:p>
          <w:p w14:paraId="5A3358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工作情况</w:t>
            </w:r>
          </w:p>
        </w:tc>
        <w:tc>
          <w:tcPr>
            <w:tcW w:w="1216" w:type="pct"/>
            <w:noWrap w:val="0"/>
            <w:vAlign w:val="center"/>
          </w:tcPr>
          <w:p w14:paraId="5430FF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589" w:type="pct"/>
            <w:noWrap w:val="0"/>
            <w:vAlign w:val="center"/>
          </w:tcPr>
          <w:p w14:paraId="1C6E995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会议服务落实完好得8分；每发现1次报刊发放不及时、会务准备不及时、异常情况未及时上报等违规情况，扣2分，扣完为止。</w:t>
            </w:r>
          </w:p>
        </w:tc>
      </w:tr>
      <w:tr w14:paraId="571B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restart"/>
            <w:noWrap w:val="0"/>
            <w:vAlign w:val="center"/>
          </w:tcPr>
          <w:p w14:paraId="3FA9CA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其他服务</w:t>
            </w:r>
          </w:p>
          <w:p w14:paraId="67B67E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效果考核</w:t>
            </w:r>
          </w:p>
        </w:tc>
        <w:tc>
          <w:tcPr>
            <w:tcW w:w="1206" w:type="pct"/>
            <w:noWrap w:val="0"/>
            <w:vAlign w:val="center"/>
          </w:tcPr>
          <w:p w14:paraId="0D8B0F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落实楼内设施（设备）及物品的少量简易搬运服务工作情况</w:t>
            </w:r>
          </w:p>
        </w:tc>
        <w:tc>
          <w:tcPr>
            <w:tcW w:w="1216" w:type="pct"/>
            <w:noWrap w:val="0"/>
            <w:vAlign w:val="center"/>
          </w:tcPr>
          <w:p w14:paraId="223E52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6CAD328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对楼内设施（设备）及物品的少量简易搬运服务，落实完好得10分。每发现1次处理不及时扣2分，扣完为止。</w:t>
            </w:r>
          </w:p>
        </w:tc>
      </w:tr>
      <w:tr w14:paraId="6B33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pct"/>
            <w:vMerge w:val="continue"/>
            <w:noWrap w:val="0"/>
            <w:vAlign w:val="center"/>
          </w:tcPr>
          <w:p w14:paraId="41B6D4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206" w:type="pct"/>
            <w:noWrap w:val="0"/>
            <w:vAlign w:val="center"/>
          </w:tcPr>
          <w:p w14:paraId="77A0EE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与安保服务方</w:t>
            </w:r>
          </w:p>
          <w:p w14:paraId="76E276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协调配合情况</w:t>
            </w:r>
          </w:p>
        </w:tc>
        <w:tc>
          <w:tcPr>
            <w:tcW w:w="1216" w:type="pct"/>
            <w:noWrap w:val="0"/>
            <w:vAlign w:val="center"/>
          </w:tcPr>
          <w:p w14:paraId="39F04A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1589" w:type="pct"/>
            <w:noWrap w:val="0"/>
            <w:vAlign w:val="center"/>
          </w:tcPr>
          <w:p w14:paraId="505D91D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积极与安保服务方协调配合，落实完好得10分。每发现1次推诿扯皮、不配合工作、不服从甲方管理等情况，扣2分，扣完为止。</w:t>
            </w:r>
          </w:p>
        </w:tc>
      </w:tr>
    </w:tbl>
    <w:p w14:paraId="4ED55AF6">
      <w:pPr>
        <w:pStyle w:val="33"/>
        <w:spacing w:line="500" w:lineRule="exact"/>
        <w:ind w:firstLine="480" w:firstLineChars="200"/>
        <w:rPr>
          <w:rFonts w:hint="eastAsia" w:hAnsi="宋体" w:cs="宋体"/>
          <w:color w:val="auto"/>
          <w:sz w:val="24"/>
          <w:szCs w:val="24"/>
          <w:u w:val="none" w:color="auto"/>
          <w:lang w:val="en-US" w:eastAsia="zh-CN"/>
        </w:rPr>
      </w:pPr>
      <w:r>
        <w:rPr>
          <w:rFonts w:hint="eastAsia" w:hAnsi="宋体" w:cs="宋体"/>
          <w:color w:val="auto"/>
          <w:sz w:val="24"/>
          <w:szCs w:val="24"/>
          <w:u w:val="none" w:color="auto"/>
          <w:lang w:val="en-US" w:eastAsia="zh-CN"/>
        </w:rPr>
        <w:t>（2）合同期满或者履行完毕后，甲方有权组织（包括依法邀请国家认可的质量检测机构参加）对乙方履约的验收，即：按照合同约定的标准，组织对乙方履约情况的验收。</w:t>
      </w:r>
    </w:p>
    <w:p w14:paraId="743F7913">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9.违约责任</w:t>
      </w:r>
    </w:p>
    <w:p w14:paraId="429A73F5">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9.1　服务缺陷的补救措施和索赔</w:t>
      </w:r>
    </w:p>
    <w:p w14:paraId="462450D2">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(1)如果乙方提供的服务不符合本合同约定以及招标文件、投标文件关于服务的要求和承诺，乙方应按照甲方同意的下列一种或几种方式结合起来解决索赔事宜：</w:t>
      </w:r>
    </w:p>
    <w:p w14:paraId="72617B55">
      <w:pPr>
        <w:pStyle w:val="33"/>
        <w:spacing w:line="500" w:lineRule="exact"/>
        <w:ind w:firstLine="480" w:firstLineChars="200"/>
        <w:rPr>
          <w:rFonts w:hAnsi="宋体" w:cs="宋体"/>
          <w:b w:val="0"/>
          <w:bCs w:val="0"/>
          <w:color w:val="auto"/>
          <w:sz w:val="24"/>
          <w:szCs w:val="24"/>
          <w:u w:val="none" w:color="auto"/>
        </w:rPr>
      </w:pPr>
      <w:r>
        <w:rPr>
          <w:rFonts w:hint="eastAsia" w:hAnsi="宋体" w:cs="宋体"/>
          <w:b w:val="0"/>
          <w:bCs w:val="0"/>
          <w:color w:val="auto"/>
          <w:sz w:val="24"/>
          <w:szCs w:val="24"/>
          <w:u w:val="none" w:color="auto"/>
        </w:rPr>
        <w:t>①乙方同意将服务款项退还给甲方，由此发生的一切费用和损失由乙方承担。如甲方以适当的条件和方法购买与未履约标的相类似的服务，乙方应负担新购买类似服务所超出的费用。</w:t>
      </w:r>
    </w:p>
    <w:p w14:paraId="11BBE4D1">
      <w:pPr>
        <w:pStyle w:val="33"/>
        <w:spacing w:line="500" w:lineRule="exact"/>
        <w:ind w:firstLine="480" w:firstLineChars="200"/>
        <w:rPr>
          <w:rFonts w:hAnsi="宋体" w:cs="宋体"/>
          <w:b w:val="0"/>
          <w:bCs w:val="0"/>
          <w:color w:val="auto"/>
          <w:sz w:val="24"/>
          <w:szCs w:val="24"/>
          <w:u w:val="none" w:color="auto"/>
        </w:rPr>
      </w:pPr>
      <w:r>
        <w:rPr>
          <w:rFonts w:hint="eastAsia" w:hAnsi="宋体" w:cs="宋体"/>
          <w:b w:val="0"/>
          <w:bCs w:val="0"/>
          <w:color w:val="auto"/>
          <w:sz w:val="24"/>
          <w:szCs w:val="24"/>
          <w:u w:val="none" w:color="auto"/>
        </w:rPr>
        <w:t>②根据服务的质量状况以及甲方所遭受的损失，经过甲乙双方商定降低服务的价格。</w:t>
      </w:r>
    </w:p>
    <w:p w14:paraId="5EAC441E">
      <w:pPr>
        <w:pStyle w:val="33"/>
        <w:spacing w:line="500" w:lineRule="exact"/>
        <w:ind w:firstLine="480" w:firstLineChars="200"/>
        <w:rPr>
          <w:rFonts w:hAnsi="宋体" w:cs="宋体"/>
          <w:b w:val="0"/>
          <w:bCs w:val="0"/>
          <w:color w:val="auto"/>
          <w:sz w:val="24"/>
          <w:szCs w:val="24"/>
          <w:u w:val="none" w:color="auto"/>
        </w:rPr>
      </w:pPr>
      <w:r>
        <w:rPr>
          <w:rFonts w:hint="eastAsia" w:hAnsi="宋体" w:cs="宋体"/>
          <w:b w:val="0"/>
          <w:bCs w:val="0"/>
          <w:color w:val="auto"/>
          <w:sz w:val="24"/>
          <w:szCs w:val="24"/>
          <w:u w:val="none" w:color="auto"/>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14:paraId="3CC9DC9B">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9.2　迟延履约的违约责任</w:t>
      </w:r>
    </w:p>
    <w:p w14:paraId="7A29D1ED">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(1)乙方应按照本合同规定的时间、地点提供服务。</w:t>
      </w:r>
    </w:p>
    <w:p w14:paraId="6923EED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58C70440">
      <w:pPr>
        <w:pStyle w:val="33"/>
        <w:spacing w:line="500" w:lineRule="exact"/>
        <w:ind w:firstLine="480" w:firstLineChars="200"/>
        <w:rPr>
          <w:rFonts w:hAnsi="宋体" w:cs="宋体"/>
          <w:b w:val="0"/>
          <w:bCs w:val="0"/>
          <w:color w:val="auto"/>
          <w:sz w:val="24"/>
          <w:szCs w:val="24"/>
          <w:u w:val="none" w:color="auto"/>
        </w:rPr>
      </w:pPr>
      <w:r>
        <w:rPr>
          <w:rFonts w:hint="eastAsia" w:hAnsi="宋体" w:cs="宋体"/>
          <w:b w:val="0"/>
          <w:bCs w:val="0"/>
          <w:color w:val="auto"/>
          <w:sz w:val="24"/>
          <w:szCs w:val="24"/>
          <w:u w:val="none" w:color="auto"/>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计收，直至提供服务为止。误期超过30日的，甲方有权单方解除合同，并要求乙方承担合同价款总额15%的违约金。</w:t>
      </w:r>
    </w:p>
    <w:p w14:paraId="1F51584E">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9.3　未履行合同义务的违约责任</w:t>
      </w:r>
    </w:p>
    <w:p w14:paraId="7F4DFF42">
      <w:pPr>
        <w:pStyle w:val="33"/>
        <w:spacing w:line="500" w:lineRule="exact"/>
        <w:ind w:firstLine="480" w:firstLineChars="200"/>
        <w:rPr>
          <w:rFonts w:hAnsi="宋体" w:cs="宋体"/>
          <w:b w:val="0"/>
          <w:bCs w:val="0"/>
          <w:color w:val="auto"/>
          <w:sz w:val="24"/>
          <w:szCs w:val="24"/>
          <w:u w:val="none" w:color="auto"/>
          <w:shd w:val="clear" w:color="auto" w:fill="auto"/>
        </w:rPr>
      </w:pPr>
      <w:r>
        <w:rPr>
          <w:rFonts w:hint="eastAsia" w:hAnsi="宋体" w:cs="宋体"/>
          <w:b w:val="0"/>
          <w:bCs w:val="0"/>
          <w:color w:val="auto"/>
          <w:sz w:val="24"/>
          <w:szCs w:val="24"/>
          <w:u w:val="none" w:color="auto"/>
          <w:shd w:val="clear" w:color="auto" w:fill="auto"/>
        </w:rPr>
        <w:t>(1)守约方有权终止全部或部分合同。</w:t>
      </w:r>
    </w:p>
    <w:p w14:paraId="139CD113">
      <w:pPr>
        <w:pStyle w:val="33"/>
        <w:spacing w:line="500" w:lineRule="exact"/>
        <w:ind w:firstLine="480" w:firstLineChars="200"/>
        <w:rPr>
          <w:rFonts w:hAnsi="宋体" w:cs="宋体"/>
          <w:b w:val="0"/>
          <w:bCs w:val="0"/>
          <w:color w:val="auto"/>
          <w:sz w:val="24"/>
          <w:szCs w:val="24"/>
          <w:u w:val="none" w:color="auto"/>
          <w:shd w:val="clear" w:color="auto" w:fill="auto"/>
        </w:rPr>
      </w:pPr>
      <w:r>
        <w:rPr>
          <w:rFonts w:hint="eastAsia" w:hAnsi="宋体" w:cs="宋体"/>
          <w:b w:val="0"/>
          <w:bCs w:val="0"/>
          <w:color w:val="auto"/>
          <w:sz w:val="24"/>
          <w:szCs w:val="24"/>
          <w:u w:val="none" w:color="auto"/>
          <w:shd w:val="clear" w:color="auto" w:fill="auto"/>
        </w:rPr>
        <w:t>(2)没收全额履约保证金。</w:t>
      </w:r>
    </w:p>
    <w:p w14:paraId="57C58D3E">
      <w:pPr>
        <w:pStyle w:val="33"/>
        <w:spacing w:line="500" w:lineRule="exact"/>
        <w:ind w:firstLine="480" w:firstLineChars="200"/>
        <w:rPr>
          <w:rFonts w:hAnsi="宋体" w:cs="宋体"/>
          <w:b w:val="0"/>
          <w:bCs w:val="0"/>
          <w:color w:val="auto"/>
          <w:sz w:val="24"/>
          <w:szCs w:val="24"/>
          <w:u w:val="none" w:color="auto"/>
          <w:shd w:val="clear" w:color="auto" w:fill="auto"/>
        </w:rPr>
      </w:pPr>
      <w:r>
        <w:rPr>
          <w:rFonts w:hint="eastAsia" w:hAnsi="宋体" w:cs="宋体"/>
          <w:b w:val="0"/>
          <w:bCs w:val="0"/>
          <w:color w:val="auto"/>
          <w:sz w:val="24"/>
          <w:szCs w:val="24"/>
          <w:u w:val="none" w:color="auto"/>
          <w:shd w:val="clear" w:color="auto" w:fill="auto"/>
        </w:rPr>
        <w:t>(3)由违约一方支付违约金，违约金标准见合同条款前附表。</w:t>
      </w:r>
    </w:p>
    <w:p w14:paraId="311FEBC6">
      <w:pPr>
        <w:pStyle w:val="33"/>
        <w:spacing w:line="500" w:lineRule="exact"/>
        <w:ind w:firstLine="480" w:firstLineChars="200"/>
        <w:rPr>
          <w:rFonts w:hAnsi="宋体" w:cs="宋体"/>
          <w:b w:val="0"/>
          <w:bCs w:val="0"/>
          <w:color w:val="auto"/>
          <w:sz w:val="24"/>
          <w:szCs w:val="24"/>
          <w:u w:val="none" w:color="auto"/>
          <w:shd w:val="clear" w:color="auto" w:fill="auto"/>
        </w:rPr>
      </w:pPr>
      <w:r>
        <w:rPr>
          <w:rFonts w:hint="eastAsia" w:hAnsi="宋体" w:cs="宋体"/>
          <w:b w:val="0"/>
          <w:bCs w:val="0"/>
          <w:color w:val="auto"/>
          <w:sz w:val="24"/>
          <w:szCs w:val="24"/>
          <w:u w:val="none" w:color="auto"/>
          <w:shd w:val="clear" w:color="auto" w:fill="auto"/>
        </w:rPr>
        <w:t>(4)违约金不足以弥补守约方实际损失、可预见或者应当预见的损失，由违约方全额予以赔偿。</w:t>
      </w:r>
    </w:p>
    <w:p w14:paraId="3615EA47">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10.不可抗力</w:t>
      </w:r>
    </w:p>
    <w:p w14:paraId="6E43F941">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10.1　如果合同双方因不可抗力而导致合同实施延误或合同无法实施，不应该承担误期赔偿或不能履行合同义务的责任。</w:t>
      </w:r>
    </w:p>
    <w:p w14:paraId="383EB591">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10.2　本条所述的“不可抗力”系指那些双方不可预见、不可避免、不可克服的客观情况，但不包括双方的违约或疏忽。这些事件包括但不限于：战争、严重火灾、洪水、台风、地震等。</w:t>
      </w:r>
    </w:p>
    <w:p w14:paraId="2222ACC5">
      <w:pPr>
        <w:pStyle w:val="33"/>
        <w:spacing w:line="500" w:lineRule="exact"/>
        <w:ind w:firstLine="480" w:firstLineChars="200"/>
        <w:rPr>
          <w:rFonts w:hAnsi="宋体" w:cs="宋体"/>
          <w:b w:val="0"/>
          <w:bCs w:val="0"/>
          <w:color w:val="auto"/>
          <w:sz w:val="24"/>
          <w:szCs w:val="24"/>
          <w:u w:val="none" w:color="auto"/>
        </w:rPr>
      </w:pPr>
      <w:r>
        <w:rPr>
          <w:rFonts w:hint="eastAsia" w:hAnsi="宋体" w:cs="宋体"/>
          <w:b w:val="0"/>
          <w:bCs w:val="0"/>
          <w:color w:val="auto"/>
          <w:sz w:val="24"/>
          <w:szCs w:val="24"/>
          <w:u w:val="none" w:color="auto"/>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12612AF5">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11.合同纠纷的解决方式</w:t>
      </w:r>
    </w:p>
    <w:p w14:paraId="6A1B1A2E">
      <w:pPr>
        <w:pStyle w:val="33"/>
        <w:spacing w:line="500" w:lineRule="exact"/>
        <w:ind w:firstLine="480" w:firstLineChars="200"/>
        <w:rPr>
          <w:rFonts w:hAnsi="宋体" w:cs="宋体"/>
          <w:color w:val="auto"/>
          <w:sz w:val="24"/>
          <w:szCs w:val="24"/>
          <w:u w:val="none" w:color="auto"/>
        </w:rPr>
      </w:pPr>
      <w:r>
        <w:rPr>
          <w:rFonts w:hint="eastAsia" w:hAnsi="宋体" w:cs="宋体"/>
          <w:b w:val="0"/>
          <w:bCs w:val="0"/>
          <w:color w:val="auto"/>
          <w:sz w:val="24"/>
          <w:szCs w:val="24"/>
          <w:u w:val="none" w:color="auto"/>
        </w:rPr>
        <w:t>合同各方应通过友好协商，解决在执行合同过程中所发生的或与合同有关的一切争端。如协商30日内不能解决，可以向甲方所在地人民法院提起诉讼。</w:t>
      </w:r>
    </w:p>
    <w:p w14:paraId="3553AEB0">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12.合同修改或变更</w:t>
      </w:r>
    </w:p>
    <w:p w14:paraId="33D446C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12.1　如无重大变故，甲方双方不得擅自变更合同。</w:t>
      </w:r>
    </w:p>
    <w:p w14:paraId="69904C0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12.2　如确需变更合同，甲乙双方应签署书面变更协议。变更协议为本合同不可分割的一部分。</w:t>
      </w:r>
    </w:p>
    <w:p w14:paraId="52F27429">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12.3　在不改变合同其他条款的前提下，甲方有权在合同价款10%的范围内追加与合同标的相同的货物或服务，并就此与乙方签订补充合同，乙方不得拒绝。</w:t>
      </w:r>
    </w:p>
    <w:p w14:paraId="54862B69">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13.合同中止</w:t>
      </w:r>
    </w:p>
    <w:p w14:paraId="599F111A">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13.1</w:t>
      </w:r>
      <w:r>
        <w:rPr>
          <w:rFonts w:hint="eastAsia" w:hAnsi="宋体" w:cs="宋体"/>
          <w:color w:val="auto"/>
          <w:sz w:val="24"/>
          <w:szCs w:val="24"/>
          <w:u w:val="none" w:color="auto"/>
          <w:lang w:val="en-US" w:eastAsia="zh-CN"/>
        </w:rPr>
        <w:t xml:space="preserve">  </w:t>
      </w:r>
      <w:r>
        <w:rPr>
          <w:rFonts w:hint="eastAsia" w:hAnsi="宋体" w:cs="宋体"/>
          <w:color w:val="auto"/>
          <w:sz w:val="24"/>
          <w:szCs w:val="24"/>
          <w:u w:val="none" w:color="auto"/>
        </w:rPr>
        <w:t>合同在履行过程中，因采购计划调整，甲方可以要求中止履行，待计划确定后继续履行；合同履行过程中因</w:t>
      </w:r>
      <w:r>
        <w:rPr>
          <w:rFonts w:hint="eastAsia" w:hAnsi="宋体" w:cs="宋体"/>
          <w:color w:val="auto"/>
          <w:sz w:val="24"/>
          <w:szCs w:val="24"/>
          <w:u w:val="none" w:color="auto"/>
          <w:lang w:eastAsia="zh-CN"/>
        </w:rPr>
        <w:t>乙方</w:t>
      </w:r>
      <w:r>
        <w:rPr>
          <w:rFonts w:hint="eastAsia" w:hAnsi="宋体" w:cs="宋体"/>
          <w:color w:val="auto"/>
          <w:sz w:val="24"/>
          <w:szCs w:val="24"/>
          <w:u w:val="none" w:color="auto"/>
        </w:rPr>
        <w:t>就采购过程或结果提起投诉的，甲方认为有必要或财政部责令中止的，应当中止合同的履行。</w:t>
      </w:r>
    </w:p>
    <w:p w14:paraId="1A5F2C52">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14.违约终止合同</w:t>
      </w:r>
    </w:p>
    <w:p w14:paraId="6C544E89">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14.1　若出现如下情况，在甲方对乙方违约行为而采取的任何补救措施不受影响的情况下，甲方可向乙方发出书面通知书，提出终止部分或全部合同。</w:t>
      </w:r>
    </w:p>
    <w:p w14:paraId="6EDBECF8">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14.1.1　如果乙方未能在合同规定的期限或甲方同意延长的期限内提供服务；</w:t>
      </w:r>
    </w:p>
    <w:p w14:paraId="3024E0F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14.1.2　因乙方技术人员自身技术能力、经验不足等原因造成甲方硬件设备、应用系统发生重大紧急故障或应用系统数据丢失，带来重大影响和损失的；</w:t>
      </w:r>
    </w:p>
    <w:p w14:paraId="03864CE3">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14.1.3　乙方对甲方硬件设备、应用系统重大紧急故障没有及时响应，或不能在规定时间内解决处理故障，恢复系统正常运行的；</w:t>
      </w:r>
    </w:p>
    <w:p w14:paraId="453601BB">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14.1.4　不能满足本项目技术需求的管理要求和规范，且经多次整改无明显改进的；</w:t>
      </w:r>
    </w:p>
    <w:p w14:paraId="27F11284">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14.1.5　在合同规定的每个服务年度(12个自然月)内，在运行维护支持服务过程中，出现2次经甲乙双方确认的违规操作的。</w:t>
      </w:r>
    </w:p>
    <w:p w14:paraId="2A54DA04">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14:paraId="611A765D">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15.破产终止合同</w:t>
      </w:r>
    </w:p>
    <w:p w14:paraId="4D0D063C">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15.1　如果乙方破产或无清偿能力，甲方可在任何时候以书面形式通知乙方终止合同而不给乙方补偿。</w:t>
      </w:r>
    </w:p>
    <w:p w14:paraId="38287356">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15.2　该终止协议将不损害或影响甲方已经采取或将要采取的任何行动或补救措施的权利。</w:t>
      </w:r>
    </w:p>
    <w:p w14:paraId="6110BB95">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16.其他情况的终止合同</w:t>
      </w:r>
    </w:p>
    <w:p w14:paraId="3A28FF51">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16.1　若合同继续履行将给甲方造成重大损失的，甲方可以终止合同而不给予乙方任何补偿。</w:t>
      </w:r>
    </w:p>
    <w:p w14:paraId="036C4B75">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16.2　乙方在执行合同的过程中发生重大事故，对履行合同有直接影响的，甲方可以终止合同而不给予乙方任何补偿。</w:t>
      </w:r>
    </w:p>
    <w:p w14:paraId="20B40463">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16.3　甲方因重大变故取消或部分取消原来的采购任务，导致合同全部或部分内容无须继续履行的，可以终止合同而不给予乙方任何补偿。</w:t>
      </w:r>
    </w:p>
    <w:p w14:paraId="188FF9EF">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17.合同转让和分包</w:t>
      </w:r>
    </w:p>
    <w:p w14:paraId="2C26B95F">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17.1　乙方不得以任何形式将合同转包，或部分或全部转让其应履行的合同义务。</w:t>
      </w:r>
    </w:p>
    <w:p w14:paraId="564F25E8">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17.2　除经甲方事先书面同意外，乙方不得以任何形式将合同分包。</w:t>
      </w:r>
    </w:p>
    <w:p w14:paraId="5E67B88A">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18.适用法律</w:t>
      </w:r>
    </w:p>
    <w:p w14:paraId="23B9047F">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18.1　本合同适用中华人民共和国现行法律、行政法规和规章，如合同条款与法律、行政法规和规章不一致的，按照法律、行政法规和规章修改本合同。</w:t>
      </w:r>
    </w:p>
    <w:p w14:paraId="684A28B4">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19.合同语言</w:t>
      </w:r>
    </w:p>
    <w:p w14:paraId="52AA0372">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19.1　本合同语言为中文。</w:t>
      </w:r>
    </w:p>
    <w:p w14:paraId="76889D27">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19.2　双方交换的与合同有关的信件和其他文件应用合同语言书写。</w:t>
      </w:r>
    </w:p>
    <w:p w14:paraId="230951B9">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20.合同生效</w:t>
      </w:r>
    </w:p>
    <w:p w14:paraId="49F5B693">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20.1　本合同应在双方法定代表人或授权代表签字盖章后生效。</w:t>
      </w:r>
    </w:p>
    <w:p w14:paraId="07E570A7">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21.合同效力</w:t>
      </w:r>
    </w:p>
    <w:p w14:paraId="46BC46E3">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21.1　除本合同和甲乙双方书面签署的补充协议外，其他任何形式的双方约定和往来函件均不具有合同效力，对本项目无约束。</w:t>
      </w:r>
    </w:p>
    <w:p w14:paraId="1D1E9780">
      <w:pPr>
        <w:pStyle w:val="33"/>
        <w:spacing w:line="500" w:lineRule="exact"/>
        <w:ind w:firstLine="482" w:firstLineChars="200"/>
        <w:rPr>
          <w:rFonts w:hAnsi="宋体" w:cs="宋体"/>
          <w:b/>
          <w:bCs/>
          <w:color w:val="auto"/>
          <w:sz w:val="24"/>
          <w:szCs w:val="24"/>
          <w:u w:val="none" w:color="auto"/>
        </w:rPr>
      </w:pPr>
      <w:r>
        <w:rPr>
          <w:rFonts w:hint="eastAsia" w:hAnsi="宋体" w:cs="宋体"/>
          <w:b/>
          <w:bCs/>
          <w:color w:val="auto"/>
          <w:sz w:val="24"/>
          <w:szCs w:val="24"/>
          <w:u w:val="none" w:color="auto"/>
        </w:rPr>
        <w:t>22.检查和审计</w:t>
      </w:r>
    </w:p>
    <w:p w14:paraId="556C45D0">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22.1在本合同的履行过程中，甲方有权对乙方的合同履约情况进行阶段性检查，并对乙方投标时提供的相关资料进行复核。</w:t>
      </w:r>
    </w:p>
    <w:p w14:paraId="1D237B62">
      <w:pPr>
        <w:pStyle w:val="33"/>
        <w:spacing w:line="50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22.2　在本合同的履行过程中，如果甲乙双方发生争议或者乙方没有按照合同约定履行义务，乙方应允许甲方检查乙方与实施本合同有关的账户和记录，并由甲方指定的审计人员对其进行审计。</w:t>
      </w:r>
    </w:p>
    <w:p w14:paraId="7874B1F1">
      <w:pPr>
        <w:rPr>
          <w:rFonts w:hint="eastAsia" w:hAnsi="宋体" w:cs="宋体"/>
          <w:color w:val="auto"/>
          <w:sz w:val="24"/>
          <w:szCs w:val="24"/>
          <w:u w:val="none" w:color="auto"/>
        </w:rPr>
      </w:pPr>
    </w:p>
    <w:p w14:paraId="2EA78C3A">
      <w:pPr>
        <w:pStyle w:val="2"/>
        <w:rPr>
          <w:rFonts w:hint="eastAsia" w:hAnsi="宋体" w:cs="宋体"/>
          <w:color w:val="auto"/>
          <w:sz w:val="24"/>
          <w:szCs w:val="24"/>
          <w:u w:val="none" w:color="auto"/>
        </w:rPr>
      </w:pPr>
    </w:p>
    <w:p w14:paraId="0E8F778F">
      <w:pPr>
        <w:pStyle w:val="2"/>
        <w:rPr>
          <w:rFonts w:hint="eastAsia" w:hAnsi="宋体" w:cs="宋体"/>
          <w:color w:val="auto"/>
          <w:sz w:val="24"/>
          <w:szCs w:val="24"/>
          <w:u w:val="none" w:color="auto"/>
        </w:rPr>
      </w:pPr>
    </w:p>
    <w:p w14:paraId="358D8E1C">
      <w:pPr>
        <w:pStyle w:val="2"/>
        <w:rPr>
          <w:rFonts w:hint="eastAsia" w:hAnsi="宋体" w:cs="宋体"/>
          <w:color w:val="auto"/>
          <w:sz w:val="24"/>
          <w:szCs w:val="24"/>
          <w:u w:val="none" w:color="auto"/>
        </w:rPr>
      </w:pPr>
    </w:p>
    <w:p w14:paraId="1FCC82CF">
      <w:pPr>
        <w:pStyle w:val="2"/>
        <w:rPr>
          <w:rFonts w:hint="eastAsia" w:hAnsi="宋体" w:cs="宋体"/>
          <w:color w:val="auto"/>
          <w:sz w:val="24"/>
          <w:szCs w:val="24"/>
          <w:u w:val="none" w:color="auto"/>
        </w:rPr>
      </w:pPr>
    </w:p>
    <w:p w14:paraId="7D051D40">
      <w:pPr>
        <w:pStyle w:val="2"/>
        <w:rPr>
          <w:rFonts w:hint="eastAsia" w:hAnsi="宋体" w:cs="宋体"/>
          <w:color w:val="auto"/>
          <w:sz w:val="24"/>
          <w:szCs w:val="24"/>
          <w:u w:val="none" w:color="auto"/>
        </w:rPr>
      </w:pPr>
    </w:p>
    <w:p w14:paraId="30347D94">
      <w:pPr>
        <w:pStyle w:val="2"/>
        <w:rPr>
          <w:rFonts w:hint="eastAsia" w:hAnsi="宋体" w:cs="宋体"/>
          <w:color w:val="auto"/>
          <w:sz w:val="24"/>
          <w:szCs w:val="24"/>
          <w:u w:val="none" w:color="auto"/>
        </w:rPr>
      </w:pPr>
    </w:p>
    <w:p w14:paraId="637BBF77">
      <w:pPr>
        <w:pStyle w:val="2"/>
        <w:rPr>
          <w:rFonts w:hint="eastAsia" w:hAnsi="宋体" w:cs="宋体"/>
          <w:color w:val="auto"/>
          <w:sz w:val="24"/>
          <w:szCs w:val="24"/>
          <w:u w:val="none" w:color="auto"/>
        </w:rPr>
      </w:pPr>
    </w:p>
    <w:p w14:paraId="7444DC05">
      <w:pPr>
        <w:pStyle w:val="2"/>
        <w:rPr>
          <w:rFonts w:hint="eastAsia" w:hAnsi="宋体" w:cs="宋体"/>
          <w:color w:val="auto"/>
          <w:sz w:val="24"/>
          <w:szCs w:val="24"/>
          <w:u w:val="none" w:color="auto"/>
        </w:rPr>
      </w:pPr>
    </w:p>
    <w:p w14:paraId="2AE263C9">
      <w:pPr>
        <w:pStyle w:val="2"/>
        <w:rPr>
          <w:rFonts w:hint="eastAsia" w:hAnsi="宋体" w:cs="宋体"/>
          <w:color w:val="auto"/>
          <w:sz w:val="24"/>
          <w:szCs w:val="24"/>
          <w:u w:val="none" w:color="auto"/>
        </w:rPr>
      </w:pPr>
    </w:p>
    <w:p w14:paraId="570FAA79">
      <w:pPr>
        <w:pStyle w:val="2"/>
        <w:rPr>
          <w:rFonts w:hint="eastAsia" w:hAnsi="宋体" w:cs="宋体"/>
          <w:color w:val="auto"/>
          <w:sz w:val="24"/>
          <w:szCs w:val="24"/>
          <w:u w:val="none" w:color="auto"/>
        </w:rPr>
      </w:pPr>
    </w:p>
    <w:p w14:paraId="66415C89">
      <w:pPr>
        <w:pStyle w:val="2"/>
        <w:rPr>
          <w:rFonts w:hint="eastAsia" w:hAnsi="宋体" w:cs="宋体"/>
          <w:color w:val="auto"/>
          <w:sz w:val="24"/>
          <w:szCs w:val="24"/>
          <w:u w:val="none" w:color="auto"/>
        </w:rPr>
      </w:pPr>
    </w:p>
    <w:p w14:paraId="48BF90DB">
      <w:pPr>
        <w:pStyle w:val="2"/>
        <w:rPr>
          <w:rFonts w:hint="eastAsia" w:hAnsi="宋体" w:cs="宋体"/>
          <w:color w:val="auto"/>
          <w:sz w:val="24"/>
          <w:szCs w:val="24"/>
          <w:u w:val="none" w:color="auto"/>
        </w:rPr>
      </w:pPr>
    </w:p>
    <w:p w14:paraId="660A531B">
      <w:pPr>
        <w:pStyle w:val="2"/>
        <w:rPr>
          <w:rFonts w:hint="eastAsia" w:hAnsi="宋体" w:cs="宋体"/>
          <w:color w:val="auto"/>
          <w:sz w:val="24"/>
          <w:szCs w:val="24"/>
          <w:u w:val="none" w:color="auto"/>
        </w:rPr>
      </w:pPr>
    </w:p>
    <w:p w14:paraId="2C347376">
      <w:pPr>
        <w:pStyle w:val="2"/>
        <w:rPr>
          <w:rFonts w:hint="eastAsia" w:hAnsi="宋体" w:cs="宋体"/>
          <w:color w:val="auto"/>
          <w:sz w:val="24"/>
          <w:szCs w:val="24"/>
          <w:u w:val="none" w:color="auto"/>
        </w:rPr>
      </w:pPr>
    </w:p>
    <w:p w14:paraId="1C0C9B71">
      <w:pPr>
        <w:pStyle w:val="2"/>
        <w:rPr>
          <w:rFonts w:hint="eastAsia" w:hAnsi="宋体" w:cs="宋体"/>
          <w:color w:val="auto"/>
          <w:sz w:val="24"/>
          <w:szCs w:val="24"/>
          <w:u w:val="none" w:color="auto"/>
        </w:rPr>
      </w:pPr>
    </w:p>
    <w:p w14:paraId="54C956E9">
      <w:pPr>
        <w:pStyle w:val="2"/>
        <w:rPr>
          <w:rFonts w:hint="eastAsia" w:hAnsi="宋体" w:cs="宋体"/>
          <w:color w:val="auto"/>
          <w:sz w:val="24"/>
          <w:szCs w:val="24"/>
          <w:u w:val="none" w:color="auto"/>
        </w:rPr>
      </w:pPr>
    </w:p>
    <w:p w14:paraId="41882630">
      <w:pPr>
        <w:pStyle w:val="2"/>
        <w:rPr>
          <w:rFonts w:hint="eastAsia" w:hAnsi="宋体" w:cs="宋体"/>
          <w:color w:val="auto"/>
          <w:sz w:val="24"/>
          <w:szCs w:val="24"/>
          <w:u w:val="none" w:color="auto"/>
        </w:rPr>
      </w:pPr>
    </w:p>
    <w:p w14:paraId="00D7AFC3">
      <w:pPr>
        <w:pStyle w:val="2"/>
        <w:rPr>
          <w:rFonts w:hint="eastAsia" w:hAnsi="宋体" w:cs="宋体"/>
          <w:color w:val="auto"/>
          <w:sz w:val="24"/>
          <w:szCs w:val="24"/>
          <w:u w:val="none" w:color="auto"/>
        </w:rPr>
      </w:pPr>
    </w:p>
    <w:p w14:paraId="0CABC322">
      <w:pPr>
        <w:pStyle w:val="2"/>
        <w:rPr>
          <w:rFonts w:hint="eastAsia" w:hAnsi="宋体" w:cs="宋体"/>
          <w:color w:val="auto"/>
          <w:sz w:val="24"/>
          <w:szCs w:val="24"/>
          <w:u w:val="none" w:color="auto"/>
        </w:rPr>
      </w:pPr>
    </w:p>
    <w:p w14:paraId="51CF2CFB">
      <w:pPr>
        <w:pStyle w:val="2"/>
        <w:rPr>
          <w:rFonts w:hint="eastAsia" w:hAnsi="宋体" w:cs="宋体"/>
          <w:color w:val="auto"/>
          <w:sz w:val="24"/>
          <w:szCs w:val="24"/>
          <w:u w:val="none" w:color="auto"/>
        </w:rPr>
      </w:pPr>
    </w:p>
    <w:p w14:paraId="1DA19A00">
      <w:pPr>
        <w:pStyle w:val="2"/>
        <w:rPr>
          <w:rFonts w:hint="eastAsia" w:hAnsi="宋体" w:cs="宋体"/>
          <w:color w:val="auto"/>
          <w:sz w:val="24"/>
          <w:szCs w:val="24"/>
          <w:u w:val="none" w:color="auto"/>
        </w:rPr>
      </w:pPr>
    </w:p>
    <w:p w14:paraId="45893616">
      <w:pPr>
        <w:pStyle w:val="2"/>
        <w:rPr>
          <w:rFonts w:hint="eastAsia" w:hAnsi="宋体" w:cs="宋体"/>
          <w:color w:val="auto"/>
          <w:sz w:val="24"/>
          <w:szCs w:val="24"/>
          <w:u w:val="none" w:color="auto"/>
        </w:rPr>
      </w:pPr>
    </w:p>
    <w:p w14:paraId="70D9766A">
      <w:pPr>
        <w:pStyle w:val="2"/>
        <w:rPr>
          <w:rFonts w:hint="eastAsia" w:hAnsi="宋体" w:cs="宋体"/>
          <w:color w:val="auto"/>
          <w:sz w:val="24"/>
          <w:szCs w:val="24"/>
          <w:u w:val="none" w:color="auto"/>
        </w:rPr>
      </w:pPr>
    </w:p>
    <w:p w14:paraId="1BD8D247">
      <w:pPr>
        <w:pStyle w:val="2"/>
        <w:rPr>
          <w:rFonts w:hint="eastAsia" w:hAnsi="宋体" w:cs="宋体"/>
          <w:color w:val="auto"/>
          <w:sz w:val="24"/>
          <w:szCs w:val="24"/>
          <w:u w:val="none" w:color="auto"/>
        </w:rPr>
      </w:pPr>
    </w:p>
    <w:p w14:paraId="6BDDC948">
      <w:pPr>
        <w:pStyle w:val="2"/>
        <w:rPr>
          <w:rFonts w:hint="eastAsia" w:hAnsi="宋体" w:cs="宋体"/>
          <w:color w:val="auto"/>
          <w:sz w:val="24"/>
          <w:szCs w:val="24"/>
          <w:u w:val="none" w:color="auto"/>
        </w:rPr>
      </w:pPr>
    </w:p>
    <w:p w14:paraId="0F3FED5A">
      <w:pPr>
        <w:pStyle w:val="2"/>
        <w:rPr>
          <w:rFonts w:hint="eastAsia" w:hAnsi="宋体" w:cs="宋体"/>
          <w:color w:val="auto"/>
          <w:sz w:val="24"/>
          <w:szCs w:val="24"/>
          <w:u w:val="none" w:color="auto"/>
        </w:rPr>
      </w:pPr>
    </w:p>
    <w:p w14:paraId="1BCBEB13">
      <w:pPr>
        <w:pStyle w:val="3"/>
        <w:spacing w:before="0" w:after="0" w:line="360" w:lineRule="auto"/>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第四章  响应文件格式</w:t>
      </w:r>
    </w:p>
    <w:p w14:paraId="3147CB38">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p>
    <w:p w14:paraId="720B87E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响应文件封面</w:t>
      </w:r>
    </w:p>
    <w:p w14:paraId="0C7FBB0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格式1   响应函</w:t>
      </w:r>
    </w:p>
    <w:p w14:paraId="5C848572">
      <w:pPr>
        <w:spacing w:line="360" w:lineRule="auto"/>
        <w:ind w:firstLine="480" w:firstLineChars="200"/>
        <w:jc w:val="left"/>
        <w:rPr>
          <w:rFonts w:hint="eastAsia" w:ascii="宋体" w:hAnsi="宋体" w:cs="宋体"/>
          <w:bCs/>
          <w:color w:val="auto"/>
          <w:sz w:val="28"/>
          <w:szCs w:val="28"/>
          <w:highlight w:val="none"/>
        </w:rPr>
      </w:pPr>
      <w:r>
        <w:rPr>
          <w:rFonts w:hint="eastAsia" w:ascii="宋体" w:hAnsi="宋体" w:cs="宋体"/>
          <w:bCs/>
          <w:color w:val="auto"/>
          <w:sz w:val="24"/>
          <w:highlight w:val="none"/>
        </w:rPr>
        <w:t>格式2   法定代表人资格证明书</w:t>
      </w:r>
    </w:p>
    <w:p w14:paraId="534C4FF6">
      <w:pPr>
        <w:tabs>
          <w:tab w:val="left" w:pos="360"/>
          <w:tab w:val="left" w:pos="1800"/>
        </w:tabs>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格式3   法定代表人授权书</w:t>
      </w:r>
    </w:p>
    <w:p w14:paraId="5AC2B5AD">
      <w:pPr>
        <w:tabs>
          <w:tab w:val="left" w:pos="360"/>
          <w:tab w:val="left" w:pos="1800"/>
        </w:tabs>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 xml:space="preserve">格式4   </w:t>
      </w:r>
      <w:r>
        <w:rPr>
          <w:rFonts w:hint="eastAsia" w:ascii="宋体" w:hAnsi="宋体" w:cs="宋体"/>
          <w:color w:val="auto"/>
          <w:sz w:val="24"/>
          <w:highlight w:val="none"/>
        </w:rPr>
        <w:t>供应商资格声明</w:t>
      </w:r>
    </w:p>
    <w:p w14:paraId="53A4C619">
      <w:pPr>
        <w:tabs>
          <w:tab w:val="left" w:pos="360"/>
          <w:tab w:val="left" w:pos="1800"/>
        </w:tabs>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格式5   政府采购领域诚信承诺书</w:t>
      </w:r>
    </w:p>
    <w:p w14:paraId="355ACD32">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格式6   中小企业声明函</w:t>
      </w:r>
    </w:p>
    <w:p w14:paraId="723E87AF">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格式7   商务报价一览表（首次）</w:t>
      </w:r>
    </w:p>
    <w:p w14:paraId="14AFA0EB">
      <w:pPr>
        <w:spacing w:line="360" w:lineRule="auto"/>
        <w:ind w:firstLine="480" w:firstLineChars="200"/>
        <w:jc w:val="left"/>
        <w:rPr>
          <w:rFonts w:hint="eastAsia" w:ascii="宋体" w:hAnsi="宋体" w:cs="宋体"/>
          <w:bCs/>
          <w:color w:val="auto"/>
          <w:sz w:val="36"/>
          <w:szCs w:val="36"/>
          <w:highlight w:val="none"/>
        </w:rPr>
      </w:pPr>
      <w:r>
        <w:rPr>
          <w:rFonts w:hint="eastAsia" w:ascii="宋体" w:hAnsi="宋体" w:cs="宋体"/>
          <w:bCs/>
          <w:color w:val="auto"/>
          <w:sz w:val="24"/>
          <w:highlight w:val="none"/>
        </w:rPr>
        <w:t xml:space="preserve">格式8   </w:t>
      </w:r>
      <w:r>
        <w:rPr>
          <w:rFonts w:hint="eastAsia" w:ascii="宋体" w:hAnsi="宋体" w:cs="宋体"/>
          <w:color w:val="auto"/>
          <w:sz w:val="24"/>
          <w:highlight w:val="none"/>
        </w:rPr>
        <w:t>商务条款响应偏离表</w:t>
      </w:r>
    </w:p>
    <w:p w14:paraId="4C77144F">
      <w:pPr>
        <w:tabs>
          <w:tab w:val="left" w:pos="360"/>
          <w:tab w:val="left" w:pos="1800"/>
        </w:tabs>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格式</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 xml:space="preserve">   </w:t>
      </w:r>
      <w:r>
        <w:rPr>
          <w:rFonts w:hint="eastAsia" w:ascii="宋体" w:hAnsi="宋体" w:cs="宋体"/>
          <w:color w:val="auto"/>
          <w:sz w:val="24"/>
          <w:highlight w:val="none"/>
        </w:rPr>
        <w:t>近三年（自202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年1月1日至今）同类项目业绩表</w:t>
      </w:r>
    </w:p>
    <w:p w14:paraId="6FA8C77D">
      <w:pPr>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格式1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 xml:space="preserve">   </w:t>
      </w:r>
      <w:r>
        <w:rPr>
          <w:rFonts w:hint="eastAsia" w:ascii="宋体" w:hAnsi="宋体" w:cs="宋体"/>
          <w:color w:val="auto"/>
          <w:sz w:val="24"/>
          <w:highlight w:val="none"/>
        </w:rPr>
        <w:t>技术条款响应偏离表</w:t>
      </w:r>
    </w:p>
    <w:p w14:paraId="16578DA7">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格式1</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 xml:space="preserve">   资格性/符合性自查表</w:t>
      </w:r>
    </w:p>
    <w:p w14:paraId="1BC6965B">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p>
    <w:p w14:paraId="35585D0A">
      <w:pPr>
        <w:widowControl w:val="0"/>
        <w:wordWrap/>
        <w:adjustRightInd/>
        <w:snapToGrid/>
        <w:spacing w:line="360" w:lineRule="auto"/>
        <w:ind w:firstLine="723" w:firstLineChars="200"/>
        <w:jc w:val="left"/>
        <w:textAlignment w:val="auto"/>
        <w:outlineLvl w:val="9"/>
        <w:rPr>
          <w:rFonts w:hint="eastAsia" w:ascii="宋体" w:hAnsi="宋体" w:eastAsia="宋体" w:cs="宋体"/>
          <w:b/>
          <w:bCs/>
          <w:color w:val="auto"/>
          <w:sz w:val="36"/>
          <w:szCs w:val="36"/>
          <w:highlight w:val="none"/>
        </w:rPr>
      </w:pPr>
    </w:p>
    <w:p w14:paraId="12000EB6">
      <w:pPr>
        <w:spacing w:line="360" w:lineRule="auto"/>
        <w:jc w:val="center"/>
        <w:rPr>
          <w:rFonts w:hint="eastAsia" w:ascii="宋体" w:hAnsi="宋体" w:eastAsia="宋体" w:cs="宋体"/>
          <w:b/>
          <w:color w:val="auto"/>
          <w:sz w:val="48"/>
          <w:szCs w:val="48"/>
          <w:highlight w:val="none"/>
        </w:rPr>
      </w:pPr>
    </w:p>
    <w:p w14:paraId="28FD52D5">
      <w:pPr>
        <w:spacing w:line="360" w:lineRule="auto"/>
        <w:jc w:val="center"/>
        <w:rPr>
          <w:rFonts w:hint="eastAsia" w:ascii="宋体" w:hAnsi="宋体" w:eastAsia="宋体" w:cs="宋体"/>
          <w:b/>
          <w:color w:val="auto"/>
          <w:sz w:val="48"/>
          <w:szCs w:val="48"/>
          <w:highlight w:val="none"/>
        </w:rPr>
      </w:pPr>
    </w:p>
    <w:p w14:paraId="4EEE6205">
      <w:pPr>
        <w:spacing w:line="360" w:lineRule="auto"/>
        <w:jc w:val="center"/>
        <w:rPr>
          <w:rFonts w:hint="eastAsia" w:ascii="宋体" w:hAnsi="宋体" w:eastAsia="宋体" w:cs="宋体"/>
          <w:b/>
          <w:color w:val="auto"/>
          <w:sz w:val="48"/>
          <w:szCs w:val="48"/>
          <w:highlight w:val="none"/>
        </w:rPr>
      </w:pPr>
    </w:p>
    <w:p w14:paraId="1A9E453C">
      <w:pPr>
        <w:rPr>
          <w:rFonts w:hint="eastAsia" w:ascii="宋体" w:hAnsi="宋体" w:eastAsia="宋体" w:cs="宋体"/>
          <w:b/>
          <w:color w:val="auto"/>
          <w:sz w:val="48"/>
          <w:szCs w:val="48"/>
          <w:highlight w:val="none"/>
        </w:rPr>
      </w:pPr>
    </w:p>
    <w:p w14:paraId="3E8136F0">
      <w:pPr>
        <w:pStyle w:val="2"/>
        <w:rPr>
          <w:rFonts w:hint="eastAsia" w:ascii="宋体" w:hAnsi="宋体" w:eastAsia="宋体" w:cs="宋体"/>
          <w:b/>
          <w:color w:val="auto"/>
          <w:sz w:val="48"/>
          <w:szCs w:val="48"/>
          <w:highlight w:val="none"/>
        </w:rPr>
      </w:pPr>
    </w:p>
    <w:p w14:paraId="0F3DB78D">
      <w:pPr>
        <w:pStyle w:val="2"/>
        <w:rPr>
          <w:rFonts w:hint="eastAsia" w:ascii="宋体" w:hAnsi="宋体" w:eastAsia="宋体" w:cs="宋体"/>
          <w:b/>
          <w:color w:val="auto"/>
          <w:sz w:val="48"/>
          <w:szCs w:val="48"/>
          <w:highlight w:val="none"/>
        </w:rPr>
      </w:pPr>
    </w:p>
    <w:p w14:paraId="4456EA8B">
      <w:pPr>
        <w:pStyle w:val="2"/>
        <w:rPr>
          <w:rFonts w:hint="eastAsia" w:ascii="宋体" w:hAnsi="宋体" w:eastAsia="宋体" w:cs="宋体"/>
          <w:b/>
          <w:color w:val="auto"/>
          <w:sz w:val="48"/>
          <w:szCs w:val="48"/>
          <w:highlight w:val="none"/>
        </w:rPr>
      </w:pPr>
    </w:p>
    <w:p w14:paraId="71C55393">
      <w:pPr>
        <w:pStyle w:val="2"/>
        <w:rPr>
          <w:rFonts w:hint="eastAsia" w:ascii="宋体" w:hAnsi="宋体" w:eastAsia="宋体" w:cs="宋体"/>
          <w:b/>
          <w:color w:val="auto"/>
          <w:sz w:val="48"/>
          <w:szCs w:val="48"/>
          <w:highlight w:val="none"/>
        </w:rPr>
      </w:pPr>
    </w:p>
    <w:p w14:paraId="10341563">
      <w:pPr>
        <w:spacing w:line="360" w:lineRule="auto"/>
        <w:jc w:val="center"/>
        <w:rPr>
          <w:rFonts w:hint="eastAsia" w:ascii="宋体" w:hAnsi="宋体" w:eastAsia="宋体" w:cs="宋体"/>
          <w:b/>
          <w:color w:val="auto"/>
          <w:sz w:val="84"/>
          <w:szCs w:val="84"/>
          <w:highlight w:val="none"/>
          <w:lang w:eastAsia="zh-CN"/>
        </w:rPr>
      </w:pPr>
      <w:r>
        <w:rPr>
          <w:rFonts w:hint="eastAsia" w:ascii="宋体" w:hAnsi="宋体" w:cs="宋体"/>
          <w:b/>
          <w:color w:val="auto"/>
          <w:sz w:val="72"/>
          <w:szCs w:val="72"/>
          <w:highlight w:val="none"/>
          <w:lang w:eastAsia="zh-CN"/>
        </w:rPr>
        <w:t>国家税务总局克拉玛依市克拉玛依区税务局物业管理服务</w:t>
      </w:r>
    </w:p>
    <w:p w14:paraId="708290F0">
      <w:pPr>
        <w:spacing w:line="360" w:lineRule="auto"/>
        <w:jc w:val="center"/>
        <w:rPr>
          <w:rFonts w:hint="eastAsia" w:ascii="宋体" w:hAnsi="宋体" w:eastAsia="宋体" w:cs="宋体"/>
          <w:b/>
          <w:color w:val="auto"/>
          <w:sz w:val="72"/>
          <w:szCs w:val="72"/>
          <w:highlight w:val="none"/>
        </w:rPr>
      </w:pPr>
    </w:p>
    <w:p w14:paraId="5D87E8F6">
      <w:pPr>
        <w:pStyle w:val="2"/>
        <w:rPr>
          <w:rFonts w:hint="eastAsia"/>
          <w:color w:val="auto"/>
          <w:highlight w:val="none"/>
        </w:rPr>
      </w:pPr>
    </w:p>
    <w:p w14:paraId="0EFDE6AC">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  应  文  件</w:t>
      </w:r>
    </w:p>
    <w:p w14:paraId="42F4A73A">
      <w:pPr>
        <w:spacing w:line="360" w:lineRule="auto"/>
        <w:jc w:val="center"/>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rPr>
        <w:t>采购文件编号：</w:t>
      </w:r>
      <w:r>
        <w:rPr>
          <w:rFonts w:hint="eastAsia" w:ascii="宋体" w:hAnsi="宋体" w:cs="宋体"/>
          <w:b/>
          <w:color w:val="auto"/>
          <w:sz w:val="30"/>
          <w:highlight w:val="none"/>
          <w:lang w:eastAsia="zh-CN"/>
        </w:rPr>
        <w:t>KQSWJ（ZC）2025-03</w:t>
      </w:r>
    </w:p>
    <w:p w14:paraId="269BAAAD">
      <w:pPr>
        <w:spacing w:line="360" w:lineRule="auto"/>
        <w:rPr>
          <w:rFonts w:hint="eastAsia" w:ascii="宋体" w:hAnsi="宋体" w:eastAsia="宋体" w:cs="宋体"/>
          <w:b/>
          <w:color w:val="auto"/>
          <w:sz w:val="32"/>
          <w:szCs w:val="32"/>
          <w:highlight w:val="none"/>
        </w:rPr>
      </w:pPr>
    </w:p>
    <w:p w14:paraId="1FFAD61F">
      <w:pPr>
        <w:spacing w:line="360" w:lineRule="auto"/>
        <w:rPr>
          <w:rFonts w:hint="eastAsia" w:ascii="宋体" w:hAnsi="宋体" w:eastAsia="宋体" w:cs="宋体"/>
          <w:b/>
          <w:color w:val="auto"/>
          <w:sz w:val="32"/>
          <w:szCs w:val="32"/>
          <w:highlight w:val="none"/>
        </w:rPr>
      </w:pPr>
    </w:p>
    <w:p w14:paraId="6C5B20F4">
      <w:pPr>
        <w:spacing w:line="360" w:lineRule="auto"/>
        <w:rPr>
          <w:rFonts w:hint="eastAsia" w:ascii="宋体" w:hAnsi="宋体" w:eastAsia="宋体" w:cs="宋体"/>
          <w:b/>
          <w:color w:val="auto"/>
          <w:sz w:val="32"/>
          <w:szCs w:val="32"/>
          <w:highlight w:val="none"/>
        </w:rPr>
      </w:pPr>
    </w:p>
    <w:p w14:paraId="69CFB8EE">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 （单位名称）盖章</w:t>
      </w:r>
    </w:p>
    <w:p w14:paraId="342A97D1">
      <w:pPr>
        <w:spacing w:line="360" w:lineRule="auto"/>
        <w:rPr>
          <w:rFonts w:hint="eastAsia" w:ascii="宋体" w:hAnsi="宋体" w:eastAsia="宋体" w:cs="宋体"/>
          <w:b/>
          <w:color w:val="auto"/>
          <w:sz w:val="30"/>
          <w:szCs w:val="30"/>
          <w:highlight w:val="none"/>
        </w:rPr>
      </w:pPr>
    </w:p>
    <w:p w14:paraId="64215967">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单位地址：</w:t>
      </w:r>
    </w:p>
    <w:p w14:paraId="0F6161DD">
      <w:pPr>
        <w:spacing w:line="360" w:lineRule="auto"/>
        <w:rPr>
          <w:rFonts w:hint="eastAsia" w:ascii="宋体" w:hAnsi="宋体" w:eastAsia="宋体" w:cs="宋体"/>
          <w:b/>
          <w:color w:val="auto"/>
          <w:sz w:val="30"/>
          <w:szCs w:val="30"/>
          <w:highlight w:val="none"/>
        </w:rPr>
      </w:pPr>
    </w:p>
    <w:p w14:paraId="13BA01B7">
      <w:pPr>
        <w:pStyle w:val="33"/>
        <w:spacing w:line="360" w:lineRule="auto"/>
        <w:ind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联系人：                   联系电话：</w:t>
      </w:r>
    </w:p>
    <w:p w14:paraId="4F645DF6">
      <w:pPr>
        <w:pStyle w:val="33"/>
        <w:spacing w:line="360" w:lineRule="auto"/>
        <w:ind w:firstLine="596" w:firstLineChars="198"/>
        <w:rPr>
          <w:rFonts w:hint="eastAsia" w:ascii="宋体" w:hAnsi="宋体" w:eastAsia="宋体" w:cs="宋体"/>
          <w:b/>
          <w:color w:val="auto"/>
          <w:sz w:val="30"/>
          <w:szCs w:val="30"/>
          <w:highlight w:val="none"/>
        </w:rPr>
      </w:pPr>
    </w:p>
    <w:p w14:paraId="0A90E56F">
      <w:pPr>
        <w:pStyle w:val="33"/>
        <w:spacing w:line="360" w:lineRule="auto"/>
        <w:ind w:firstLine="596" w:firstLineChars="198"/>
        <w:rPr>
          <w:rFonts w:hint="eastAsia" w:ascii="宋体" w:hAnsi="宋体" w:eastAsia="宋体" w:cs="宋体"/>
          <w:b/>
          <w:color w:val="auto"/>
          <w:sz w:val="30"/>
          <w:szCs w:val="30"/>
          <w:highlight w:val="none"/>
        </w:rPr>
      </w:pPr>
    </w:p>
    <w:p w14:paraId="60367D52">
      <w:pPr>
        <w:rPr>
          <w:rFonts w:hint="eastAsia" w:ascii="宋体" w:hAnsi="宋体" w:eastAsia="宋体" w:cs="宋体"/>
          <w:b/>
          <w:color w:val="auto"/>
          <w:sz w:val="30"/>
          <w:szCs w:val="30"/>
          <w:highlight w:val="none"/>
        </w:rPr>
      </w:pPr>
    </w:p>
    <w:p w14:paraId="7E7A134D">
      <w:pPr>
        <w:pStyle w:val="2"/>
        <w:rPr>
          <w:rFonts w:hint="eastAsia" w:ascii="宋体" w:hAnsi="宋体" w:eastAsia="宋体" w:cs="宋体"/>
          <w:b/>
          <w:color w:val="auto"/>
          <w:sz w:val="30"/>
          <w:szCs w:val="30"/>
          <w:highlight w:val="none"/>
        </w:rPr>
      </w:pPr>
    </w:p>
    <w:p w14:paraId="17135901">
      <w:pPr>
        <w:pStyle w:val="2"/>
        <w:rPr>
          <w:rFonts w:hint="eastAsia" w:ascii="宋体" w:hAnsi="宋体" w:eastAsia="宋体" w:cs="宋体"/>
          <w:b/>
          <w:color w:val="auto"/>
          <w:sz w:val="30"/>
          <w:szCs w:val="30"/>
          <w:highlight w:val="none"/>
        </w:rPr>
      </w:pPr>
    </w:p>
    <w:p w14:paraId="2AC4D605">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格式1  响  应  函</w:t>
      </w:r>
    </w:p>
    <w:p w14:paraId="0869B336">
      <w:pPr>
        <w:wordWrap/>
        <w:spacing w:line="360" w:lineRule="auto"/>
        <w:ind w:firstLine="480" w:firstLineChars="200"/>
        <w:textAlignment w:val="auto"/>
        <w:rPr>
          <w:rFonts w:hint="eastAsia" w:ascii="宋体" w:hAnsi="宋体" w:eastAsia="宋体" w:cs="宋体"/>
          <w:bCs/>
          <w:color w:val="auto"/>
          <w:kern w:val="0"/>
          <w:sz w:val="24"/>
          <w:szCs w:val="24"/>
          <w:highlight w:val="none"/>
          <w:lang w:eastAsia="zh-CN"/>
        </w:rPr>
      </w:pPr>
    </w:p>
    <w:p w14:paraId="5EAABC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国家税务总局克拉玛依市克拉玛依区税务局</w:t>
      </w:r>
      <w:r>
        <w:rPr>
          <w:rFonts w:hint="eastAsia" w:ascii="宋体" w:hAnsi="宋体" w:eastAsia="宋体" w:cs="宋体"/>
          <w:color w:val="auto"/>
          <w:sz w:val="24"/>
          <w:szCs w:val="24"/>
          <w:highlight w:val="none"/>
        </w:rPr>
        <w:t>：</w:t>
      </w:r>
    </w:p>
    <w:p w14:paraId="3E7FC1F3">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p>
    <w:p w14:paraId="34A468E8">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我方全面研究了</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项目采购文件</w:t>
      </w:r>
      <w:r>
        <w:rPr>
          <w:rFonts w:hint="eastAsia" w:ascii="宋体" w:hAnsi="宋体" w:eastAsia="宋体" w:cs="宋体"/>
          <w:b w:val="0"/>
          <w:bCs/>
          <w:color w:val="auto"/>
          <w:sz w:val="24"/>
          <w:szCs w:val="24"/>
          <w:highlight w:val="none"/>
          <w:u w:val="single"/>
        </w:rPr>
        <w:t>（文件编号：    ）</w:t>
      </w:r>
      <w:r>
        <w:rPr>
          <w:rFonts w:hint="eastAsia" w:ascii="宋体" w:hAnsi="宋体" w:eastAsia="宋体" w:cs="宋体"/>
          <w:b w:val="0"/>
          <w:bCs/>
          <w:color w:val="auto"/>
          <w:sz w:val="24"/>
          <w:szCs w:val="24"/>
          <w:highlight w:val="none"/>
        </w:rPr>
        <w:t>，决定参加本项目投标。我方授权</w:t>
      </w:r>
      <w:r>
        <w:rPr>
          <w:rFonts w:hint="eastAsia" w:ascii="宋体" w:hAnsi="宋体" w:eastAsia="宋体" w:cs="宋体"/>
          <w:b w:val="0"/>
          <w:bCs/>
          <w:color w:val="auto"/>
          <w:sz w:val="24"/>
          <w:szCs w:val="24"/>
          <w:highlight w:val="none"/>
          <w:u w:val="single"/>
        </w:rPr>
        <w:t xml:space="preserve">        （姓名、职务）</w:t>
      </w:r>
      <w:r>
        <w:rPr>
          <w:rFonts w:hint="eastAsia" w:ascii="宋体" w:hAnsi="宋体" w:eastAsia="宋体" w:cs="宋体"/>
          <w:b w:val="0"/>
          <w:bCs/>
          <w:color w:val="auto"/>
          <w:sz w:val="24"/>
          <w:szCs w:val="24"/>
          <w:highlight w:val="none"/>
        </w:rPr>
        <w:t>代表我方</w:t>
      </w:r>
      <w:r>
        <w:rPr>
          <w:rFonts w:hint="eastAsia" w:ascii="宋体" w:hAnsi="宋体" w:eastAsia="宋体" w:cs="宋体"/>
          <w:b w:val="0"/>
          <w:bCs/>
          <w:color w:val="auto"/>
          <w:sz w:val="24"/>
          <w:szCs w:val="24"/>
          <w:highlight w:val="none"/>
          <w:u w:val="single"/>
        </w:rPr>
        <w:t xml:space="preserve">          （供应商的名称）</w:t>
      </w:r>
      <w:r>
        <w:rPr>
          <w:rFonts w:hint="eastAsia" w:ascii="宋体" w:hAnsi="宋体" w:eastAsia="宋体" w:cs="宋体"/>
          <w:b w:val="0"/>
          <w:bCs/>
          <w:color w:val="auto"/>
          <w:sz w:val="24"/>
          <w:szCs w:val="24"/>
          <w:highlight w:val="none"/>
        </w:rPr>
        <w:t>全权处理本项目投标的有关事宜。</w:t>
      </w:r>
    </w:p>
    <w:p w14:paraId="4369C7DF">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1、我方自愿按照磋商文件规定的各项要求向采购人提供所需工作内容。</w:t>
      </w:r>
    </w:p>
    <w:p w14:paraId="6717FFF1">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2、若我方入围，我方将严格履行合同规定的责任和义务，保证按采购人要求及我方承诺完成所需服务及应尽义务。</w:t>
      </w:r>
    </w:p>
    <w:p w14:paraId="4B62E9B4">
      <w:pPr>
        <w:pStyle w:val="36"/>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3．其投标自递交响应文件截止之日起有效期为</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个日历日。如果我们的投标被接受，则至合同生效时止，本投标始终有效，我们将按服务协议、投标承诺及采购文件的规定履行合同责任和义务。</w:t>
      </w:r>
    </w:p>
    <w:p w14:paraId="4E931BB6">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4、我方愿意提供采购人可能另外要求的，与公开有关的文件资料，并保证我方已提供和将要提供的文件资料是真实、准确的。</w:t>
      </w:r>
    </w:p>
    <w:p w14:paraId="283EC0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、我方完全理解你们将不受必须接受你们所收到的最低投标价及其它任何响应文件的约束。</w:t>
      </w:r>
    </w:p>
    <w:p w14:paraId="4ADE627E">
      <w:pPr>
        <w:wordWrap/>
        <w:spacing w:line="360" w:lineRule="auto"/>
        <w:ind w:firstLine="480" w:firstLineChars="200"/>
        <w:textAlignment w:val="auto"/>
        <w:rPr>
          <w:rFonts w:hint="eastAsia" w:ascii="宋体" w:hAnsi="宋体" w:eastAsia="宋体" w:cs="宋体"/>
          <w:bCs/>
          <w:color w:val="auto"/>
          <w:sz w:val="24"/>
          <w:szCs w:val="24"/>
          <w:highlight w:val="none"/>
        </w:rPr>
      </w:pPr>
    </w:p>
    <w:p w14:paraId="4EB19240">
      <w:pPr>
        <w:wordWrap/>
        <w:spacing w:line="360" w:lineRule="auto"/>
        <w:ind w:firstLine="480" w:firstLineChars="200"/>
        <w:textAlignment w:val="auto"/>
        <w:rPr>
          <w:rFonts w:hint="eastAsia" w:ascii="宋体" w:hAnsi="宋体" w:eastAsia="宋体" w:cs="宋体"/>
          <w:bCs/>
          <w:color w:val="auto"/>
          <w:sz w:val="24"/>
          <w:szCs w:val="24"/>
          <w:highlight w:val="none"/>
        </w:rPr>
      </w:pPr>
    </w:p>
    <w:p w14:paraId="37295777">
      <w:pPr>
        <w:wordWrap/>
        <w:spacing w:line="360" w:lineRule="auto"/>
        <w:ind w:firstLine="480" w:firstLineChars="200"/>
        <w:textAlignment w:val="auto"/>
        <w:rPr>
          <w:rFonts w:hint="eastAsia" w:ascii="宋体" w:hAnsi="宋体" w:eastAsia="宋体" w:cs="宋体"/>
          <w:bCs/>
          <w:color w:val="auto"/>
          <w:sz w:val="24"/>
          <w:szCs w:val="24"/>
          <w:highlight w:val="none"/>
        </w:rPr>
      </w:pPr>
    </w:p>
    <w:p w14:paraId="1E987B61">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供应商名称：        （盖章）</w:t>
      </w:r>
    </w:p>
    <w:p w14:paraId="6D645352">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法定代表人或授权代表（签字）或盖章：</w:t>
      </w:r>
    </w:p>
    <w:p w14:paraId="539AB6D6">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通讯地址：</w:t>
      </w:r>
    </w:p>
    <w:p w14:paraId="3E9FBA7D">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邮政编码：</w:t>
      </w:r>
    </w:p>
    <w:p w14:paraId="16F6C8A2">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p w14:paraId="15D4377B">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传    真：</w:t>
      </w:r>
    </w:p>
    <w:p w14:paraId="6153D1A3">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    期：      年   月   日</w:t>
      </w:r>
    </w:p>
    <w:p w14:paraId="4B0FAEAD">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p>
    <w:p w14:paraId="3FC97BE5">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p>
    <w:p w14:paraId="62F42FA7">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p>
    <w:p w14:paraId="5FB96220">
      <w:pPr>
        <w:pStyle w:val="4"/>
        <w:wordWrap/>
        <w:spacing w:before="0" w:after="0" w:line="360" w:lineRule="auto"/>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格式2   法定代表人资格证明书</w:t>
      </w:r>
    </w:p>
    <w:p w14:paraId="6AFCFDB1">
      <w:pPr>
        <w:tabs>
          <w:tab w:val="left" w:pos="360"/>
          <w:tab w:val="left" w:pos="1800"/>
        </w:tabs>
        <w:wordWrap/>
        <w:spacing w:line="360" w:lineRule="auto"/>
        <w:ind w:left="540"/>
        <w:textAlignment w:val="auto"/>
        <w:rPr>
          <w:rFonts w:hint="eastAsia" w:ascii="宋体" w:hAnsi="宋体" w:eastAsia="宋体" w:cs="宋体"/>
          <w:bCs/>
          <w:color w:val="auto"/>
          <w:sz w:val="24"/>
          <w:szCs w:val="24"/>
          <w:highlight w:val="none"/>
        </w:rPr>
      </w:pPr>
    </w:p>
    <w:p w14:paraId="7B6E9D6B">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4EDFEC7D">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3ACE856">
      <w:pPr>
        <w:tabs>
          <w:tab w:val="left" w:pos="360"/>
          <w:tab w:val="left" w:pos="720"/>
          <w:tab w:val="left" w:pos="90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年龄：         职务： </w:t>
      </w:r>
    </w:p>
    <w:p w14:paraId="1941E1EF">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（单位） </w:t>
      </w:r>
      <w:r>
        <w:rPr>
          <w:rFonts w:hint="eastAsia" w:ascii="宋体" w:hAnsi="宋体" w:eastAsia="宋体" w:cs="宋体"/>
          <w:color w:val="auto"/>
          <w:sz w:val="24"/>
          <w:szCs w:val="24"/>
          <w:highlight w:val="none"/>
        </w:rPr>
        <w:t>的法定代表人。为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的项目，签署本项目的响应文件、进行合同谈判、签署合同和处理与之有关的一切事务。</w:t>
      </w:r>
    </w:p>
    <w:p w14:paraId="66FD17E7">
      <w:pPr>
        <w:tabs>
          <w:tab w:val="left" w:pos="360"/>
          <w:tab w:val="left" w:pos="1800"/>
        </w:tabs>
        <w:wordWrap/>
        <w:spacing w:line="360" w:lineRule="auto"/>
        <w:textAlignment w:val="auto"/>
        <w:rPr>
          <w:rFonts w:hint="eastAsia" w:ascii="宋体" w:hAnsi="宋体" w:eastAsia="宋体" w:cs="宋体"/>
          <w:color w:val="auto"/>
          <w:sz w:val="24"/>
          <w:szCs w:val="24"/>
          <w:highlight w:val="none"/>
        </w:rPr>
      </w:pPr>
    </w:p>
    <w:p w14:paraId="0BC1B15A">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C194099">
      <w:pPr>
        <w:tabs>
          <w:tab w:val="left" w:pos="360"/>
          <w:tab w:val="left" w:pos="1800"/>
        </w:tabs>
        <w:wordWrap/>
        <w:spacing w:line="360" w:lineRule="auto"/>
        <w:ind w:left="4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16C31906">
      <w:pPr>
        <w:tabs>
          <w:tab w:val="left" w:pos="360"/>
          <w:tab w:val="left" w:pos="1800"/>
        </w:tabs>
        <w:wordWrap/>
        <w:spacing w:line="360" w:lineRule="auto"/>
        <w:ind w:left="4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3335D16">
      <w:pPr>
        <w:tabs>
          <w:tab w:val="left" w:pos="360"/>
          <w:tab w:val="left" w:pos="1800"/>
        </w:tabs>
        <w:wordWrap/>
        <w:spacing w:line="360" w:lineRule="auto"/>
        <w:ind w:firstLine="6000" w:firstLineChars="2500"/>
        <w:textAlignment w:val="auto"/>
        <w:rPr>
          <w:rFonts w:hint="eastAsia" w:ascii="宋体" w:hAnsi="宋体" w:eastAsia="宋体" w:cs="宋体"/>
          <w:bCs/>
          <w:color w:val="auto"/>
          <w:sz w:val="24"/>
          <w:szCs w:val="24"/>
          <w:highlight w:val="none"/>
        </w:rPr>
      </w:pPr>
    </w:p>
    <w:tbl>
      <w:tblPr>
        <w:tblStyle w:val="5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06E8F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14:paraId="6CE6A578">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1ACCC0FC">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6A41185B">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法定代表人身份证复印件或扫描件（正、反两面）</w:t>
            </w:r>
          </w:p>
        </w:tc>
      </w:tr>
    </w:tbl>
    <w:p w14:paraId="71D58CDF">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注：法定代表人身份证复印件或扫描件应反映出证件有效期等所载内容。</w:t>
      </w:r>
    </w:p>
    <w:p w14:paraId="22086FC1">
      <w:pPr>
        <w:tabs>
          <w:tab w:val="left" w:pos="360"/>
          <w:tab w:val="left" w:pos="1800"/>
        </w:tabs>
        <w:wordWrap/>
        <w:spacing w:line="360" w:lineRule="auto"/>
        <w:ind w:left="1980" w:firstLine="1080"/>
        <w:textAlignment w:val="auto"/>
        <w:rPr>
          <w:rFonts w:hint="eastAsia" w:ascii="宋体" w:hAnsi="宋体" w:eastAsia="宋体" w:cs="宋体"/>
          <w:bCs/>
          <w:color w:val="auto"/>
          <w:sz w:val="24"/>
          <w:szCs w:val="24"/>
          <w:highlight w:val="none"/>
        </w:rPr>
      </w:pPr>
    </w:p>
    <w:p w14:paraId="4DE4746C">
      <w:pPr>
        <w:tabs>
          <w:tab w:val="left" w:pos="360"/>
          <w:tab w:val="left" w:pos="1800"/>
        </w:tabs>
        <w:wordWrap/>
        <w:spacing w:line="360" w:lineRule="auto"/>
        <w:textAlignment w:val="auto"/>
        <w:rPr>
          <w:rFonts w:hint="eastAsia" w:ascii="宋体" w:hAnsi="宋体" w:eastAsia="宋体" w:cs="宋体"/>
          <w:bCs/>
          <w:color w:val="auto"/>
          <w:sz w:val="24"/>
          <w:szCs w:val="24"/>
          <w:highlight w:val="none"/>
        </w:rPr>
      </w:pPr>
    </w:p>
    <w:p w14:paraId="0A59112D">
      <w:pPr>
        <w:tabs>
          <w:tab w:val="left" w:pos="360"/>
          <w:tab w:val="left" w:pos="1800"/>
        </w:tabs>
        <w:wordWrap/>
        <w:spacing w:line="360" w:lineRule="auto"/>
        <w:textAlignment w:val="auto"/>
        <w:rPr>
          <w:rFonts w:hint="eastAsia" w:ascii="宋体" w:hAnsi="宋体" w:eastAsia="宋体" w:cs="宋体"/>
          <w:bCs/>
          <w:color w:val="auto"/>
          <w:sz w:val="24"/>
          <w:szCs w:val="24"/>
          <w:highlight w:val="none"/>
        </w:rPr>
      </w:pPr>
    </w:p>
    <w:p w14:paraId="038CCCD6">
      <w:pPr>
        <w:pStyle w:val="5"/>
        <w:rPr>
          <w:rFonts w:hint="eastAsia"/>
          <w:color w:val="auto"/>
          <w:highlight w:val="none"/>
        </w:rPr>
      </w:pPr>
    </w:p>
    <w:p w14:paraId="3794E4E0">
      <w:pPr>
        <w:tabs>
          <w:tab w:val="left" w:pos="360"/>
          <w:tab w:val="left" w:pos="1800"/>
        </w:tabs>
        <w:wordWrap/>
        <w:spacing w:line="360" w:lineRule="auto"/>
        <w:textAlignment w:val="auto"/>
        <w:rPr>
          <w:rFonts w:hint="eastAsia" w:ascii="宋体" w:hAnsi="宋体" w:eastAsia="宋体" w:cs="宋体"/>
          <w:bCs/>
          <w:color w:val="auto"/>
          <w:sz w:val="24"/>
          <w:szCs w:val="24"/>
          <w:highlight w:val="none"/>
        </w:rPr>
      </w:pPr>
    </w:p>
    <w:p w14:paraId="4362D9A3">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格式3  法定代表人授权委托书</w:t>
      </w:r>
    </w:p>
    <w:p w14:paraId="7823B2BC">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7B239497">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（姓名）      系（供应商名称）              </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，其身份证号为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，为我公司代理人，以本公司的名义参加</w:t>
      </w:r>
      <w:r>
        <w:rPr>
          <w:rFonts w:hint="eastAsia" w:ascii="宋体" w:hAnsi="宋体" w:eastAsia="宋体" w:cs="宋体"/>
          <w:color w:val="auto"/>
          <w:sz w:val="24"/>
          <w:szCs w:val="24"/>
          <w:highlight w:val="none"/>
          <w:u w:val="single"/>
        </w:rPr>
        <w:t xml:space="preserve">（采购人）          （采购项目名称）             </w:t>
      </w:r>
      <w:r>
        <w:rPr>
          <w:rFonts w:hint="eastAsia" w:ascii="宋体" w:hAnsi="宋体" w:eastAsia="宋体" w:cs="宋体"/>
          <w:color w:val="auto"/>
          <w:sz w:val="24"/>
          <w:szCs w:val="24"/>
          <w:highlight w:val="none"/>
        </w:rPr>
        <w:t>项目的投标活动。</w:t>
      </w:r>
    </w:p>
    <w:p w14:paraId="39B43957">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代理人在磋商、评标、合同谈判过程中所签署的一切文件和处理与之有关的一切事务，我均予以承认。</w:t>
      </w:r>
    </w:p>
    <w:p w14:paraId="7DFE25B8">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8AA2045">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委托代理人无转委权。特此委托。</w:t>
      </w:r>
    </w:p>
    <w:p w14:paraId="52494E6C">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性别：           年龄：</w:t>
      </w:r>
    </w:p>
    <w:p w14:paraId="679123BA">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                  部门：           职务：</w:t>
      </w:r>
    </w:p>
    <w:p w14:paraId="7A933B9F">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94AE14E">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B7CFEB2">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p>
    <w:p w14:paraId="384DBA92">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31DF459">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p>
    <w:tbl>
      <w:tblPr>
        <w:tblStyle w:val="5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0CEB5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9" w:hRule="atLeast"/>
          <w:jc w:val="center"/>
        </w:trPr>
        <w:tc>
          <w:tcPr>
            <w:tcW w:w="6952" w:type="dxa"/>
            <w:vAlign w:val="top"/>
          </w:tcPr>
          <w:p w14:paraId="24FE6E67">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3585B340">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6FCEC437">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委托代理人身份证复印件或扫描件（正、反两面）</w:t>
            </w:r>
          </w:p>
        </w:tc>
      </w:tr>
    </w:tbl>
    <w:p w14:paraId="5592103C">
      <w:pPr>
        <w:tabs>
          <w:tab w:val="left" w:pos="360"/>
          <w:tab w:val="left" w:pos="1800"/>
        </w:tabs>
        <w:wordWrap/>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注：委托代理人身份证复印件或扫描件应反映出证件有效期等所载内容，</w:t>
      </w:r>
      <w:r>
        <w:rPr>
          <w:rFonts w:hint="eastAsia" w:ascii="宋体" w:hAnsi="宋体" w:eastAsia="宋体" w:cs="宋体"/>
          <w:b/>
          <w:color w:val="auto"/>
          <w:sz w:val="24"/>
          <w:szCs w:val="24"/>
          <w:highlight w:val="none"/>
        </w:rPr>
        <w:t>作为本</w:t>
      </w:r>
      <w:r>
        <w:rPr>
          <w:rFonts w:hint="eastAsia" w:ascii="宋体" w:hAnsi="宋体" w:eastAsia="宋体" w:cs="宋体"/>
          <w:b/>
          <w:bCs/>
          <w:color w:val="auto"/>
          <w:sz w:val="24"/>
          <w:szCs w:val="24"/>
          <w:highlight w:val="none"/>
        </w:rPr>
        <w:t>法定代表人授权书的附件。</w:t>
      </w:r>
    </w:p>
    <w:p w14:paraId="75F0EED0">
      <w:pPr>
        <w:keepNext/>
        <w:keepLines/>
        <w:widowControl w:val="0"/>
        <w:wordWrap/>
        <w:adjustRightInd/>
        <w:snapToGrid/>
        <w:spacing w:line="416" w:lineRule="auto"/>
        <w:textAlignment w:val="auto"/>
        <w:outlineLvl w:val="9"/>
        <w:rPr>
          <w:rFonts w:hint="eastAsia"/>
          <w:color w:val="auto"/>
          <w:highlight w:val="none"/>
        </w:rPr>
      </w:pPr>
    </w:p>
    <w:p w14:paraId="67EE1885">
      <w:pPr>
        <w:wordWrap/>
        <w:spacing w:line="360" w:lineRule="auto"/>
        <w:ind w:firstLine="573"/>
        <w:jc w:val="center"/>
        <w:textAlignment w:val="auto"/>
        <w:rPr>
          <w:rFonts w:hint="eastAsia" w:ascii="宋体" w:hAnsi="宋体" w:eastAsia="宋体" w:cs="宋体"/>
          <w:b/>
          <w:bCs/>
          <w:color w:val="auto"/>
          <w:sz w:val="24"/>
          <w:szCs w:val="24"/>
          <w:highlight w:val="none"/>
        </w:rPr>
      </w:pPr>
    </w:p>
    <w:p w14:paraId="615DCB9B">
      <w:pPr>
        <w:pStyle w:val="33"/>
        <w:wordWrap/>
        <w:spacing w:line="360" w:lineRule="auto"/>
        <w:ind w:right="840"/>
        <w:jc w:val="center"/>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格式4   供应商基本情况表</w:t>
      </w:r>
    </w:p>
    <w:tbl>
      <w:tblPr>
        <w:tblStyle w:val="59"/>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33"/>
        <w:gridCol w:w="1207"/>
        <w:gridCol w:w="1615"/>
        <w:gridCol w:w="1874"/>
        <w:gridCol w:w="1393"/>
        <w:gridCol w:w="1676"/>
      </w:tblGrid>
      <w:tr w14:paraId="505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2" w:type="dxa"/>
            <w:vAlign w:val="center"/>
          </w:tcPr>
          <w:p w14:paraId="0F586BB7">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tc>
        <w:tc>
          <w:tcPr>
            <w:tcW w:w="7998" w:type="dxa"/>
            <w:gridSpan w:val="6"/>
            <w:vAlign w:val="center"/>
          </w:tcPr>
          <w:p w14:paraId="74AE1E48">
            <w:pPr>
              <w:wordWrap/>
              <w:spacing w:line="360" w:lineRule="auto"/>
              <w:textAlignment w:val="auto"/>
              <w:rPr>
                <w:rFonts w:hint="eastAsia" w:ascii="宋体" w:hAnsi="宋体" w:eastAsia="宋体" w:cs="宋体"/>
                <w:bCs/>
                <w:color w:val="auto"/>
                <w:sz w:val="24"/>
                <w:szCs w:val="24"/>
                <w:highlight w:val="none"/>
              </w:rPr>
            </w:pPr>
          </w:p>
        </w:tc>
      </w:tr>
      <w:tr w14:paraId="0392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2" w:type="dxa"/>
            <w:vAlign w:val="center"/>
          </w:tcPr>
          <w:p w14:paraId="7D47BE2B">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tc>
        <w:tc>
          <w:tcPr>
            <w:tcW w:w="7998" w:type="dxa"/>
            <w:gridSpan w:val="6"/>
            <w:vAlign w:val="center"/>
          </w:tcPr>
          <w:p w14:paraId="307277A9">
            <w:pPr>
              <w:wordWrap/>
              <w:spacing w:line="360" w:lineRule="auto"/>
              <w:textAlignment w:val="auto"/>
              <w:rPr>
                <w:rFonts w:hint="eastAsia" w:ascii="宋体" w:hAnsi="宋体" w:eastAsia="宋体" w:cs="宋体"/>
                <w:bCs/>
                <w:color w:val="auto"/>
                <w:sz w:val="24"/>
                <w:szCs w:val="24"/>
                <w:highlight w:val="none"/>
              </w:rPr>
            </w:pPr>
          </w:p>
        </w:tc>
      </w:tr>
      <w:tr w14:paraId="5314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2" w:type="dxa"/>
            <w:vAlign w:val="center"/>
          </w:tcPr>
          <w:p w14:paraId="5FA25685">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主管部门</w:t>
            </w:r>
          </w:p>
        </w:tc>
        <w:tc>
          <w:tcPr>
            <w:tcW w:w="1440" w:type="dxa"/>
            <w:gridSpan w:val="2"/>
            <w:vAlign w:val="center"/>
          </w:tcPr>
          <w:p w14:paraId="2A58F917">
            <w:pPr>
              <w:wordWrap/>
              <w:spacing w:line="360" w:lineRule="auto"/>
              <w:textAlignment w:val="auto"/>
              <w:rPr>
                <w:rFonts w:hint="eastAsia" w:ascii="宋体" w:hAnsi="宋体" w:eastAsia="宋体" w:cs="宋体"/>
                <w:bCs/>
                <w:color w:val="auto"/>
                <w:sz w:val="24"/>
                <w:szCs w:val="24"/>
                <w:highlight w:val="none"/>
              </w:rPr>
            </w:pPr>
          </w:p>
        </w:tc>
        <w:tc>
          <w:tcPr>
            <w:tcW w:w="1615" w:type="dxa"/>
            <w:vAlign w:val="center"/>
          </w:tcPr>
          <w:p w14:paraId="1C25516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p>
        </w:tc>
        <w:tc>
          <w:tcPr>
            <w:tcW w:w="1874" w:type="dxa"/>
            <w:vAlign w:val="center"/>
          </w:tcPr>
          <w:p w14:paraId="15335106">
            <w:pPr>
              <w:wordWrap/>
              <w:spacing w:line="360" w:lineRule="auto"/>
              <w:textAlignment w:val="auto"/>
              <w:rPr>
                <w:rFonts w:hint="eastAsia" w:ascii="宋体" w:hAnsi="宋体" w:eastAsia="宋体" w:cs="宋体"/>
                <w:bCs/>
                <w:color w:val="auto"/>
                <w:sz w:val="24"/>
                <w:szCs w:val="24"/>
                <w:highlight w:val="none"/>
              </w:rPr>
            </w:pPr>
          </w:p>
        </w:tc>
        <w:tc>
          <w:tcPr>
            <w:tcW w:w="1393" w:type="dxa"/>
            <w:vAlign w:val="center"/>
          </w:tcPr>
          <w:p w14:paraId="62C91B78">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676" w:type="dxa"/>
            <w:vAlign w:val="top"/>
          </w:tcPr>
          <w:p w14:paraId="034610E2">
            <w:pPr>
              <w:wordWrap/>
              <w:spacing w:line="360" w:lineRule="auto"/>
              <w:textAlignment w:val="auto"/>
              <w:rPr>
                <w:rFonts w:hint="eastAsia" w:ascii="宋体" w:hAnsi="宋体" w:eastAsia="宋体" w:cs="宋体"/>
                <w:bCs/>
                <w:color w:val="auto"/>
                <w:sz w:val="24"/>
                <w:szCs w:val="24"/>
                <w:highlight w:val="none"/>
              </w:rPr>
            </w:pPr>
          </w:p>
        </w:tc>
      </w:tr>
      <w:tr w14:paraId="2E1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2" w:type="dxa"/>
            <w:vAlign w:val="center"/>
          </w:tcPr>
          <w:p w14:paraId="1B9F5A71">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注册时间</w:t>
            </w:r>
          </w:p>
        </w:tc>
        <w:tc>
          <w:tcPr>
            <w:tcW w:w="3055" w:type="dxa"/>
            <w:gridSpan w:val="3"/>
            <w:vAlign w:val="top"/>
          </w:tcPr>
          <w:p w14:paraId="44452A58">
            <w:pPr>
              <w:wordWrap/>
              <w:spacing w:line="360" w:lineRule="auto"/>
              <w:textAlignment w:val="auto"/>
              <w:rPr>
                <w:rFonts w:hint="eastAsia" w:ascii="宋体" w:hAnsi="宋体" w:eastAsia="宋体" w:cs="宋体"/>
                <w:bCs/>
                <w:color w:val="auto"/>
                <w:sz w:val="24"/>
                <w:szCs w:val="24"/>
                <w:highlight w:val="none"/>
              </w:rPr>
            </w:pPr>
          </w:p>
        </w:tc>
        <w:tc>
          <w:tcPr>
            <w:tcW w:w="1874" w:type="dxa"/>
            <w:vAlign w:val="top"/>
          </w:tcPr>
          <w:p w14:paraId="04D9E133">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经济类型</w:t>
            </w:r>
          </w:p>
        </w:tc>
        <w:tc>
          <w:tcPr>
            <w:tcW w:w="3069" w:type="dxa"/>
            <w:gridSpan w:val="2"/>
            <w:vAlign w:val="top"/>
          </w:tcPr>
          <w:p w14:paraId="1B977EA7">
            <w:pPr>
              <w:wordWrap/>
              <w:spacing w:line="360" w:lineRule="auto"/>
              <w:textAlignment w:val="auto"/>
              <w:rPr>
                <w:rFonts w:hint="eastAsia" w:ascii="宋体" w:hAnsi="宋体" w:eastAsia="宋体" w:cs="宋体"/>
                <w:bCs/>
                <w:color w:val="auto"/>
                <w:sz w:val="24"/>
                <w:szCs w:val="24"/>
                <w:highlight w:val="none"/>
              </w:rPr>
            </w:pPr>
          </w:p>
        </w:tc>
      </w:tr>
      <w:tr w14:paraId="6412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57" w:type="dxa"/>
            <w:gridSpan w:val="4"/>
            <w:vAlign w:val="center"/>
          </w:tcPr>
          <w:p w14:paraId="4616DDE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营业执照号</w:t>
            </w:r>
          </w:p>
        </w:tc>
        <w:tc>
          <w:tcPr>
            <w:tcW w:w="4943" w:type="dxa"/>
            <w:gridSpan w:val="3"/>
            <w:vAlign w:val="center"/>
          </w:tcPr>
          <w:p w14:paraId="4F7B7479">
            <w:pPr>
              <w:wordWrap/>
              <w:spacing w:line="360" w:lineRule="auto"/>
              <w:textAlignment w:val="auto"/>
              <w:rPr>
                <w:rFonts w:hint="eastAsia" w:ascii="宋体" w:hAnsi="宋体" w:eastAsia="宋体" w:cs="宋体"/>
                <w:bCs/>
                <w:color w:val="auto"/>
                <w:sz w:val="24"/>
                <w:szCs w:val="24"/>
                <w:highlight w:val="none"/>
              </w:rPr>
            </w:pPr>
          </w:p>
        </w:tc>
      </w:tr>
      <w:tr w14:paraId="13D8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857" w:type="dxa"/>
            <w:gridSpan w:val="4"/>
            <w:vAlign w:val="center"/>
          </w:tcPr>
          <w:p w14:paraId="1835EFB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近</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年内（20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年至20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年）经营活动中有无重大违法</w:t>
            </w:r>
            <w:r>
              <w:rPr>
                <w:rFonts w:hint="eastAsia" w:ascii="宋体" w:hAnsi="宋体" w:cs="宋体"/>
                <w:bCs/>
                <w:color w:val="auto"/>
                <w:sz w:val="24"/>
                <w:szCs w:val="24"/>
                <w:highlight w:val="none"/>
                <w:lang w:eastAsia="zh-CN"/>
              </w:rPr>
              <w:t>记</w:t>
            </w:r>
            <w:r>
              <w:rPr>
                <w:rFonts w:hint="eastAsia" w:ascii="宋体" w:hAnsi="宋体" w:eastAsia="宋体" w:cs="宋体"/>
                <w:bCs/>
                <w:color w:val="auto"/>
                <w:sz w:val="24"/>
                <w:szCs w:val="24"/>
                <w:highlight w:val="none"/>
              </w:rPr>
              <w:t>录</w:t>
            </w:r>
          </w:p>
        </w:tc>
        <w:tc>
          <w:tcPr>
            <w:tcW w:w="4943" w:type="dxa"/>
            <w:gridSpan w:val="3"/>
            <w:vAlign w:val="center"/>
          </w:tcPr>
          <w:p w14:paraId="029070F8">
            <w:pPr>
              <w:wordWrap/>
              <w:spacing w:line="360" w:lineRule="auto"/>
              <w:textAlignment w:val="auto"/>
              <w:rPr>
                <w:rFonts w:hint="eastAsia" w:ascii="宋体" w:hAnsi="宋体" w:eastAsia="宋体" w:cs="宋体"/>
                <w:bCs/>
                <w:color w:val="auto"/>
                <w:sz w:val="24"/>
                <w:szCs w:val="24"/>
                <w:highlight w:val="none"/>
              </w:rPr>
            </w:pPr>
          </w:p>
        </w:tc>
      </w:tr>
      <w:tr w14:paraId="6D1E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2035" w:type="dxa"/>
            <w:gridSpan w:val="2"/>
            <w:vAlign w:val="center"/>
          </w:tcPr>
          <w:p w14:paraId="7B69B2F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是否依法缴纳税收</w:t>
            </w:r>
          </w:p>
        </w:tc>
        <w:tc>
          <w:tcPr>
            <w:tcW w:w="2822" w:type="dxa"/>
            <w:gridSpan w:val="2"/>
            <w:vAlign w:val="top"/>
          </w:tcPr>
          <w:p w14:paraId="6CD6A8CF">
            <w:pPr>
              <w:wordWrap/>
              <w:spacing w:line="360" w:lineRule="auto"/>
              <w:textAlignment w:val="auto"/>
              <w:rPr>
                <w:rFonts w:hint="eastAsia" w:ascii="宋体" w:hAnsi="宋体" w:eastAsia="宋体" w:cs="宋体"/>
                <w:bCs/>
                <w:color w:val="auto"/>
                <w:sz w:val="24"/>
                <w:szCs w:val="24"/>
                <w:highlight w:val="none"/>
              </w:rPr>
            </w:pPr>
          </w:p>
        </w:tc>
        <w:tc>
          <w:tcPr>
            <w:tcW w:w="1874" w:type="dxa"/>
            <w:vAlign w:val="top"/>
          </w:tcPr>
          <w:p w14:paraId="203FC48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是否依法缴纳社会保障资金</w:t>
            </w:r>
          </w:p>
        </w:tc>
        <w:tc>
          <w:tcPr>
            <w:tcW w:w="3069" w:type="dxa"/>
            <w:gridSpan w:val="2"/>
            <w:vAlign w:val="top"/>
          </w:tcPr>
          <w:p w14:paraId="452C915E">
            <w:pPr>
              <w:wordWrap/>
              <w:spacing w:line="360" w:lineRule="auto"/>
              <w:textAlignment w:val="auto"/>
              <w:rPr>
                <w:rFonts w:hint="eastAsia" w:ascii="宋体" w:hAnsi="宋体" w:eastAsia="宋体" w:cs="宋体"/>
                <w:bCs/>
                <w:color w:val="auto"/>
                <w:sz w:val="24"/>
                <w:szCs w:val="24"/>
                <w:highlight w:val="none"/>
              </w:rPr>
            </w:pPr>
          </w:p>
        </w:tc>
      </w:tr>
      <w:tr w14:paraId="641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restart"/>
            <w:vAlign w:val="top"/>
          </w:tcPr>
          <w:p w14:paraId="43AB4DB0">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w:t>
            </w:r>
          </w:p>
          <w:p w14:paraId="1AFA9FED">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位</w:t>
            </w:r>
          </w:p>
          <w:p w14:paraId="2266E6FB">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概</w:t>
            </w:r>
          </w:p>
          <w:p w14:paraId="6D1CECD5">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况</w:t>
            </w:r>
          </w:p>
        </w:tc>
        <w:tc>
          <w:tcPr>
            <w:tcW w:w="1207" w:type="dxa"/>
            <w:vAlign w:val="center"/>
          </w:tcPr>
          <w:p w14:paraId="66A3B6D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注册资本</w:t>
            </w:r>
          </w:p>
        </w:tc>
        <w:tc>
          <w:tcPr>
            <w:tcW w:w="1615" w:type="dxa"/>
            <w:vAlign w:val="top"/>
          </w:tcPr>
          <w:p w14:paraId="3DD13D5E">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万元</w:t>
            </w:r>
          </w:p>
        </w:tc>
        <w:tc>
          <w:tcPr>
            <w:tcW w:w="1874" w:type="dxa"/>
            <w:vAlign w:val="top"/>
          </w:tcPr>
          <w:p w14:paraId="305359B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占地面积</w:t>
            </w:r>
          </w:p>
        </w:tc>
        <w:tc>
          <w:tcPr>
            <w:tcW w:w="3069" w:type="dxa"/>
            <w:gridSpan w:val="2"/>
            <w:vAlign w:val="top"/>
          </w:tcPr>
          <w:p w14:paraId="70777A22">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平方米</w:t>
            </w:r>
          </w:p>
        </w:tc>
      </w:tr>
      <w:tr w14:paraId="5E8A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18649637">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574DCE5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职工总数</w:t>
            </w:r>
          </w:p>
        </w:tc>
        <w:tc>
          <w:tcPr>
            <w:tcW w:w="1615" w:type="dxa"/>
            <w:vAlign w:val="top"/>
          </w:tcPr>
          <w:p w14:paraId="25D31E54">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人</w:t>
            </w:r>
          </w:p>
        </w:tc>
        <w:tc>
          <w:tcPr>
            <w:tcW w:w="1874" w:type="dxa"/>
            <w:vAlign w:val="top"/>
          </w:tcPr>
          <w:p w14:paraId="66C7A565">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建筑面积</w:t>
            </w:r>
          </w:p>
        </w:tc>
        <w:tc>
          <w:tcPr>
            <w:tcW w:w="3069" w:type="dxa"/>
            <w:gridSpan w:val="2"/>
            <w:vAlign w:val="top"/>
          </w:tcPr>
          <w:p w14:paraId="6F5AEE13">
            <w:pPr>
              <w:wordWrap/>
              <w:spacing w:line="360" w:lineRule="auto"/>
              <w:ind w:firstLine="1800" w:firstLineChars="7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平方米</w:t>
            </w:r>
          </w:p>
        </w:tc>
      </w:tr>
      <w:tr w14:paraId="28C4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26425FFF">
            <w:pPr>
              <w:wordWrap/>
              <w:spacing w:line="360" w:lineRule="auto"/>
              <w:textAlignment w:val="auto"/>
              <w:rPr>
                <w:rFonts w:hint="eastAsia" w:ascii="宋体" w:hAnsi="宋体" w:eastAsia="宋体" w:cs="宋体"/>
                <w:bCs/>
                <w:color w:val="auto"/>
                <w:sz w:val="24"/>
                <w:szCs w:val="24"/>
                <w:highlight w:val="none"/>
              </w:rPr>
            </w:pPr>
          </w:p>
        </w:tc>
        <w:tc>
          <w:tcPr>
            <w:tcW w:w="1207" w:type="dxa"/>
            <w:vMerge w:val="restart"/>
            <w:vAlign w:val="center"/>
          </w:tcPr>
          <w:p w14:paraId="2FB031BD">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资产</w:t>
            </w:r>
          </w:p>
          <w:p w14:paraId="2733FB94">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情况</w:t>
            </w:r>
          </w:p>
        </w:tc>
        <w:tc>
          <w:tcPr>
            <w:tcW w:w="3489" w:type="dxa"/>
            <w:gridSpan w:val="2"/>
            <w:vAlign w:val="center"/>
          </w:tcPr>
          <w:p w14:paraId="146FDD49">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净资产：        万元</w:t>
            </w:r>
          </w:p>
        </w:tc>
        <w:tc>
          <w:tcPr>
            <w:tcW w:w="3069" w:type="dxa"/>
            <w:gridSpan w:val="2"/>
            <w:vMerge w:val="restart"/>
            <w:vAlign w:val="top"/>
          </w:tcPr>
          <w:p w14:paraId="78DD474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固定资产原值 ：     万元</w:t>
            </w:r>
          </w:p>
          <w:p w14:paraId="4A584DCD">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固定资产净值：      万元</w:t>
            </w:r>
          </w:p>
        </w:tc>
      </w:tr>
      <w:tr w14:paraId="41B3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6662057A">
            <w:pPr>
              <w:wordWrap/>
              <w:spacing w:line="360" w:lineRule="auto"/>
              <w:textAlignment w:val="auto"/>
              <w:rPr>
                <w:rFonts w:hint="eastAsia" w:ascii="宋体" w:hAnsi="宋体" w:eastAsia="宋体" w:cs="宋体"/>
                <w:bCs/>
                <w:color w:val="auto"/>
                <w:sz w:val="24"/>
                <w:szCs w:val="24"/>
                <w:highlight w:val="none"/>
              </w:rPr>
            </w:pPr>
          </w:p>
        </w:tc>
        <w:tc>
          <w:tcPr>
            <w:tcW w:w="1207" w:type="dxa"/>
            <w:vMerge w:val="continue"/>
            <w:vAlign w:val="top"/>
          </w:tcPr>
          <w:p w14:paraId="15652DD5">
            <w:pPr>
              <w:wordWrap/>
              <w:spacing w:line="360" w:lineRule="auto"/>
              <w:textAlignment w:val="auto"/>
              <w:rPr>
                <w:rFonts w:hint="eastAsia" w:ascii="宋体" w:hAnsi="宋体" w:eastAsia="宋体" w:cs="宋体"/>
                <w:bCs/>
                <w:color w:val="auto"/>
                <w:sz w:val="24"/>
                <w:szCs w:val="24"/>
                <w:highlight w:val="none"/>
              </w:rPr>
            </w:pPr>
          </w:p>
        </w:tc>
        <w:tc>
          <w:tcPr>
            <w:tcW w:w="3489" w:type="dxa"/>
            <w:gridSpan w:val="2"/>
            <w:vAlign w:val="center"/>
          </w:tcPr>
          <w:p w14:paraId="532D95A2">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负 债：         万元</w:t>
            </w:r>
          </w:p>
        </w:tc>
        <w:tc>
          <w:tcPr>
            <w:tcW w:w="3069" w:type="dxa"/>
            <w:gridSpan w:val="2"/>
            <w:vMerge w:val="continue"/>
            <w:vAlign w:val="top"/>
          </w:tcPr>
          <w:p w14:paraId="7D530342">
            <w:pPr>
              <w:wordWrap/>
              <w:spacing w:line="360" w:lineRule="auto"/>
              <w:textAlignment w:val="auto"/>
              <w:rPr>
                <w:rFonts w:hint="eastAsia" w:ascii="宋体" w:hAnsi="宋体" w:eastAsia="宋体" w:cs="宋体"/>
                <w:bCs/>
                <w:color w:val="auto"/>
                <w:sz w:val="24"/>
                <w:szCs w:val="24"/>
                <w:highlight w:val="none"/>
              </w:rPr>
            </w:pPr>
          </w:p>
        </w:tc>
      </w:tr>
      <w:tr w14:paraId="6C88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035" w:type="dxa"/>
            <w:gridSpan w:val="2"/>
            <w:vMerge w:val="restart"/>
            <w:vAlign w:val="center"/>
          </w:tcPr>
          <w:p w14:paraId="601AA949">
            <w:pPr>
              <w:wordWrap/>
              <w:spacing w:line="360" w:lineRule="auto"/>
              <w:ind w:firstLine="120" w:firstLineChars="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财务状况</w:t>
            </w:r>
          </w:p>
          <w:p w14:paraId="5573E287">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（最近</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年至20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年）</w:t>
            </w:r>
          </w:p>
        </w:tc>
        <w:tc>
          <w:tcPr>
            <w:tcW w:w="1207" w:type="dxa"/>
            <w:vAlign w:val="top"/>
          </w:tcPr>
          <w:p w14:paraId="7422A1CF">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年份</w:t>
            </w:r>
          </w:p>
        </w:tc>
        <w:tc>
          <w:tcPr>
            <w:tcW w:w="1615" w:type="dxa"/>
            <w:vAlign w:val="center"/>
          </w:tcPr>
          <w:p w14:paraId="4E57318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主营收入</w:t>
            </w:r>
          </w:p>
          <w:p w14:paraId="0A52B3C6">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874" w:type="dxa"/>
            <w:vAlign w:val="center"/>
          </w:tcPr>
          <w:p w14:paraId="30B6253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收入总额</w:t>
            </w:r>
          </w:p>
          <w:p w14:paraId="1AC7BE26">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393" w:type="dxa"/>
            <w:vAlign w:val="center"/>
          </w:tcPr>
          <w:p w14:paraId="6E42E6F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利润总额</w:t>
            </w:r>
          </w:p>
          <w:p w14:paraId="2DDBE465">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676" w:type="dxa"/>
            <w:vAlign w:val="center"/>
          </w:tcPr>
          <w:p w14:paraId="771A9434">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净利润</w:t>
            </w:r>
          </w:p>
          <w:p w14:paraId="631EDF22">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r>
      <w:tr w14:paraId="65D8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center"/>
          </w:tcPr>
          <w:p w14:paraId="6A980CC4">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174EC93B">
            <w:pPr>
              <w:wordWrap/>
              <w:spacing w:line="360" w:lineRule="auto"/>
              <w:textAlignment w:val="auto"/>
              <w:rPr>
                <w:rFonts w:hint="eastAsia" w:ascii="宋体" w:hAnsi="宋体" w:eastAsia="宋体" w:cs="宋体"/>
                <w:bCs/>
                <w:color w:val="auto"/>
                <w:sz w:val="24"/>
                <w:szCs w:val="24"/>
                <w:highlight w:val="none"/>
              </w:rPr>
            </w:pPr>
          </w:p>
        </w:tc>
        <w:tc>
          <w:tcPr>
            <w:tcW w:w="1615" w:type="dxa"/>
            <w:vAlign w:val="center"/>
          </w:tcPr>
          <w:p w14:paraId="231E44E7">
            <w:pPr>
              <w:wordWrap/>
              <w:spacing w:line="360" w:lineRule="auto"/>
              <w:textAlignment w:val="auto"/>
              <w:rPr>
                <w:rFonts w:hint="eastAsia" w:ascii="宋体" w:hAnsi="宋体" w:eastAsia="宋体" w:cs="宋体"/>
                <w:bCs/>
                <w:color w:val="auto"/>
                <w:sz w:val="24"/>
                <w:szCs w:val="24"/>
                <w:highlight w:val="none"/>
              </w:rPr>
            </w:pPr>
          </w:p>
        </w:tc>
        <w:tc>
          <w:tcPr>
            <w:tcW w:w="1874" w:type="dxa"/>
            <w:vAlign w:val="center"/>
          </w:tcPr>
          <w:p w14:paraId="0CF4AE38">
            <w:pPr>
              <w:wordWrap/>
              <w:spacing w:line="360" w:lineRule="auto"/>
              <w:textAlignment w:val="auto"/>
              <w:rPr>
                <w:rFonts w:hint="eastAsia" w:ascii="宋体" w:hAnsi="宋体" w:eastAsia="宋体" w:cs="宋体"/>
                <w:bCs/>
                <w:color w:val="auto"/>
                <w:sz w:val="24"/>
                <w:szCs w:val="24"/>
                <w:highlight w:val="none"/>
              </w:rPr>
            </w:pPr>
          </w:p>
        </w:tc>
        <w:tc>
          <w:tcPr>
            <w:tcW w:w="1393" w:type="dxa"/>
            <w:vAlign w:val="center"/>
          </w:tcPr>
          <w:p w14:paraId="78816C74">
            <w:pPr>
              <w:wordWrap/>
              <w:spacing w:line="360" w:lineRule="auto"/>
              <w:textAlignment w:val="auto"/>
              <w:rPr>
                <w:rFonts w:hint="eastAsia" w:ascii="宋体" w:hAnsi="宋体" w:eastAsia="宋体" w:cs="宋体"/>
                <w:bCs/>
                <w:color w:val="auto"/>
                <w:sz w:val="24"/>
                <w:szCs w:val="24"/>
                <w:highlight w:val="none"/>
              </w:rPr>
            </w:pPr>
          </w:p>
        </w:tc>
        <w:tc>
          <w:tcPr>
            <w:tcW w:w="1676" w:type="dxa"/>
            <w:vAlign w:val="center"/>
          </w:tcPr>
          <w:p w14:paraId="495D5CDE">
            <w:pPr>
              <w:wordWrap/>
              <w:spacing w:line="360" w:lineRule="auto"/>
              <w:textAlignment w:val="auto"/>
              <w:rPr>
                <w:rFonts w:hint="eastAsia" w:ascii="宋体" w:hAnsi="宋体" w:eastAsia="宋体" w:cs="宋体"/>
                <w:bCs/>
                <w:color w:val="auto"/>
                <w:sz w:val="24"/>
                <w:szCs w:val="24"/>
                <w:highlight w:val="none"/>
              </w:rPr>
            </w:pPr>
          </w:p>
        </w:tc>
      </w:tr>
      <w:tr w14:paraId="52B8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center"/>
          </w:tcPr>
          <w:p w14:paraId="7C633AA5">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7EAAFC77">
            <w:pPr>
              <w:wordWrap/>
              <w:spacing w:line="360" w:lineRule="auto"/>
              <w:textAlignment w:val="auto"/>
              <w:rPr>
                <w:rFonts w:hint="eastAsia" w:ascii="宋体" w:hAnsi="宋体" w:eastAsia="宋体" w:cs="宋体"/>
                <w:bCs/>
                <w:color w:val="auto"/>
                <w:sz w:val="24"/>
                <w:szCs w:val="24"/>
                <w:highlight w:val="none"/>
              </w:rPr>
            </w:pPr>
          </w:p>
        </w:tc>
        <w:tc>
          <w:tcPr>
            <w:tcW w:w="1615" w:type="dxa"/>
            <w:vAlign w:val="center"/>
          </w:tcPr>
          <w:p w14:paraId="19199399">
            <w:pPr>
              <w:wordWrap/>
              <w:spacing w:line="360" w:lineRule="auto"/>
              <w:textAlignment w:val="auto"/>
              <w:rPr>
                <w:rFonts w:hint="eastAsia" w:ascii="宋体" w:hAnsi="宋体" w:eastAsia="宋体" w:cs="宋体"/>
                <w:bCs/>
                <w:color w:val="auto"/>
                <w:sz w:val="24"/>
                <w:szCs w:val="24"/>
                <w:highlight w:val="none"/>
              </w:rPr>
            </w:pPr>
          </w:p>
        </w:tc>
        <w:tc>
          <w:tcPr>
            <w:tcW w:w="1874" w:type="dxa"/>
            <w:vAlign w:val="center"/>
          </w:tcPr>
          <w:p w14:paraId="0B38D771">
            <w:pPr>
              <w:wordWrap/>
              <w:spacing w:line="360" w:lineRule="auto"/>
              <w:textAlignment w:val="auto"/>
              <w:rPr>
                <w:rFonts w:hint="eastAsia" w:ascii="宋体" w:hAnsi="宋体" w:eastAsia="宋体" w:cs="宋体"/>
                <w:bCs/>
                <w:color w:val="auto"/>
                <w:sz w:val="24"/>
                <w:szCs w:val="24"/>
                <w:highlight w:val="none"/>
              </w:rPr>
            </w:pPr>
          </w:p>
        </w:tc>
        <w:tc>
          <w:tcPr>
            <w:tcW w:w="1393" w:type="dxa"/>
            <w:vAlign w:val="center"/>
          </w:tcPr>
          <w:p w14:paraId="7DA9984F">
            <w:pPr>
              <w:wordWrap/>
              <w:spacing w:line="360" w:lineRule="auto"/>
              <w:textAlignment w:val="auto"/>
              <w:rPr>
                <w:rFonts w:hint="eastAsia" w:ascii="宋体" w:hAnsi="宋体" w:eastAsia="宋体" w:cs="宋体"/>
                <w:bCs/>
                <w:color w:val="auto"/>
                <w:sz w:val="24"/>
                <w:szCs w:val="24"/>
                <w:highlight w:val="none"/>
              </w:rPr>
            </w:pPr>
          </w:p>
        </w:tc>
        <w:tc>
          <w:tcPr>
            <w:tcW w:w="1676" w:type="dxa"/>
            <w:vAlign w:val="center"/>
          </w:tcPr>
          <w:p w14:paraId="0525A403">
            <w:pPr>
              <w:wordWrap/>
              <w:spacing w:line="360" w:lineRule="auto"/>
              <w:textAlignment w:val="auto"/>
              <w:rPr>
                <w:rFonts w:hint="eastAsia" w:ascii="宋体" w:hAnsi="宋体" w:eastAsia="宋体" w:cs="宋体"/>
                <w:bCs/>
                <w:color w:val="auto"/>
                <w:sz w:val="24"/>
                <w:szCs w:val="24"/>
                <w:highlight w:val="none"/>
              </w:rPr>
            </w:pPr>
          </w:p>
        </w:tc>
      </w:tr>
      <w:tr w14:paraId="33EA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3B0DFC8A">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0B7F89F2">
            <w:pPr>
              <w:wordWrap/>
              <w:spacing w:line="360" w:lineRule="auto"/>
              <w:textAlignment w:val="auto"/>
              <w:rPr>
                <w:rFonts w:hint="eastAsia" w:ascii="宋体" w:hAnsi="宋体" w:eastAsia="宋体" w:cs="宋体"/>
                <w:bCs/>
                <w:color w:val="auto"/>
                <w:sz w:val="24"/>
                <w:szCs w:val="24"/>
                <w:highlight w:val="none"/>
              </w:rPr>
            </w:pPr>
          </w:p>
        </w:tc>
        <w:tc>
          <w:tcPr>
            <w:tcW w:w="1615" w:type="dxa"/>
            <w:vAlign w:val="top"/>
          </w:tcPr>
          <w:p w14:paraId="046C6B3A">
            <w:pPr>
              <w:wordWrap/>
              <w:spacing w:line="360" w:lineRule="auto"/>
              <w:textAlignment w:val="auto"/>
              <w:rPr>
                <w:rFonts w:hint="eastAsia" w:ascii="宋体" w:hAnsi="宋体" w:eastAsia="宋体" w:cs="宋体"/>
                <w:bCs/>
                <w:color w:val="auto"/>
                <w:sz w:val="24"/>
                <w:szCs w:val="24"/>
                <w:highlight w:val="none"/>
              </w:rPr>
            </w:pPr>
          </w:p>
        </w:tc>
        <w:tc>
          <w:tcPr>
            <w:tcW w:w="1874" w:type="dxa"/>
            <w:vAlign w:val="top"/>
          </w:tcPr>
          <w:p w14:paraId="059631D9">
            <w:pPr>
              <w:wordWrap/>
              <w:spacing w:line="360" w:lineRule="auto"/>
              <w:textAlignment w:val="auto"/>
              <w:rPr>
                <w:rFonts w:hint="eastAsia" w:ascii="宋体" w:hAnsi="宋体" w:eastAsia="宋体" w:cs="宋体"/>
                <w:bCs/>
                <w:color w:val="auto"/>
                <w:sz w:val="24"/>
                <w:szCs w:val="24"/>
                <w:highlight w:val="none"/>
              </w:rPr>
            </w:pPr>
          </w:p>
        </w:tc>
        <w:tc>
          <w:tcPr>
            <w:tcW w:w="1393" w:type="dxa"/>
            <w:vAlign w:val="top"/>
          </w:tcPr>
          <w:p w14:paraId="6B5BB4C1">
            <w:pPr>
              <w:wordWrap/>
              <w:spacing w:line="360" w:lineRule="auto"/>
              <w:textAlignment w:val="auto"/>
              <w:rPr>
                <w:rFonts w:hint="eastAsia" w:ascii="宋体" w:hAnsi="宋体" w:eastAsia="宋体" w:cs="宋体"/>
                <w:bCs/>
                <w:color w:val="auto"/>
                <w:sz w:val="24"/>
                <w:szCs w:val="24"/>
                <w:highlight w:val="none"/>
              </w:rPr>
            </w:pPr>
          </w:p>
        </w:tc>
        <w:tc>
          <w:tcPr>
            <w:tcW w:w="1676" w:type="dxa"/>
            <w:vAlign w:val="top"/>
          </w:tcPr>
          <w:p w14:paraId="7E0D27C7">
            <w:pPr>
              <w:wordWrap/>
              <w:spacing w:line="360" w:lineRule="auto"/>
              <w:textAlignment w:val="auto"/>
              <w:rPr>
                <w:rFonts w:hint="eastAsia" w:ascii="宋体" w:hAnsi="宋体" w:eastAsia="宋体" w:cs="宋体"/>
                <w:bCs/>
                <w:color w:val="auto"/>
                <w:sz w:val="24"/>
                <w:szCs w:val="24"/>
                <w:highlight w:val="none"/>
              </w:rPr>
            </w:pPr>
          </w:p>
        </w:tc>
      </w:tr>
      <w:tr w14:paraId="3D04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035" w:type="dxa"/>
            <w:gridSpan w:val="2"/>
            <w:vAlign w:val="top"/>
          </w:tcPr>
          <w:p w14:paraId="1853AD7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经营范围</w:t>
            </w:r>
          </w:p>
        </w:tc>
        <w:tc>
          <w:tcPr>
            <w:tcW w:w="7765" w:type="dxa"/>
            <w:gridSpan w:val="5"/>
            <w:vAlign w:val="center"/>
          </w:tcPr>
          <w:p w14:paraId="1F6B3A4C">
            <w:pPr>
              <w:wordWrap/>
              <w:spacing w:line="360" w:lineRule="auto"/>
              <w:textAlignment w:val="auto"/>
              <w:rPr>
                <w:rFonts w:hint="eastAsia" w:ascii="宋体" w:hAnsi="宋体" w:eastAsia="宋体" w:cs="宋体"/>
                <w:bCs/>
                <w:color w:val="auto"/>
                <w:sz w:val="24"/>
                <w:szCs w:val="24"/>
                <w:highlight w:val="none"/>
              </w:rPr>
            </w:pPr>
          </w:p>
        </w:tc>
      </w:tr>
      <w:tr w14:paraId="1404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035" w:type="dxa"/>
            <w:gridSpan w:val="2"/>
            <w:vAlign w:val="top"/>
          </w:tcPr>
          <w:p w14:paraId="6693C80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备注 </w:t>
            </w:r>
          </w:p>
        </w:tc>
        <w:tc>
          <w:tcPr>
            <w:tcW w:w="7765" w:type="dxa"/>
            <w:gridSpan w:val="5"/>
            <w:vAlign w:val="center"/>
          </w:tcPr>
          <w:p w14:paraId="4EF0CDB4">
            <w:pPr>
              <w:wordWrap/>
              <w:spacing w:line="360" w:lineRule="auto"/>
              <w:textAlignment w:val="auto"/>
              <w:rPr>
                <w:rFonts w:hint="eastAsia" w:ascii="宋体" w:hAnsi="宋体" w:eastAsia="宋体" w:cs="宋体"/>
                <w:bCs/>
                <w:color w:val="auto"/>
                <w:sz w:val="24"/>
                <w:szCs w:val="24"/>
                <w:highlight w:val="none"/>
              </w:rPr>
            </w:pPr>
          </w:p>
        </w:tc>
      </w:tr>
    </w:tbl>
    <w:p w14:paraId="572F404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我们保证上述声明中的资料和数据是真实的、正确的，我们同意</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如贵方要求，可以出示相关证明文件。</w:t>
      </w:r>
    </w:p>
    <w:p w14:paraId="13D96F5D">
      <w:pPr>
        <w:wordWrap/>
        <w:spacing w:line="360" w:lineRule="auto"/>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14:paraId="675BDD59">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法定代表人或委托代理人（签字或盖章）：</w:t>
      </w:r>
    </w:p>
    <w:p w14:paraId="20E6AB47">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电话号和传真号：</w:t>
      </w:r>
    </w:p>
    <w:p w14:paraId="6C924FB6">
      <w:pPr>
        <w:wordWrap/>
        <w:spacing w:line="360" w:lineRule="auto"/>
        <w:ind w:firstLine="120" w:firstLineChars="5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  年  月  日</w:t>
      </w:r>
    </w:p>
    <w:p w14:paraId="5EB9CC3B">
      <w:pPr>
        <w:tabs>
          <w:tab w:val="left" w:pos="6300"/>
        </w:tabs>
        <w:wordWrap/>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政府采购领域诚信承诺书</w:t>
      </w:r>
    </w:p>
    <w:p w14:paraId="524729F5">
      <w:pPr>
        <w:tabs>
          <w:tab w:val="left" w:pos="6300"/>
        </w:tabs>
        <w:wordWrap/>
        <w:snapToGrid w:val="0"/>
        <w:spacing w:line="360" w:lineRule="auto"/>
        <w:ind w:firstLine="570"/>
        <w:textAlignment w:val="auto"/>
        <w:rPr>
          <w:rFonts w:hint="eastAsia" w:ascii="宋体" w:hAnsi="宋体" w:eastAsia="宋体" w:cs="宋体"/>
          <w:color w:val="auto"/>
          <w:sz w:val="24"/>
          <w:szCs w:val="24"/>
          <w:highlight w:val="none"/>
        </w:rPr>
      </w:pPr>
    </w:p>
    <w:p w14:paraId="0D6B46CD">
      <w:pPr>
        <w:widowControl w:val="0"/>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(单位名称或个人)，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统一社会信用代码（个人身份证号）是具备《</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》第二十二条件的供应商，本单位在参加克拉玛依地区政府采购活动时，承诺如下：</w:t>
      </w:r>
    </w:p>
    <w:p w14:paraId="28AEF52B">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（一）严格遵守国家法律、法规和规章，全面履行应尽的责任和义务。</w:t>
      </w:r>
    </w:p>
    <w:p w14:paraId="28A668FD">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（二）保证参加政府采购活动时所提供资料均合法、真实、有效，并对所提供资料的真实性负责；我单位（个人）在参加政府采购活动前三年在经营活动中没有《</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》第第二十二条第一款第（五项）所称重大违法记录。</w:t>
      </w:r>
    </w:p>
    <w:p w14:paraId="0E2016C2">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（三）承诺本单位（个人）自觉接受行政管理部门、行业组织、社会公众、新闻舆论的监督。</w:t>
      </w:r>
    </w:p>
    <w:p w14:paraId="49BF8CC5">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（四）承诺本单位（个人）将按照信用管理要求，按照规定通过克拉玛依诚信网向社会公示信用信息。</w:t>
      </w:r>
    </w:p>
    <w:p w14:paraId="760F17DD">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（五）承诺本单位（个人）不制假售假、商标侵权、虚假宣传、违约毁约、价格欺诈、垄断和不正当竞争，守合同、重信用，维护经营者、消费者的合法权益。</w:t>
      </w:r>
    </w:p>
    <w:p w14:paraId="259A02A2">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（六）失信主体承诺本单位（个人）依法依规接受处罚、主动积极整改、不再触犯相关法律法规、今后全面做到履约守信等。</w:t>
      </w:r>
    </w:p>
    <w:p w14:paraId="19D2B1AB">
      <w:pPr>
        <w:widowControl w:val="0"/>
        <w:wordWrap/>
        <w:adjustRightInd w:val="0"/>
        <w:snapToGrid w:val="0"/>
        <w:spacing w:line="360" w:lineRule="auto"/>
        <w:ind w:left="319" w:leftChars="152"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w:t>
      </w:r>
      <w:r>
        <w:rPr>
          <w:rFonts w:hint="eastAsia" w:ascii="宋体" w:hAnsi="宋体" w:cs="宋体"/>
          <w:color w:val="auto"/>
          <w:sz w:val="24"/>
          <w:szCs w:val="24"/>
          <w:highlight w:val="none"/>
          <w:lang w:eastAsia="zh-CN"/>
        </w:rPr>
        <w:t>将</w:t>
      </w:r>
      <w:r>
        <w:rPr>
          <w:rFonts w:hint="eastAsia" w:ascii="宋体" w:hAnsi="宋体" w:eastAsia="宋体" w:cs="宋体"/>
          <w:color w:val="auto"/>
          <w:sz w:val="24"/>
          <w:szCs w:val="24"/>
          <w:highlight w:val="none"/>
        </w:rPr>
        <w:t>违背承诺约定行为作为失信信息，记录到市公共信用信息管理系统平台，并予以公开。</w:t>
      </w:r>
    </w:p>
    <w:p w14:paraId="5B6CC5E1">
      <w:pPr>
        <w:widowControl w:val="0"/>
        <w:wordWrap/>
        <w:spacing w:line="360" w:lineRule="auto"/>
        <w:textAlignment w:val="auto"/>
        <w:rPr>
          <w:rFonts w:hint="eastAsia" w:ascii="宋体" w:hAnsi="宋体" w:eastAsia="宋体" w:cs="宋体"/>
          <w:color w:val="auto"/>
          <w:sz w:val="24"/>
          <w:szCs w:val="24"/>
          <w:highlight w:val="none"/>
        </w:rPr>
      </w:pPr>
    </w:p>
    <w:p w14:paraId="2760B271">
      <w:pPr>
        <w:widowControl w:val="0"/>
        <w:wordWrap/>
        <w:spacing w:line="360" w:lineRule="auto"/>
        <w:textAlignment w:val="auto"/>
        <w:rPr>
          <w:rFonts w:hint="eastAsia" w:ascii="宋体" w:hAnsi="宋体" w:eastAsia="宋体" w:cs="宋体"/>
          <w:color w:val="auto"/>
          <w:sz w:val="24"/>
          <w:szCs w:val="24"/>
          <w:highlight w:val="none"/>
          <w:u w:val="single"/>
        </w:rPr>
      </w:pPr>
    </w:p>
    <w:p w14:paraId="15E8F259">
      <w:pPr>
        <w:widowControl w:val="0"/>
        <w:wordWrap/>
        <w:spacing w:line="360" w:lineRule="auto"/>
        <w:ind w:firstLine="2880" w:firstLineChars="1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单位或个人名称(公章或签名)</w:t>
      </w:r>
    </w:p>
    <w:p w14:paraId="7FFAFC02">
      <w:pPr>
        <w:widowControl w:val="0"/>
        <w:wordWrap/>
        <w:spacing w:line="360" w:lineRule="auto"/>
        <w:ind w:firstLine="2880" w:firstLineChars="120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年   月   日</w:t>
      </w:r>
    </w:p>
    <w:p w14:paraId="0C986915">
      <w:pPr>
        <w:tabs>
          <w:tab w:val="left" w:pos="6300"/>
        </w:tabs>
        <w:wordWrap/>
        <w:snapToGrid w:val="0"/>
        <w:spacing w:line="360" w:lineRule="auto"/>
        <w:ind w:right="480"/>
        <w:jc w:val="right"/>
        <w:textAlignment w:val="auto"/>
        <w:rPr>
          <w:rFonts w:hint="eastAsia" w:ascii="宋体" w:hAnsi="宋体" w:eastAsia="宋体" w:cs="宋体"/>
          <w:color w:val="auto"/>
          <w:sz w:val="24"/>
          <w:szCs w:val="24"/>
          <w:highlight w:val="none"/>
        </w:rPr>
      </w:pPr>
    </w:p>
    <w:p w14:paraId="1C569F9D">
      <w:pPr>
        <w:tabs>
          <w:tab w:val="left" w:pos="360"/>
          <w:tab w:val="left" w:pos="1800"/>
        </w:tabs>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textWrapping"/>
      </w:r>
    </w:p>
    <w:p w14:paraId="364B60FB">
      <w:pPr>
        <w:tabs>
          <w:tab w:val="left" w:pos="360"/>
          <w:tab w:val="left" w:pos="1800"/>
        </w:tabs>
        <w:spacing w:line="480" w:lineRule="exact"/>
        <w:jc w:val="center"/>
        <w:rPr>
          <w:rFonts w:hint="eastAsia" w:ascii="宋体" w:hAnsi="宋体" w:eastAsia="宋体" w:cs="宋体"/>
          <w:b/>
          <w:bCs/>
          <w:color w:val="auto"/>
          <w:sz w:val="24"/>
          <w:szCs w:val="24"/>
          <w:highlight w:val="none"/>
        </w:rPr>
      </w:pPr>
    </w:p>
    <w:p w14:paraId="751876FE">
      <w:pPr>
        <w:tabs>
          <w:tab w:val="left" w:pos="360"/>
          <w:tab w:val="left" w:pos="1800"/>
        </w:tabs>
        <w:spacing w:line="48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xml:space="preserve">  中小企业声明函（</w:t>
      </w:r>
      <w:r>
        <w:rPr>
          <w:rFonts w:hint="eastAsia" w:ascii="宋体" w:hAnsi="宋体" w:cs="宋体"/>
          <w:b/>
          <w:bCs/>
          <w:color w:val="auto"/>
          <w:sz w:val="24"/>
          <w:highlight w:val="none"/>
          <w:lang w:val="en-US" w:eastAsia="zh-CN"/>
        </w:rPr>
        <w:t>服务</w:t>
      </w:r>
      <w:r>
        <w:rPr>
          <w:rFonts w:hint="eastAsia" w:ascii="宋体" w:hAnsi="宋体" w:eastAsia="宋体" w:cs="宋体"/>
          <w:b/>
          <w:bCs/>
          <w:color w:val="auto"/>
          <w:sz w:val="24"/>
          <w:highlight w:val="none"/>
        </w:rPr>
        <w:t>）</w:t>
      </w:r>
    </w:p>
    <w:p w14:paraId="1B4F688C">
      <w:pPr>
        <w:tabs>
          <w:tab w:val="left" w:pos="6300"/>
        </w:tabs>
        <w:snapToGrid w:val="0"/>
        <w:spacing w:line="500" w:lineRule="exact"/>
        <w:ind w:firstLine="720" w:firstLineChars="200"/>
        <w:jc w:val="center"/>
        <w:outlineLvl w:val="0"/>
        <w:rPr>
          <w:rFonts w:hint="eastAsia" w:ascii="宋体" w:hAnsi="宋体" w:eastAsia="宋体" w:cs="宋体"/>
          <w:color w:val="auto"/>
          <w:sz w:val="36"/>
          <w:szCs w:val="36"/>
          <w:highlight w:val="none"/>
        </w:rPr>
      </w:pPr>
    </w:p>
    <w:p w14:paraId="001E345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 xml:space="preserve"> （单位名称）</w:t>
      </w:r>
      <w:r>
        <w:rPr>
          <w:rFonts w:hint="eastAsia" w:ascii="宋体" w:hAnsi="宋体" w:cs="宋体"/>
          <w:color w:val="auto"/>
          <w:sz w:val="24"/>
          <w:highlight w:val="none"/>
        </w:rPr>
        <w:t xml:space="preserve"> 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E402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 xml:space="preserve">，属于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物业管理</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 xml:space="preserve">（企业名称）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 ，属于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6B001E4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 xml:space="preserve">（企业名称）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17E710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p>
    <w:p w14:paraId="7663BDA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72D470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3FAA8E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18F4278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5E5AF2F4">
      <w:pPr>
        <w:keepNext w:val="0"/>
        <w:keepLines w:val="0"/>
        <w:pageBreakBefore w:val="0"/>
        <w:kinsoku/>
        <w:wordWrap/>
        <w:overflowPunct/>
        <w:topLinePunct w:val="0"/>
        <w:autoSpaceDE/>
        <w:autoSpaceDN/>
        <w:bidi w:val="0"/>
        <w:adjustRightInd/>
        <w:snapToGrid/>
        <w:spacing w:line="360" w:lineRule="auto"/>
        <w:ind w:firstLine="4800" w:firstLineChars="20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企业名称（盖章）：</w:t>
      </w:r>
    </w:p>
    <w:p w14:paraId="4A3A2D9F">
      <w:pPr>
        <w:keepNext w:val="0"/>
        <w:keepLines w:val="0"/>
        <w:pageBreakBefore w:val="0"/>
        <w:kinsoku/>
        <w:wordWrap/>
        <w:overflowPunct/>
        <w:topLinePunct w:val="0"/>
        <w:autoSpaceDE/>
        <w:autoSpaceDN/>
        <w:bidi w:val="0"/>
        <w:adjustRightInd/>
        <w:snapToGrid/>
        <w:spacing w:line="360" w:lineRule="auto"/>
        <w:ind w:firstLine="5040" w:firstLineChars="2100"/>
        <w:jc w:val="left"/>
        <w:textAlignment w:val="auto"/>
        <w:rPr>
          <w:rFonts w:hint="eastAsia" w:ascii="宋体" w:hAnsi="宋体" w:cs="宋体"/>
          <w:color w:val="auto"/>
          <w:sz w:val="24"/>
          <w:highlight w:val="none"/>
        </w:rPr>
      </w:pPr>
    </w:p>
    <w:p w14:paraId="1A732DED">
      <w:pPr>
        <w:keepNext w:val="0"/>
        <w:keepLines w:val="0"/>
        <w:pageBreakBefore w:val="0"/>
        <w:kinsoku/>
        <w:wordWrap/>
        <w:overflowPunct/>
        <w:topLinePunct w:val="0"/>
        <w:autoSpaceDE/>
        <w:autoSpaceDN/>
        <w:bidi w:val="0"/>
        <w:adjustRightInd/>
        <w:snapToGrid/>
        <w:spacing w:line="360" w:lineRule="auto"/>
        <w:ind w:firstLine="5040" w:firstLineChars="21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日 期：</w:t>
      </w:r>
    </w:p>
    <w:p w14:paraId="2E75F4D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2C3F6B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6D0BC74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4CF1507D">
      <w:pPr>
        <w:spacing w:line="360" w:lineRule="auto"/>
        <w:jc w:val="left"/>
        <w:rPr>
          <w:rFonts w:hint="eastAsia" w:ascii="宋体" w:hAnsi="宋体" w:cs="宋体"/>
          <w:color w:val="auto"/>
          <w:sz w:val="24"/>
          <w:highlight w:val="none"/>
        </w:rPr>
      </w:pPr>
    </w:p>
    <w:p w14:paraId="798F94B2">
      <w:pPr>
        <w:spacing w:line="360" w:lineRule="auto"/>
        <w:jc w:val="left"/>
        <w:rPr>
          <w:rFonts w:hint="eastAsia" w:ascii="宋体" w:hAnsi="宋体" w:cs="宋体"/>
          <w:color w:val="auto"/>
          <w:sz w:val="24"/>
          <w:highlight w:val="none"/>
        </w:rPr>
      </w:pPr>
    </w:p>
    <w:p w14:paraId="40E51DC8">
      <w:pPr>
        <w:pStyle w:val="4"/>
        <w:keepNext/>
        <w:keepLines/>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4940F009">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6517F738">
      <w:pPr>
        <w:pStyle w:val="4"/>
        <w:wordWrap/>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首次</w:t>
      </w:r>
      <w:r>
        <w:rPr>
          <w:rFonts w:hint="eastAsia" w:ascii="宋体" w:hAnsi="宋体" w:eastAsia="宋体" w:cs="宋体"/>
          <w:color w:val="auto"/>
          <w:sz w:val="24"/>
          <w:szCs w:val="24"/>
          <w:highlight w:val="none"/>
          <w:lang w:eastAsia="zh-CN"/>
        </w:rPr>
        <w:t>）</w:t>
      </w:r>
    </w:p>
    <w:p w14:paraId="495C9BEE">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币种：人民币</w:t>
      </w:r>
    </w:p>
    <w:tbl>
      <w:tblPr>
        <w:tblStyle w:val="59"/>
        <w:tblW w:w="10475"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2817"/>
        <w:gridCol w:w="5371"/>
        <w:gridCol w:w="1482"/>
      </w:tblGrid>
      <w:tr w14:paraId="6BB7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trPr>
        <w:tc>
          <w:tcPr>
            <w:tcW w:w="805" w:type="dxa"/>
            <w:tcBorders>
              <w:top w:val="single" w:color="auto" w:sz="4" w:space="0"/>
              <w:left w:val="single" w:color="000000" w:sz="2" w:space="0"/>
              <w:right w:val="single" w:color="000000" w:sz="2" w:space="0"/>
            </w:tcBorders>
            <w:noWrap w:val="0"/>
            <w:vAlign w:val="center"/>
          </w:tcPr>
          <w:p w14:paraId="6B37443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17" w:type="dxa"/>
            <w:tcBorders>
              <w:top w:val="single" w:color="auto" w:sz="4" w:space="0"/>
              <w:left w:val="single" w:color="auto" w:sz="4" w:space="0"/>
              <w:right w:val="single" w:color="auto" w:sz="4" w:space="0"/>
            </w:tcBorders>
            <w:noWrap w:val="0"/>
            <w:vAlign w:val="center"/>
          </w:tcPr>
          <w:p w14:paraId="345407D0">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项目名称</w:t>
            </w:r>
          </w:p>
        </w:tc>
        <w:tc>
          <w:tcPr>
            <w:tcW w:w="5371" w:type="dxa"/>
            <w:tcBorders>
              <w:top w:val="single" w:color="auto" w:sz="4" w:space="0"/>
              <w:left w:val="single" w:color="auto" w:sz="4" w:space="0"/>
              <w:bottom w:val="single" w:color="auto" w:sz="4" w:space="0"/>
              <w:right w:val="single" w:color="auto" w:sz="4" w:space="0"/>
            </w:tcBorders>
            <w:noWrap w:val="0"/>
            <w:vAlign w:val="center"/>
          </w:tcPr>
          <w:p w14:paraId="4D91535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报价（万元</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w:t>
            </w:r>
          </w:p>
        </w:tc>
        <w:tc>
          <w:tcPr>
            <w:tcW w:w="1482" w:type="dxa"/>
            <w:tcBorders>
              <w:top w:val="single" w:color="auto" w:sz="4" w:space="0"/>
              <w:left w:val="single" w:color="auto" w:sz="4" w:space="0"/>
              <w:bottom w:val="single" w:color="auto" w:sz="4" w:space="0"/>
              <w:right w:val="single" w:color="000000" w:sz="2" w:space="0"/>
            </w:tcBorders>
            <w:noWrap w:val="0"/>
            <w:vAlign w:val="center"/>
          </w:tcPr>
          <w:p w14:paraId="6DCA4A11">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备注</w:t>
            </w:r>
          </w:p>
        </w:tc>
      </w:tr>
      <w:tr w14:paraId="58DF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atLeast"/>
        </w:trPr>
        <w:tc>
          <w:tcPr>
            <w:tcW w:w="805" w:type="dxa"/>
            <w:vMerge w:val="restart"/>
            <w:tcBorders>
              <w:left w:val="single" w:color="000000" w:sz="2" w:space="0"/>
              <w:right w:val="single" w:color="000000" w:sz="2" w:space="0"/>
            </w:tcBorders>
            <w:noWrap w:val="0"/>
            <w:vAlign w:val="center"/>
          </w:tcPr>
          <w:p w14:paraId="44B709F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817" w:type="dxa"/>
            <w:vMerge w:val="restart"/>
            <w:tcBorders>
              <w:left w:val="single" w:color="auto" w:sz="4" w:space="0"/>
              <w:right w:val="single" w:color="auto" w:sz="4" w:space="0"/>
            </w:tcBorders>
            <w:noWrap w:val="0"/>
            <w:vAlign w:val="center"/>
          </w:tcPr>
          <w:p w14:paraId="576EE9D8">
            <w:pPr>
              <w:spacing w:line="400" w:lineRule="exact"/>
              <w:jc w:val="center"/>
              <w:rPr>
                <w:rFonts w:hint="default" w:ascii="宋体" w:hAnsi="宋体" w:eastAsia="宋体" w:cs="宋体"/>
                <w:color w:val="auto"/>
                <w:sz w:val="24"/>
                <w:highlight w:val="none"/>
                <w:lang w:val="en-US" w:eastAsia="zh-CN"/>
              </w:rPr>
            </w:pPr>
            <w:r>
              <w:rPr>
                <w:rFonts w:hint="eastAsia" w:cs="宋体"/>
                <w:color w:val="auto"/>
                <w:sz w:val="24"/>
                <w:szCs w:val="24"/>
                <w:highlight w:val="none"/>
                <w:lang w:eastAsia="zh-CN"/>
              </w:rPr>
              <w:t>物业管理服务</w:t>
            </w:r>
          </w:p>
        </w:tc>
        <w:tc>
          <w:tcPr>
            <w:tcW w:w="5371" w:type="dxa"/>
            <w:tcBorders>
              <w:top w:val="single" w:color="auto" w:sz="4" w:space="0"/>
              <w:left w:val="single" w:color="auto" w:sz="4" w:space="0"/>
              <w:bottom w:val="single" w:color="auto" w:sz="4" w:space="0"/>
              <w:right w:val="single" w:color="auto" w:sz="4" w:space="0"/>
            </w:tcBorders>
            <w:noWrap w:val="0"/>
            <w:vAlign w:val="center"/>
          </w:tcPr>
          <w:p w14:paraId="56E9E7E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小写：￥</w:t>
            </w:r>
          </w:p>
        </w:tc>
        <w:tc>
          <w:tcPr>
            <w:tcW w:w="1482" w:type="dxa"/>
            <w:vMerge w:val="restart"/>
            <w:tcBorders>
              <w:top w:val="single" w:color="auto" w:sz="4" w:space="0"/>
              <w:left w:val="single" w:color="auto" w:sz="4" w:space="0"/>
              <w:right w:val="single" w:color="000000" w:sz="2" w:space="0"/>
            </w:tcBorders>
            <w:noWrap w:val="0"/>
            <w:vAlign w:val="center"/>
          </w:tcPr>
          <w:p w14:paraId="58B2D3DD">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附报价明细</w:t>
            </w:r>
          </w:p>
        </w:tc>
      </w:tr>
      <w:tr w14:paraId="10B5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3" w:hRule="atLeast"/>
        </w:trPr>
        <w:tc>
          <w:tcPr>
            <w:tcW w:w="805" w:type="dxa"/>
            <w:vMerge w:val="continue"/>
            <w:tcBorders>
              <w:left w:val="single" w:color="000000" w:sz="2" w:space="0"/>
              <w:right w:val="single" w:color="000000" w:sz="2" w:space="0"/>
            </w:tcBorders>
            <w:noWrap w:val="0"/>
            <w:vAlign w:val="center"/>
          </w:tcPr>
          <w:p w14:paraId="3076501B">
            <w:pPr>
              <w:spacing w:line="400" w:lineRule="exact"/>
              <w:jc w:val="center"/>
              <w:rPr>
                <w:rFonts w:hint="eastAsia" w:ascii="宋体" w:hAnsi="宋体" w:cs="宋体"/>
                <w:color w:val="auto"/>
                <w:sz w:val="24"/>
                <w:highlight w:val="none"/>
              </w:rPr>
            </w:pPr>
          </w:p>
        </w:tc>
        <w:tc>
          <w:tcPr>
            <w:tcW w:w="2817" w:type="dxa"/>
            <w:vMerge w:val="continue"/>
            <w:tcBorders>
              <w:left w:val="single" w:color="auto" w:sz="4" w:space="0"/>
              <w:bottom w:val="single" w:color="auto" w:sz="4" w:space="0"/>
              <w:right w:val="single" w:color="auto" w:sz="4" w:space="0"/>
            </w:tcBorders>
            <w:noWrap w:val="0"/>
            <w:vAlign w:val="center"/>
          </w:tcPr>
          <w:p w14:paraId="46EFFA70">
            <w:pPr>
              <w:spacing w:line="400" w:lineRule="exact"/>
              <w:rPr>
                <w:rFonts w:hint="eastAsia" w:ascii="宋体" w:hAnsi="宋体" w:cs="宋体"/>
                <w:color w:val="auto"/>
                <w:sz w:val="24"/>
                <w:highlight w:val="none"/>
              </w:rPr>
            </w:pPr>
          </w:p>
        </w:tc>
        <w:tc>
          <w:tcPr>
            <w:tcW w:w="5371" w:type="dxa"/>
            <w:tcBorders>
              <w:top w:val="single" w:color="auto" w:sz="4" w:space="0"/>
              <w:left w:val="single" w:color="auto" w:sz="4" w:space="0"/>
              <w:bottom w:val="single" w:color="auto" w:sz="4" w:space="0"/>
              <w:right w:val="single" w:color="auto" w:sz="4" w:space="0"/>
            </w:tcBorders>
            <w:noWrap w:val="0"/>
            <w:vAlign w:val="center"/>
          </w:tcPr>
          <w:p w14:paraId="0A69EBA0">
            <w:pP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大写：</w:t>
            </w:r>
          </w:p>
        </w:tc>
        <w:tc>
          <w:tcPr>
            <w:tcW w:w="1482" w:type="dxa"/>
            <w:vMerge w:val="continue"/>
            <w:tcBorders>
              <w:left w:val="single" w:color="auto" w:sz="4" w:space="0"/>
              <w:bottom w:val="single" w:color="auto" w:sz="4" w:space="0"/>
              <w:right w:val="single" w:color="000000" w:sz="2" w:space="0"/>
            </w:tcBorders>
            <w:noWrap w:val="0"/>
            <w:vAlign w:val="center"/>
          </w:tcPr>
          <w:p w14:paraId="017DF9A6">
            <w:pPr>
              <w:spacing w:line="400" w:lineRule="exact"/>
              <w:rPr>
                <w:rFonts w:hint="eastAsia" w:ascii="宋体" w:hAnsi="宋体" w:cs="宋体"/>
                <w:color w:val="auto"/>
                <w:sz w:val="24"/>
                <w:highlight w:val="none"/>
              </w:rPr>
            </w:pPr>
          </w:p>
        </w:tc>
      </w:tr>
      <w:tr w14:paraId="2FEC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trPr>
        <w:tc>
          <w:tcPr>
            <w:tcW w:w="805" w:type="dxa"/>
            <w:tcBorders>
              <w:left w:val="single" w:color="000000" w:sz="2" w:space="0"/>
              <w:bottom w:val="single" w:color="000000" w:sz="2" w:space="0"/>
              <w:right w:val="single" w:color="000000" w:sz="2" w:space="0"/>
            </w:tcBorders>
            <w:noWrap w:val="0"/>
            <w:vAlign w:val="center"/>
          </w:tcPr>
          <w:p w14:paraId="456F77F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817" w:type="dxa"/>
            <w:tcBorders>
              <w:top w:val="single" w:color="auto" w:sz="4" w:space="0"/>
              <w:left w:val="single" w:color="auto" w:sz="4" w:space="0"/>
              <w:bottom w:val="single" w:color="000000" w:sz="2" w:space="0"/>
              <w:right w:val="single" w:color="auto" w:sz="4" w:space="0"/>
            </w:tcBorders>
            <w:noWrap w:val="0"/>
            <w:vAlign w:val="center"/>
          </w:tcPr>
          <w:p w14:paraId="30DF3C13">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6853" w:type="dxa"/>
            <w:gridSpan w:val="2"/>
            <w:tcBorders>
              <w:top w:val="single" w:color="auto" w:sz="4" w:space="0"/>
              <w:left w:val="single" w:color="auto" w:sz="4" w:space="0"/>
              <w:bottom w:val="single" w:color="000000" w:sz="2" w:space="0"/>
              <w:right w:val="single" w:color="000000" w:sz="2" w:space="0"/>
            </w:tcBorders>
            <w:noWrap w:val="0"/>
            <w:vAlign w:val="center"/>
          </w:tcPr>
          <w:p w14:paraId="5D444627">
            <w:pPr>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2026年1月1日至2028年12月31日</w:t>
            </w:r>
            <w:r>
              <w:rPr>
                <w:rFonts w:hint="eastAsia" w:ascii="宋体" w:hAnsi="宋体" w:eastAsia="宋体" w:cs="宋体"/>
                <w:color w:val="auto"/>
                <w:sz w:val="24"/>
                <w:highlight w:val="none"/>
              </w:rPr>
              <w:t>。</w:t>
            </w:r>
          </w:p>
        </w:tc>
      </w:tr>
      <w:tr w14:paraId="15CF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trPr>
        <w:tc>
          <w:tcPr>
            <w:tcW w:w="805" w:type="dxa"/>
            <w:tcBorders>
              <w:left w:val="single" w:color="000000" w:sz="2" w:space="0"/>
              <w:bottom w:val="single" w:color="000000" w:sz="2" w:space="0"/>
              <w:right w:val="single" w:color="000000" w:sz="2" w:space="0"/>
            </w:tcBorders>
            <w:noWrap w:val="0"/>
            <w:vAlign w:val="center"/>
          </w:tcPr>
          <w:p w14:paraId="31F0D46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817" w:type="dxa"/>
            <w:tcBorders>
              <w:top w:val="single" w:color="auto" w:sz="4" w:space="0"/>
              <w:left w:val="single" w:color="auto" w:sz="4" w:space="0"/>
              <w:bottom w:val="single" w:color="000000" w:sz="2" w:space="0"/>
              <w:right w:val="single" w:color="auto" w:sz="4" w:space="0"/>
            </w:tcBorders>
            <w:noWrap w:val="0"/>
            <w:vAlign w:val="center"/>
          </w:tcPr>
          <w:p w14:paraId="63C3CCE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6853" w:type="dxa"/>
            <w:gridSpan w:val="2"/>
            <w:tcBorders>
              <w:top w:val="single" w:color="auto" w:sz="4" w:space="0"/>
              <w:left w:val="single" w:color="auto" w:sz="4" w:space="0"/>
              <w:bottom w:val="single" w:color="000000" w:sz="2" w:space="0"/>
              <w:right w:val="single" w:color="000000" w:sz="2" w:space="0"/>
            </w:tcBorders>
            <w:noWrap w:val="0"/>
            <w:vAlign w:val="center"/>
          </w:tcPr>
          <w:p w14:paraId="686D64F4">
            <w:pPr>
              <w:spacing w:line="400" w:lineRule="exact"/>
              <w:jc w:val="center"/>
              <w:rPr>
                <w:rFonts w:hint="eastAsia" w:ascii="宋体" w:hAnsi="宋体" w:eastAsia="宋体" w:cs="宋体"/>
                <w:color w:val="auto"/>
                <w:sz w:val="24"/>
                <w:highlight w:val="none"/>
              </w:rPr>
            </w:pPr>
          </w:p>
        </w:tc>
      </w:tr>
      <w:tr w14:paraId="724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2" w:hRule="atLeast"/>
        </w:trPr>
        <w:tc>
          <w:tcPr>
            <w:tcW w:w="805" w:type="dxa"/>
            <w:tcBorders>
              <w:top w:val="single" w:color="auto" w:sz="4" w:space="0"/>
              <w:left w:val="single" w:color="000000" w:sz="2" w:space="0"/>
              <w:bottom w:val="single" w:color="000000" w:sz="2" w:space="0"/>
              <w:right w:val="single" w:color="000000" w:sz="2" w:space="0"/>
            </w:tcBorders>
            <w:noWrap w:val="0"/>
            <w:vAlign w:val="center"/>
          </w:tcPr>
          <w:p w14:paraId="3BE5545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817" w:type="dxa"/>
            <w:tcBorders>
              <w:top w:val="single" w:color="auto" w:sz="4" w:space="0"/>
              <w:left w:val="single" w:color="auto" w:sz="4" w:space="0"/>
              <w:bottom w:val="single" w:color="000000" w:sz="2" w:space="0"/>
              <w:right w:val="single" w:color="000000" w:sz="2" w:space="0"/>
            </w:tcBorders>
            <w:noWrap w:val="0"/>
            <w:vAlign w:val="center"/>
          </w:tcPr>
          <w:p w14:paraId="221FEB1B">
            <w:pPr>
              <w:spacing w:line="400" w:lineRule="exact"/>
              <w:jc w:val="center"/>
              <w:rPr>
                <w:rFonts w:hint="eastAsia" w:ascii="宋体" w:hAnsi="宋体" w:cs="宋体"/>
                <w:color w:val="auto"/>
                <w:sz w:val="24"/>
                <w:highlight w:val="none"/>
              </w:rPr>
            </w:pPr>
            <w:r>
              <w:rPr>
                <w:rFonts w:hint="eastAsia" w:ascii="宋体" w:hAnsi="宋体" w:cs="宋体"/>
                <w:b/>
                <w:color w:val="auto"/>
                <w:sz w:val="24"/>
                <w:highlight w:val="none"/>
              </w:rPr>
              <w:t>供应商其它说明（由各供应商根据本采购项目要求自行列出需说明及承诺内容）</w:t>
            </w:r>
          </w:p>
        </w:tc>
        <w:tc>
          <w:tcPr>
            <w:tcW w:w="6853" w:type="dxa"/>
            <w:gridSpan w:val="2"/>
            <w:tcBorders>
              <w:top w:val="single" w:color="auto" w:sz="4" w:space="0"/>
              <w:left w:val="single" w:color="auto" w:sz="4" w:space="0"/>
              <w:bottom w:val="single" w:color="000000" w:sz="2" w:space="0"/>
              <w:right w:val="single" w:color="000000" w:sz="2" w:space="0"/>
            </w:tcBorders>
            <w:noWrap w:val="0"/>
            <w:vAlign w:val="center"/>
          </w:tcPr>
          <w:p w14:paraId="0E4110A3">
            <w:pPr>
              <w:spacing w:line="400" w:lineRule="exact"/>
              <w:rPr>
                <w:rFonts w:hint="eastAsia" w:ascii="宋体" w:hAnsi="宋体" w:cs="宋体"/>
                <w:color w:val="auto"/>
                <w:sz w:val="24"/>
                <w:highlight w:val="none"/>
              </w:rPr>
            </w:pPr>
          </w:p>
        </w:tc>
      </w:tr>
      <w:tr w14:paraId="038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75" w:hRule="exact"/>
        </w:trPr>
        <w:tc>
          <w:tcPr>
            <w:tcW w:w="10475" w:type="dxa"/>
            <w:gridSpan w:val="4"/>
            <w:tcBorders>
              <w:top w:val="single" w:color="auto" w:sz="4" w:space="0"/>
              <w:left w:val="single" w:color="000000" w:sz="2" w:space="0"/>
              <w:bottom w:val="single" w:color="000000" w:sz="2" w:space="0"/>
              <w:right w:val="single" w:color="000000" w:sz="2" w:space="0"/>
            </w:tcBorders>
            <w:noWrap w:val="0"/>
            <w:vAlign w:val="center"/>
          </w:tcPr>
          <w:p w14:paraId="39706C77">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注：报价包含的内容：</w:t>
            </w:r>
            <w:r>
              <w:rPr>
                <w:rFonts w:hint="eastAsia" w:ascii="宋体" w:hAnsi="宋体" w:cs="宋体"/>
                <w:b/>
                <w:bCs/>
                <w:color w:val="auto"/>
                <w:sz w:val="24"/>
                <w:highlight w:val="none"/>
                <w:lang w:val="en-US" w:eastAsia="zh-CN"/>
              </w:rPr>
              <w:t>在服务期限内完成国家税务总局克拉玛依市克拉玛依区税务局办公楼物业管理服务，包括基本服务、房屋维护服务、公用设施设备维护服务、保洁服务、绿化服务、会议服务等以及合同主要内容、技术规范及标准、项目采购需求、本招标文件约定的全部内容并配合采购人完成此项服务相关的全部工作。</w:t>
            </w:r>
          </w:p>
        </w:tc>
      </w:tr>
    </w:tbl>
    <w:p w14:paraId="1F88F10D">
      <w:pPr>
        <w:rPr>
          <w:rFonts w:hint="eastAsia"/>
          <w:color w:val="auto"/>
          <w:highlight w:val="none"/>
        </w:rPr>
      </w:pPr>
    </w:p>
    <w:p w14:paraId="260A1C85">
      <w:pPr>
        <w:wordWrap/>
        <w:spacing w:line="360" w:lineRule="auto"/>
        <w:ind w:firstLine="240" w:firstLineChars="100"/>
        <w:textAlignment w:val="auto"/>
        <w:rPr>
          <w:rFonts w:hint="eastAsia" w:ascii="宋体" w:hAnsi="宋体" w:eastAsia="宋体" w:cs="宋体"/>
          <w:color w:val="auto"/>
          <w:sz w:val="24"/>
          <w:szCs w:val="24"/>
          <w:highlight w:val="none"/>
        </w:rPr>
      </w:pPr>
    </w:p>
    <w:p w14:paraId="22B4A266">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4E006CF5">
      <w:pPr>
        <w:wordWrap/>
        <w:spacing w:line="360" w:lineRule="auto"/>
        <w:ind w:firstLine="240" w:firstLineChars="100"/>
        <w:textAlignment w:val="auto"/>
        <w:rPr>
          <w:rFonts w:hint="eastAsia" w:ascii="宋体" w:hAnsi="宋体" w:eastAsia="宋体" w:cs="宋体"/>
          <w:color w:val="auto"/>
          <w:sz w:val="24"/>
          <w:szCs w:val="24"/>
          <w:highlight w:val="none"/>
        </w:rPr>
      </w:pPr>
    </w:p>
    <w:p w14:paraId="51746003">
      <w:pPr>
        <w:wordWrap/>
        <w:spacing w:line="360" w:lineRule="auto"/>
        <w:ind w:firstLine="240" w:firstLineChars="100"/>
        <w:textAlignment w:val="auto"/>
        <w:rPr>
          <w:rFonts w:hint="eastAsia" w:ascii="宋体" w:hAnsi="宋体" w:eastAsia="宋体" w:cs="宋体"/>
          <w:color w:val="auto"/>
          <w:sz w:val="24"/>
          <w:szCs w:val="24"/>
          <w:highlight w:val="none"/>
        </w:rPr>
      </w:pPr>
    </w:p>
    <w:p w14:paraId="37F2C038">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6AF79FA2">
      <w:pPr>
        <w:wordWrap/>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报价日期：   年  月   日</w:t>
      </w:r>
    </w:p>
    <w:p w14:paraId="70FB05D8">
      <w:pPr>
        <w:wordWrap/>
        <w:spacing w:line="360" w:lineRule="auto"/>
        <w:ind w:firstLine="240" w:firstLineChars="100"/>
        <w:textAlignment w:val="auto"/>
        <w:rPr>
          <w:rFonts w:hint="eastAsia" w:ascii="宋体" w:hAnsi="宋体" w:eastAsia="宋体" w:cs="宋体"/>
          <w:color w:val="auto"/>
          <w:sz w:val="24"/>
          <w:szCs w:val="24"/>
          <w:highlight w:val="none"/>
        </w:rPr>
      </w:pPr>
    </w:p>
    <w:p w14:paraId="25904ED4">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注：供应商须按本报价一览表格式制作“最后报价表”并加盖单位公章，经磋商后由各供应商填写最后报价。</w:t>
      </w:r>
    </w:p>
    <w:p w14:paraId="19CCF75A">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551F0D58">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7C8E30EF">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7F45A83E">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 商务条款</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偏离表</w:t>
      </w:r>
    </w:p>
    <w:tbl>
      <w:tblPr>
        <w:tblStyle w:val="5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49"/>
        <w:gridCol w:w="2371"/>
        <w:gridCol w:w="2160"/>
        <w:gridCol w:w="2340"/>
      </w:tblGrid>
      <w:tr w14:paraId="76E2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69DF42D">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9" w:type="dxa"/>
            <w:vAlign w:val="center"/>
          </w:tcPr>
          <w:p w14:paraId="196C5CE1">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371" w:type="dxa"/>
            <w:vAlign w:val="center"/>
          </w:tcPr>
          <w:p w14:paraId="189BC926">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14:paraId="15DF6652">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2160" w:type="dxa"/>
            <w:vAlign w:val="center"/>
          </w:tcPr>
          <w:p w14:paraId="778C1DD1">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14:paraId="5FE0AC9D">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2340" w:type="dxa"/>
            <w:vAlign w:val="center"/>
          </w:tcPr>
          <w:p w14:paraId="36654A7E">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B4B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053B996A">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2178F179">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77A26369">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69B92FB7">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281AE217">
            <w:pPr>
              <w:wordWrap/>
              <w:spacing w:line="360" w:lineRule="auto"/>
              <w:textAlignment w:val="auto"/>
              <w:rPr>
                <w:rFonts w:hint="eastAsia" w:ascii="宋体" w:hAnsi="宋体" w:eastAsia="宋体" w:cs="宋体"/>
                <w:color w:val="auto"/>
                <w:sz w:val="24"/>
                <w:szCs w:val="24"/>
                <w:highlight w:val="none"/>
              </w:rPr>
            </w:pPr>
          </w:p>
        </w:tc>
      </w:tr>
      <w:tr w14:paraId="05B0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45D4499B">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31AB0399">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00AAFE43">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1D827591">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BD28C60">
            <w:pPr>
              <w:wordWrap/>
              <w:spacing w:line="360" w:lineRule="auto"/>
              <w:textAlignment w:val="auto"/>
              <w:rPr>
                <w:rFonts w:hint="eastAsia" w:ascii="宋体" w:hAnsi="宋体" w:eastAsia="宋体" w:cs="宋体"/>
                <w:color w:val="auto"/>
                <w:sz w:val="24"/>
                <w:szCs w:val="24"/>
                <w:highlight w:val="none"/>
              </w:rPr>
            </w:pPr>
          </w:p>
        </w:tc>
      </w:tr>
      <w:tr w14:paraId="5C55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CA8196B">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27F9F8BE">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73294549">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00AEE5C9">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1B7415B2">
            <w:pPr>
              <w:wordWrap/>
              <w:spacing w:line="360" w:lineRule="auto"/>
              <w:textAlignment w:val="auto"/>
              <w:rPr>
                <w:rFonts w:hint="eastAsia" w:ascii="宋体" w:hAnsi="宋体" w:eastAsia="宋体" w:cs="宋体"/>
                <w:color w:val="auto"/>
                <w:sz w:val="24"/>
                <w:szCs w:val="24"/>
                <w:highlight w:val="none"/>
              </w:rPr>
            </w:pPr>
          </w:p>
        </w:tc>
      </w:tr>
      <w:tr w14:paraId="116E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698542A2">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5B4BA4B4">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254B62F3">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4926CEEB">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DDE8553">
            <w:pPr>
              <w:wordWrap/>
              <w:spacing w:line="360" w:lineRule="auto"/>
              <w:textAlignment w:val="auto"/>
              <w:rPr>
                <w:rFonts w:hint="eastAsia" w:ascii="宋体" w:hAnsi="宋体" w:eastAsia="宋体" w:cs="宋体"/>
                <w:color w:val="auto"/>
                <w:sz w:val="24"/>
                <w:szCs w:val="24"/>
                <w:highlight w:val="none"/>
              </w:rPr>
            </w:pPr>
          </w:p>
        </w:tc>
      </w:tr>
      <w:tr w14:paraId="06CA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22878C8A">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1BE2BA86">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74E6C309">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15D69E7C">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67F7B8FC">
            <w:pPr>
              <w:wordWrap/>
              <w:spacing w:line="360" w:lineRule="auto"/>
              <w:textAlignment w:val="auto"/>
              <w:rPr>
                <w:rFonts w:hint="eastAsia" w:ascii="宋体" w:hAnsi="宋体" w:eastAsia="宋体" w:cs="宋体"/>
                <w:color w:val="auto"/>
                <w:sz w:val="24"/>
                <w:szCs w:val="24"/>
                <w:highlight w:val="none"/>
              </w:rPr>
            </w:pPr>
          </w:p>
        </w:tc>
      </w:tr>
      <w:tr w14:paraId="4994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33EB80FE">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0A2529FA">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0C597E14">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557B5B83">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75FD87A5">
            <w:pPr>
              <w:wordWrap/>
              <w:spacing w:line="360" w:lineRule="auto"/>
              <w:textAlignment w:val="auto"/>
              <w:rPr>
                <w:rFonts w:hint="eastAsia" w:ascii="宋体" w:hAnsi="宋体" w:eastAsia="宋体" w:cs="宋体"/>
                <w:color w:val="auto"/>
                <w:sz w:val="24"/>
                <w:szCs w:val="24"/>
                <w:highlight w:val="none"/>
              </w:rPr>
            </w:pPr>
          </w:p>
        </w:tc>
      </w:tr>
      <w:tr w14:paraId="4A37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340BED67">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79B41EC6">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250CE18D">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419EDF95">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25BEA67B">
            <w:pPr>
              <w:wordWrap/>
              <w:spacing w:line="360" w:lineRule="auto"/>
              <w:textAlignment w:val="auto"/>
              <w:rPr>
                <w:rFonts w:hint="eastAsia" w:ascii="宋体" w:hAnsi="宋体" w:eastAsia="宋体" w:cs="宋体"/>
                <w:color w:val="auto"/>
                <w:sz w:val="24"/>
                <w:szCs w:val="24"/>
                <w:highlight w:val="none"/>
              </w:rPr>
            </w:pPr>
          </w:p>
        </w:tc>
      </w:tr>
      <w:tr w14:paraId="517F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24081AFF">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7476BB3C">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212B1B99">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72B4E232">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6DF746F">
            <w:pPr>
              <w:wordWrap/>
              <w:spacing w:line="360" w:lineRule="auto"/>
              <w:textAlignment w:val="auto"/>
              <w:rPr>
                <w:rFonts w:hint="eastAsia" w:ascii="宋体" w:hAnsi="宋体" w:eastAsia="宋体" w:cs="宋体"/>
                <w:color w:val="auto"/>
                <w:sz w:val="24"/>
                <w:szCs w:val="24"/>
                <w:highlight w:val="none"/>
              </w:rPr>
            </w:pPr>
          </w:p>
        </w:tc>
      </w:tr>
      <w:tr w14:paraId="3CC8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1AC5494">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395C368B">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1028B1EE">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4FC771DC">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C225BB0">
            <w:pPr>
              <w:wordWrap/>
              <w:spacing w:line="360" w:lineRule="auto"/>
              <w:textAlignment w:val="auto"/>
              <w:rPr>
                <w:rFonts w:hint="eastAsia" w:ascii="宋体" w:hAnsi="宋体" w:eastAsia="宋体" w:cs="宋体"/>
                <w:color w:val="auto"/>
                <w:sz w:val="24"/>
                <w:szCs w:val="24"/>
                <w:highlight w:val="none"/>
              </w:rPr>
            </w:pPr>
          </w:p>
        </w:tc>
      </w:tr>
      <w:tr w14:paraId="2864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215E5D3B">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375494E9">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56821831">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00A0B8F4">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FEB1ECD">
            <w:pPr>
              <w:wordWrap/>
              <w:spacing w:line="360" w:lineRule="auto"/>
              <w:textAlignment w:val="auto"/>
              <w:rPr>
                <w:rFonts w:hint="eastAsia" w:ascii="宋体" w:hAnsi="宋体" w:eastAsia="宋体" w:cs="宋体"/>
                <w:color w:val="auto"/>
                <w:sz w:val="24"/>
                <w:szCs w:val="24"/>
                <w:highlight w:val="none"/>
              </w:rPr>
            </w:pPr>
          </w:p>
        </w:tc>
      </w:tr>
      <w:tr w14:paraId="558A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4E54A064">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48A9772D">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6E82402F">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0BC1E348">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74C9C882">
            <w:pPr>
              <w:wordWrap/>
              <w:spacing w:line="360" w:lineRule="auto"/>
              <w:textAlignment w:val="auto"/>
              <w:rPr>
                <w:rFonts w:hint="eastAsia" w:ascii="宋体" w:hAnsi="宋体" w:eastAsia="宋体" w:cs="宋体"/>
                <w:color w:val="auto"/>
                <w:sz w:val="24"/>
                <w:szCs w:val="24"/>
                <w:highlight w:val="none"/>
              </w:rPr>
            </w:pPr>
          </w:p>
        </w:tc>
      </w:tr>
      <w:tr w14:paraId="2B32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72A76B13">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354DDCDC">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3453A8F2">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1635C8DD">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7B5130C3">
            <w:pPr>
              <w:wordWrap/>
              <w:spacing w:line="360" w:lineRule="auto"/>
              <w:textAlignment w:val="auto"/>
              <w:rPr>
                <w:rFonts w:hint="eastAsia" w:ascii="宋体" w:hAnsi="宋体" w:eastAsia="宋体" w:cs="宋体"/>
                <w:color w:val="auto"/>
                <w:sz w:val="24"/>
                <w:szCs w:val="24"/>
                <w:highlight w:val="none"/>
              </w:rPr>
            </w:pPr>
          </w:p>
        </w:tc>
      </w:tr>
      <w:tr w14:paraId="0C52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1FA01102">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03056E66">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38738E02">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5EDA62A7">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461AFB28">
            <w:pPr>
              <w:wordWrap/>
              <w:spacing w:line="360" w:lineRule="auto"/>
              <w:textAlignment w:val="auto"/>
              <w:rPr>
                <w:rFonts w:hint="eastAsia" w:ascii="宋体" w:hAnsi="宋体" w:eastAsia="宋体" w:cs="宋体"/>
                <w:color w:val="auto"/>
                <w:sz w:val="24"/>
                <w:szCs w:val="24"/>
                <w:highlight w:val="none"/>
              </w:rPr>
            </w:pPr>
          </w:p>
        </w:tc>
      </w:tr>
      <w:tr w14:paraId="7E4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ECD884C">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6D6DCF32">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13773A97">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0644AA54">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65928F69">
            <w:pPr>
              <w:wordWrap/>
              <w:spacing w:line="360" w:lineRule="auto"/>
              <w:textAlignment w:val="auto"/>
              <w:rPr>
                <w:rFonts w:hint="eastAsia" w:ascii="宋体" w:hAnsi="宋体" w:eastAsia="宋体" w:cs="宋体"/>
                <w:color w:val="auto"/>
                <w:sz w:val="24"/>
                <w:szCs w:val="24"/>
                <w:highlight w:val="none"/>
              </w:rPr>
            </w:pPr>
          </w:p>
        </w:tc>
      </w:tr>
    </w:tbl>
    <w:p w14:paraId="252267DF">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注：供应商按此表格式列出不影响投标实质性响应的商务偏差，没有说明的其他条款将被认为完全满足采购文件的规定。</w:t>
      </w:r>
    </w:p>
    <w:p w14:paraId="2165BAF0">
      <w:pPr>
        <w:pStyle w:val="33"/>
        <w:wordWrap/>
        <w:spacing w:line="360" w:lineRule="auto"/>
        <w:textAlignment w:val="auto"/>
        <w:rPr>
          <w:rFonts w:hint="eastAsia" w:ascii="宋体" w:hAnsi="宋体" w:eastAsia="宋体" w:cs="宋体"/>
          <w:bCs/>
          <w:color w:val="auto"/>
          <w:sz w:val="24"/>
          <w:szCs w:val="24"/>
          <w:highlight w:val="none"/>
        </w:rPr>
      </w:pPr>
    </w:p>
    <w:p w14:paraId="27C05ACA">
      <w:pPr>
        <w:pStyle w:val="33"/>
        <w:wordWrap/>
        <w:spacing w:line="360" w:lineRule="auto"/>
        <w:textAlignment w:val="auto"/>
        <w:rPr>
          <w:rFonts w:hint="eastAsia" w:ascii="宋体" w:hAnsi="宋体" w:eastAsia="宋体" w:cs="宋体"/>
          <w:bCs/>
          <w:color w:val="auto"/>
          <w:sz w:val="24"/>
          <w:szCs w:val="24"/>
          <w:highlight w:val="none"/>
        </w:rPr>
      </w:pPr>
    </w:p>
    <w:p w14:paraId="55620A2C">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301154D8">
      <w:pPr>
        <w:wordWrap/>
        <w:spacing w:line="360" w:lineRule="auto"/>
        <w:ind w:firstLine="240" w:firstLineChars="100"/>
        <w:textAlignment w:val="auto"/>
        <w:rPr>
          <w:rFonts w:hint="eastAsia" w:ascii="宋体" w:hAnsi="宋体" w:eastAsia="宋体" w:cs="宋体"/>
          <w:color w:val="auto"/>
          <w:sz w:val="24"/>
          <w:szCs w:val="24"/>
          <w:highlight w:val="none"/>
        </w:rPr>
      </w:pPr>
    </w:p>
    <w:p w14:paraId="096700C4">
      <w:pPr>
        <w:wordWrap/>
        <w:spacing w:line="360" w:lineRule="auto"/>
        <w:ind w:firstLine="240" w:firstLineChars="100"/>
        <w:textAlignment w:val="auto"/>
        <w:rPr>
          <w:rFonts w:hint="eastAsia" w:ascii="宋体" w:hAnsi="宋体" w:eastAsia="宋体" w:cs="宋体"/>
          <w:color w:val="auto"/>
          <w:sz w:val="24"/>
          <w:szCs w:val="24"/>
          <w:highlight w:val="none"/>
        </w:rPr>
      </w:pPr>
    </w:p>
    <w:p w14:paraId="0B3D7EDF">
      <w:pPr>
        <w:pStyle w:val="33"/>
        <w:wordWrap/>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bCs/>
          <w:color w:val="auto"/>
          <w:sz w:val="24"/>
          <w:szCs w:val="24"/>
          <w:highlight w:val="none"/>
        </w:rPr>
        <w:t xml:space="preserve">： </w:t>
      </w:r>
    </w:p>
    <w:p w14:paraId="00094C59">
      <w:pPr>
        <w:pStyle w:val="33"/>
        <w:wordWrap/>
        <w:spacing w:line="360" w:lineRule="auto"/>
        <w:textAlignment w:val="auto"/>
        <w:rPr>
          <w:rFonts w:hint="eastAsia" w:ascii="宋体" w:hAnsi="宋体" w:eastAsia="宋体" w:cs="宋体"/>
          <w:color w:val="auto"/>
          <w:sz w:val="24"/>
          <w:szCs w:val="24"/>
          <w:highlight w:val="none"/>
        </w:rPr>
      </w:pPr>
    </w:p>
    <w:p w14:paraId="08854CB3">
      <w:pPr>
        <w:pStyle w:val="33"/>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557F0E0">
      <w:pPr>
        <w:pStyle w:val="2"/>
        <w:ind w:firstLine="0"/>
        <w:jc w:val="center"/>
        <w:rPr>
          <w:rFonts w:hint="eastAsia" w:ascii="宋体" w:hAnsi="宋体" w:cs="宋体"/>
          <w:b/>
          <w:bCs/>
          <w:color w:val="auto"/>
          <w:kern w:val="0"/>
          <w:sz w:val="24"/>
          <w:szCs w:val="24"/>
          <w:highlight w:val="none"/>
        </w:rPr>
      </w:pPr>
    </w:p>
    <w:p w14:paraId="7C0EE1FD">
      <w:pPr>
        <w:pStyle w:val="2"/>
        <w:ind w:firstLine="0"/>
        <w:jc w:val="center"/>
        <w:rPr>
          <w:rFonts w:hint="eastAsia" w:ascii="宋体" w:hAnsi="宋体" w:cs="宋体"/>
          <w:b/>
          <w:bCs/>
          <w:color w:val="auto"/>
          <w:kern w:val="0"/>
          <w:sz w:val="24"/>
          <w:szCs w:val="24"/>
          <w:highlight w:val="none"/>
        </w:rPr>
      </w:pPr>
    </w:p>
    <w:p w14:paraId="153B72D8">
      <w:pPr>
        <w:pStyle w:val="2"/>
        <w:ind w:firstLine="0"/>
        <w:jc w:val="center"/>
        <w:rPr>
          <w:rFonts w:hint="eastAsia" w:ascii="宋体" w:hAnsi="宋体" w:cs="宋体"/>
          <w:b/>
          <w:bCs/>
          <w:color w:val="auto"/>
          <w:kern w:val="0"/>
          <w:sz w:val="24"/>
          <w:szCs w:val="24"/>
          <w:highlight w:val="none"/>
        </w:rPr>
      </w:pPr>
    </w:p>
    <w:p w14:paraId="02226701">
      <w:pPr>
        <w:pStyle w:val="4"/>
        <w:wordWrap/>
        <w:spacing w:before="0" w:after="0" w:line="360" w:lineRule="auto"/>
        <w:jc w:val="center"/>
        <w:textAlignment w:val="auto"/>
        <w:rPr>
          <w:rFonts w:hint="eastAsia" w:ascii="宋体" w:hAnsi="宋体" w:eastAsia="宋体" w:cs="宋体"/>
          <w:color w:val="auto"/>
          <w:sz w:val="24"/>
          <w:szCs w:val="24"/>
          <w:highlight w:val="none"/>
        </w:rPr>
      </w:pPr>
      <w:bookmarkStart w:id="158" w:name="_Toc12471"/>
      <w:bookmarkStart w:id="159" w:name="_Toc13948"/>
      <w:bookmarkStart w:id="160" w:name="_Toc453752086"/>
      <w:bookmarkStart w:id="161" w:name="_Toc500232561"/>
      <w:bookmarkStart w:id="162" w:name="_Toc11914"/>
      <w:bookmarkStart w:id="163" w:name="_Toc243906411"/>
      <w:bookmarkStart w:id="164" w:name="_Toc245369914"/>
      <w:bookmarkStart w:id="165" w:name="_Toc246216439"/>
      <w:bookmarkStart w:id="166" w:name="_Toc243907641"/>
      <w:bookmarkStart w:id="167" w:name="_Toc246216304"/>
      <w:bookmarkStart w:id="168" w:name="_Toc243905166"/>
      <w:bookmarkStart w:id="169" w:name="_Toc246216281"/>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b/>
          <w:color w:val="auto"/>
          <w:sz w:val="24"/>
          <w:highlight w:val="none"/>
        </w:rPr>
        <w:t>近三年（自202</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年1月1日至今）同类项目业绩表</w:t>
      </w:r>
    </w:p>
    <w:tbl>
      <w:tblPr>
        <w:tblStyle w:val="59"/>
        <w:tblW w:w="88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6156"/>
      </w:tblGrid>
      <w:tr w14:paraId="3F6E7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1DE002DB">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56" w:type="dxa"/>
            <w:vAlign w:val="top"/>
          </w:tcPr>
          <w:p w14:paraId="4A92CED7">
            <w:pPr>
              <w:wordWrap/>
              <w:spacing w:line="360" w:lineRule="auto"/>
              <w:textAlignment w:val="auto"/>
              <w:rPr>
                <w:rFonts w:hint="eastAsia" w:ascii="宋体" w:hAnsi="宋体" w:eastAsia="宋体" w:cs="宋体"/>
                <w:color w:val="auto"/>
                <w:sz w:val="24"/>
                <w:szCs w:val="24"/>
                <w:highlight w:val="none"/>
              </w:rPr>
            </w:pPr>
          </w:p>
        </w:tc>
      </w:tr>
      <w:tr w14:paraId="197C5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498FCDCF">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56" w:type="dxa"/>
            <w:vAlign w:val="top"/>
          </w:tcPr>
          <w:p w14:paraId="370B8515">
            <w:pPr>
              <w:wordWrap/>
              <w:spacing w:line="360" w:lineRule="auto"/>
              <w:textAlignment w:val="auto"/>
              <w:rPr>
                <w:rFonts w:hint="eastAsia" w:ascii="宋体" w:hAnsi="宋体" w:eastAsia="宋体" w:cs="宋体"/>
                <w:color w:val="auto"/>
                <w:sz w:val="24"/>
                <w:szCs w:val="24"/>
                <w:highlight w:val="none"/>
              </w:rPr>
            </w:pPr>
          </w:p>
        </w:tc>
      </w:tr>
      <w:tr w14:paraId="59C8A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6CE2F56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项目实施机构名称</w:t>
            </w:r>
          </w:p>
        </w:tc>
        <w:tc>
          <w:tcPr>
            <w:tcW w:w="6156" w:type="dxa"/>
            <w:vAlign w:val="top"/>
          </w:tcPr>
          <w:p w14:paraId="7547A84D">
            <w:pPr>
              <w:wordWrap/>
              <w:spacing w:line="360" w:lineRule="auto"/>
              <w:textAlignment w:val="auto"/>
              <w:rPr>
                <w:rFonts w:hint="eastAsia" w:ascii="宋体" w:hAnsi="宋体" w:eastAsia="宋体" w:cs="宋体"/>
                <w:color w:val="auto"/>
                <w:sz w:val="24"/>
                <w:szCs w:val="24"/>
                <w:highlight w:val="none"/>
              </w:rPr>
            </w:pPr>
          </w:p>
        </w:tc>
      </w:tr>
      <w:tr w14:paraId="5E3CE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667B129D">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项目实施机构地址</w:t>
            </w:r>
          </w:p>
        </w:tc>
        <w:tc>
          <w:tcPr>
            <w:tcW w:w="6156" w:type="dxa"/>
            <w:vAlign w:val="top"/>
          </w:tcPr>
          <w:p w14:paraId="4CCA0622">
            <w:pPr>
              <w:wordWrap/>
              <w:spacing w:line="360" w:lineRule="auto"/>
              <w:textAlignment w:val="auto"/>
              <w:rPr>
                <w:rFonts w:hint="eastAsia" w:ascii="宋体" w:hAnsi="宋体" w:eastAsia="宋体" w:cs="宋体"/>
                <w:color w:val="auto"/>
                <w:sz w:val="24"/>
                <w:szCs w:val="24"/>
                <w:highlight w:val="none"/>
              </w:rPr>
            </w:pPr>
          </w:p>
        </w:tc>
      </w:tr>
      <w:tr w14:paraId="7445A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6DFB65EE">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项目实施机构电话</w:t>
            </w:r>
          </w:p>
        </w:tc>
        <w:tc>
          <w:tcPr>
            <w:tcW w:w="6156" w:type="dxa"/>
            <w:vAlign w:val="top"/>
          </w:tcPr>
          <w:p w14:paraId="4BA23175">
            <w:pPr>
              <w:wordWrap/>
              <w:spacing w:line="360" w:lineRule="auto"/>
              <w:textAlignment w:val="auto"/>
              <w:rPr>
                <w:rFonts w:hint="eastAsia" w:ascii="宋体" w:hAnsi="宋体" w:eastAsia="宋体" w:cs="宋体"/>
                <w:color w:val="auto"/>
                <w:sz w:val="24"/>
                <w:szCs w:val="24"/>
                <w:highlight w:val="none"/>
              </w:rPr>
            </w:pPr>
          </w:p>
        </w:tc>
      </w:tr>
      <w:tr w14:paraId="26FF6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5E2F1D8A">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投资额</w:t>
            </w:r>
          </w:p>
        </w:tc>
        <w:tc>
          <w:tcPr>
            <w:tcW w:w="6156" w:type="dxa"/>
            <w:vAlign w:val="top"/>
          </w:tcPr>
          <w:p w14:paraId="3E3A0053">
            <w:pPr>
              <w:wordWrap/>
              <w:spacing w:line="360" w:lineRule="auto"/>
              <w:textAlignment w:val="auto"/>
              <w:rPr>
                <w:rFonts w:hint="eastAsia" w:ascii="宋体" w:hAnsi="宋体" w:eastAsia="宋体" w:cs="宋体"/>
                <w:color w:val="auto"/>
                <w:sz w:val="24"/>
                <w:szCs w:val="24"/>
                <w:highlight w:val="none"/>
              </w:rPr>
            </w:pPr>
          </w:p>
        </w:tc>
      </w:tr>
      <w:tr w14:paraId="7856E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268F170B">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主要证明材料</w:t>
            </w:r>
          </w:p>
        </w:tc>
        <w:tc>
          <w:tcPr>
            <w:tcW w:w="6156" w:type="dxa"/>
            <w:vAlign w:val="top"/>
          </w:tcPr>
          <w:p w14:paraId="194CE361">
            <w:pPr>
              <w:wordWrap/>
              <w:spacing w:line="360" w:lineRule="auto"/>
              <w:textAlignment w:val="auto"/>
              <w:rPr>
                <w:rFonts w:hint="eastAsia" w:ascii="宋体" w:hAnsi="宋体" w:eastAsia="宋体" w:cs="宋体"/>
                <w:color w:val="auto"/>
                <w:sz w:val="24"/>
                <w:szCs w:val="24"/>
                <w:highlight w:val="none"/>
              </w:rPr>
            </w:pPr>
          </w:p>
        </w:tc>
      </w:tr>
      <w:tr w14:paraId="0BB7D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5D133CE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开始时间</w:t>
            </w:r>
          </w:p>
        </w:tc>
        <w:tc>
          <w:tcPr>
            <w:tcW w:w="6156" w:type="dxa"/>
            <w:vAlign w:val="top"/>
          </w:tcPr>
          <w:p w14:paraId="52B99CDB">
            <w:pPr>
              <w:wordWrap/>
              <w:spacing w:line="360" w:lineRule="auto"/>
              <w:textAlignment w:val="auto"/>
              <w:rPr>
                <w:rFonts w:hint="eastAsia" w:ascii="宋体" w:hAnsi="宋体" w:eastAsia="宋体" w:cs="宋体"/>
                <w:color w:val="auto"/>
                <w:sz w:val="24"/>
                <w:szCs w:val="24"/>
                <w:highlight w:val="none"/>
              </w:rPr>
            </w:pPr>
          </w:p>
        </w:tc>
      </w:tr>
      <w:tr w14:paraId="51C1F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7510448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项目质量</w:t>
            </w:r>
          </w:p>
        </w:tc>
        <w:tc>
          <w:tcPr>
            <w:tcW w:w="6156" w:type="dxa"/>
            <w:vAlign w:val="top"/>
          </w:tcPr>
          <w:p w14:paraId="26B66A93">
            <w:pPr>
              <w:wordWrap/>
              <w:spacing w:line="360" w:lineRule="auto"/>
              <w:textAlignment w:val="auto"/>
              <w:rPr>
                <w:rFonts w:hint="eastAsia" w:ascii="宋体" w:hAnsi="宋体" w:eastAsia="宋体" w:cs="宋体"/>
                <w:color w:val="auto"/>
                <w:sz w:val="24"/>
                <w:szCs w:val="24"/>
                <w:highlight w:val="none"/>
              </w:rPr>
            </w:pPr>
          </w:p>
        </w:tc>
      </w:tr>
      <w:tr w14:paraId="50A7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1AD393F4">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6156" w:type="dxa"/>
            <w:vAlign w:val="top"/>
          </w:tcPr>
          <w:p w14:paraId="335F00DB">
            <w:pPr>
              <w:wordWrap/>
              <w:spacing w:line="360" w:lineRule="auto"/>
              <w:textAlignment w:val="auto"/>
              <w:rPr>
                <w:rFonts w:hint="eastAsia" w:ascii="宋体" w:hAnsi="宋体" w:eastAsia="宋体" w:cs="宋体"/>
                <w:color w:val="auto"/>
                <w:sz w:val="24"/>
                <w:szCs w:val="24"/>
                <w:highlight w:val="none"/>
              </w:rPr>
            </w:pPr>
          </w:p>
        </w:tc>
      </w:tr>
      <w:tr w14:paraId="2F063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2681" w:type="dxa"/>
            <w:vAlign w:val="center"/>
          </w:tcPr>
          <w:p w14:paraId="1B0CCE9D">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56" w:type="dxa"/>
            <w:vAlign w:val="center"/>
          </w:tcPr>
          <w:p w14:paraId="3EF088EC">
            <w:pPr>
              <w:wordWrap/>
              <w:spacing w:line="360" w:lineRule="auto"/>
              <w:jc w:val="center"/>
              <w:textAlignment w:val="auto"/>
              <w:rPr>
                <w:rFonts w:hint="eastAsia" w:ascii="宋体" w:hAnsi="宋体" w:eastAsia="宋体" w:cs="宋体"/>
                <w:color w:val="auto"/>
                <w:sz w:val="24"/>
                <w:szCs w:val="24"/>
                <w:highlight w:val="none"/>
              </w:rPr>
            </w:pPr>
          </w:p>
        </w:tc>
      </w:tr>
      <w:tr w14:paraId="5ED49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81" w:type="dxa"/>
            <w:vAlign w:val="center"/>
          </w:tcPr>
          <w:p w14:paraId="1E2866F9">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6156" w:type="dxa"/>
            <w:vAlign w:val="center"/>
          </w:tcPr>
          <w:p w14:paraId="6349773E">
            <w:pPr>
              <w:wordWrap/>
              <w:spacing w:line="360" w:lineRule="auto"/>
              <w:jc w:val="center"/>
              <w:textAlignment w:val="auto"/>
              <w:rPr>
                <w:rFonts w:hint="eastAsia" w:ascii="宋体" w:hAnsi="宋体" w:eastAsia="宋体" w:cs="宋体"/>
                <w:color w:val="auto"/>
                <w:sz w:val="24"/>
                <w:szCs w:val="24"/>
                <w:highlight w:val="none"/>
              </w:rPr>
            </w:pPr>
          </w:p>
        </w:tc>
      </w:tr>
    </w:tbl>
    <w:p w14:paraId="0EAF0147">
      <w:pPr>
        <w:tabs>
          <w:tab w:val="left" w:pos="555"/>
          <w:tab w:val="left" w:pos="2214"/>
          <w:tab w:val="left" w:pos="3774"/>
          <w:tab w:val="left" w:pos="4854"/>
          <w:tab w:val="left" w:pos="5934"/>
          <w:tab w:val="left" w:pos="7014"/>
          <w:tab w:val="left" w:pos="8214"/>
          <w:tab w:val="left" w:pos="10134"/>
          <w:tab w:val="left" w:pos="11124"/>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注：供应商（仅限于供应商自身实施的）以上业绩需提供有关书面证明材料（如中标通知书/入围通知书或采购合同</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65B5AC50">
      <w:pPr>
        <w:wordWrap/>
        <w:spacing w:line="360" w:lineRule="auto"/>
        <w:textAlignment w:val="auto"/>
        <w:rPr>
          <w:rFonts w:hint="eastAsia" w:ascii="宋体" w:hAnsi="宋体" w:eastAsia="宋体" w:cs="宋体"/>
          <w:color w:val="auto"/>
          <w:sz w:val="24"/>
          <w:szCs w:val="24"/>
          <w:highlight w:val="none"/>
        </w:rPr>
      </w:pPr>
    </w:p>
    <w:p w14:paraId="504E5383">
      <w:pPr>
        <w:wordWrap/>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216452E9">
      <w:pPr>
        <w:wordWrap/>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p>
    <w:p w14:paraId="78E4FA1D">
      <w:pPr>
        <w:wordWrap/>
        <w:spacing w:line="360" w:lineRule="auto"/>
        <w:ind w:right="48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72311C3A">
      <w:pPr>
        <w:wordWrap/>
        <w:spacing w:line="360" w:lineRule="auto"/>
        <w:ind w:right="480" w:firstLine="480" w:firstLineChars="200"/>
        <w:jc w:val="right"/>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年  月  日</w:t>
      </w:r>
    </w:p>
    <w:bookmarkEnd w:id="158"/>
    <w:bookmarkEnd w:id="159"/>
    <w:bookmarkEnd w:id="160"/>
    <w:bookmarkEnd w:id="161"/>
    <w:bookmarkEnd w:id="162"/>
    <w:p w14:paraId="61C93A34">
      <w:pPr>
        <w:spacing w:line="360" w:lineRule="auto"/>
        <w:jc w:val="center"/>
        <w:outlineLvl w:val="0"/>
        <w:rPr>
          <w:rFonts w:hint="eastAsia" w:ascii="宋体" w:hAnsi="宋体" w:cs="宋体"/>
          <w:b/>
          <w:bCs/>
          <w:color w:val="auto"/>
          <w:sz w:val="24"/>
          <w:highlight w:val="none"/>
        </w:rPr>
      </w:pPr>
    </w:p>
    <w:p w14:paraId="32FA82C7">
      <w:pPr>
        <w:spacing w:line="360" w:lineRule="auto"/>
        <w:jc w:val="center"/>
        <w:outlineLvl w:val="0"/>
        <w:rPr>
          <w:rFonts w:hint="eastAsia" w:ascii="宋体" w:hAnsi="宋体" w:cs="宋体"/>
          <w:b/>
          <w:color w:val="auto"/>
          <w:sz w:val="28"/>
          <w:szCs w:val="28"/>
          <w:highlight w:val="none"/>
        </w:rPr>
      </w:pPr>
      <w:r>
        <w:rPr>
          <w:rFonts w:hint="eastAsia" w:ascii="宋体" w:hAnsi="宋体" w:cs="宋体"/>
          <w:b/>
          <w:bCs/>
          <w:color w:val="auto"/>
          <w:sz w:val="24"/>
          <w:highlight w:val="none"/>
        </w:rPr>
        <w:t>格式1</w:t>
      </w:r>
      <w:r>
        <w:rPr>
          <w:rFonts w:hint="eastAsia" w:ascii="宋体" w:hAnsi="宋体" w:cs="宋体"/>
          <w:b/>
          <w:bCs/>
          <w:color w:val="auto"/>
          <w:sz w:val="24"/>
          <w:highlight w:val="none"/>
          <w:lang w:val="en-US" w:eastAsia="zh-CN"/>
        </w:rPr>
        <w:t xml:space="preserve">0 </w:t>
      </w:r>
      <w:r>
        <w:rPr>
          <w:rFonts w:hint="eastAsia" w:ascii="宋体" w:hAnsi="宋体" w:cs="宋体"/>
          <w:b/>
          <w:bCs/>
          <w:color w:val="auto"/>
          <w:sz w:val="24"/>
          <w:highlight w:val="none"/>
        </w:rPr>
        <w:t xml:space="preserve"> 技术规格响应偏离表</w:t>
      </w:r>
      <w:bookmarkEnd w:id="163"/>
      <w:bookmarkEnd w:id="164"/>
      <w:bookmarkEnd w:id="165"/>
      <w:bookmarkEnd w:id="166"/>
      <w:bookmarkEnd w:id="167"/>
      <w:bookmarkEnd w:id="168"/>
      <w:bookmarkEnd w:id="169"/>
    </w:p>
    <w:p w14:paraId="3AA6513F">
      <w:pPr>
        <w:spacing w:line="360" w:lineRule="auto"/>
        <w:jc w:val="center"/>
        <w:outlineLvl w:val="0"/>
        <w:rPr>
          <w:rFonts w:hint="eastAsia" w:ascii="宋体" w:hAnsi="宋体" w:cs="宋体"/>
          <w:b/>
          <w:color w:val="auto"/>
          <w:sz w:val="24"/>
          <w:highlight w:val="none"/>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60"/>
        <w:gridCol w:w="1635"/>
        <w:gridCol w:w="1850"/>
        <w:gridCol w:w="1495"/>
        <w:gridCol w:w="900"/>
        <w:gridCol w:w="1890"/>
      </w:tblGrid>
      <w:tr w14:paraId="6EF2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14:paraId="4486C34B">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560" w:type="dxa"/>
            <w:noWrap w:val="0"/>
            <w:vAlign w:val="center"/>
          </w:tcPr>
          <w:p w14:paraId="71AE7E31">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名称</w:t>
            </w:r>
          </w:p>
        </w:tc>
        <w:tc>
          <w:tcPr>
            <w:tcW w:w="1635" w:type="dxa"/>
            <w:noWrap w:val="0"/>
            <w:vAlign w:val="center"/>
          </w:tcPr>
          <w:p w14:paraId="4CD0D56D">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项目采购需求条目号</w:t>
            </w:r>
          </w:p>
        </w:tc>
        <w:tc>
          <w:tcPr>
            <w:tcW w:w="1850" w:type="dxa"/>
            <w:noWrap w:val="0"/>
            <w:vAlign w:val="center"/>
          </w:tcPr>
          <w:p w14:paraId="44D5F0F6">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响应规格（供应商应按响应货物/服务实际数据填写，不能复制要求）</w:t>
            </w:r>
          </w:p>
        </w:tc>
        <w:tc>
          <w:tcPr>
            <w:tcW w:w="1495" w:type="dxa"/>
            <w:noWrap w:val="0"/>
            <w:vAlign w:val="center"/>
          </w:tcPr>
          <w:p w14:paraId="287137CA">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偏离说明（无偏离/正偏离/负偏离）</w:t>
            </w:r>
          </w:p>
        </w:tc>
        <w:tc>
          <w:tcPr>
            <w:tcW w:w="900" w:type="dxa"/>
            <w:noWrap w:val="0"/>
            <w:vAlign w:val="center"/>
          </w:tcPr>
          <w:p w14:paraId="29E858C6">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偏离</w:t>
            </w:r>
          </w:p>
          <w:p w14:paraId="0446B6B1">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简述</w:t>
            </w:r>
          </w:p>
        </w:tc>
        <w:tc>
          <w:tcPr>
            <w:tcW w:w="1890" w:type="dxa"/>
            <w:noWrap w:val="0"/>
            <w:vAlign w:val="center"/>
          </w:tcPr>
          <w:p w14:paraId="294D1322">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证明文件</w:t>
            </w:r>
          </w:p>
        </w:tc>
      </w:tr>
      <w:tr w14:paraId="4A55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14335619">
            <w:pPr>
              <w:pStyle w:val="33"/>
              <w:spacing w:line="360" w:lineRule="auto"/>
              <w:jc w:val="center"/>
              <w:rPr>
                <w:rFonts w:hint="eastAsia" w:hAnsi="宋体" w:cs="宋体"/>
                <w:color w:val="auto"/>
                <w:szCs w:val="21"/>
                <w:highlight w:val="none"/>
              </w:rPr>
            </w:pPr>
          </w:p>
        </w:tc>
        <w:tc>
          <w:tcPr>
            <w:tcW w:w="1560" w:type="dxa"/>
            <w:noWrap w:val="0"/>
            <w:vAlign w:val="center"/>
          </w:tcPr>
          <w:p w14:paraId="1356045B">
            <w:pPr>
              <w:pStyle w:val="33"/>
              <w:spacing w:line="360" w:lineRule="auto"/>
              <w:jc w:val="center"/>
              <w:rPr>
                <w:rFonts w:hint="eastAsia" w:hAnsi="宋体" w:cs="宋体"/>
                <w:color w:val="auto"/>
                <w:szCs w:val="21"/>
                <w:highlight w:val="none"/>
              </w:rPr>
            </w:pPr>
          </w:p>
        </w:tc>
        <w:tc>
          <w:tcPr>
            <w:tcW w:w="1635" w:type="dxa"/>
            <w:noWrap w:val="0"/>
            <w:vAlign w:val="center"/>
          </w:tcPr>
          <w:p w14:paraId="3EF32B25">
            <w:pPr>
              <w:pStyle w:val="33"/>
              <w:spacing w:line="360" w:lineRule="auto"/>
              <w:jc w:val="center"/>
              <w:rPr>
                <w:rFonts w:hint="eastAsia" w:hAnsi="宋体" w:cs="宋体"/>
                <w:color w:val="auto"/>
                <w:szCs w:val="21"/>
                <w:highlight w:val="none"/>
              </w:rPr>
            </w:pPr>
          </w:p>
        </w:tc>
        <w:tc>
          <w:tcPr>
            <w:tcW w:w="1850" w:type="dxa"/>
            <w:noWrap w:val="0"/>
            <w:vAlign w:val="center"/>
          </w:tcPr>
          <w:p w14:paraId="13848D72">
            <w:pPr>
              <w:pStyle w:val="33"/>
              <w:spacing w:line="360" w:lineRule="auto"/>
              <w:jc w:val="center"/>
              <w:rPr>
                <w:rFonts w:hint="eastAsia" w:hAnsi="宋体" w:cs="宋体"/>
                <w:color w:val="auto"/>
                <w:szCs w:val="21"/>
                <w:highlight w:val="none"/>
              </w:rPr>
            </w:pPr>
          </w:p>
        </w:tc>
        <w:tc>
          <w:tcPr>
            <w:tcW w:w="1495" w:type="dxa"/>
            <w:noWrap w:val="0"/>
            <w:vAlign w:val="center"/>
          </w:tcPr>
          <w:p w14:paraId="0A00CCB6">
            <w:pPr>
              <w:pStyle w:val="33"/>
              <w:spacing w:line="360" w:lineRule="auto"/>
              <w:jc w:val="center"/>
              <w:rPr>
                <w:rFonts w:hint="eastAsia" w:hAnsi="宋体" w:cs="宋体"/>
                <w:color w:val="auto"/>
                <w:szCs w:val="21"/>
                <w:highlight w:val="none"/>
              </w:rPr>
            </w:pPr>
          </w:p>
        </w:tc>
        <w:tc>
          <w:tcPr>
            <w:tcW w:w="900" w:type="dxa"/>
            <w:noWrap w:val="0"/>
            <w:vAlign w:val="center"/>
          </w:tcPr>
          <w:p w14:paraId="41830388">
            <w:pPr>
              <w:pStyle w:val="33"/>
              <w:spacing w:line="360" w:lineRule="auto"/>
              <w:jc w:val="center"/>
              <w:rPr>
                <w:rFonts w:hint="eastAsia" w:hAnsi="宋体" w:cs="宋体"/>
                <w:color w:val="auto"/>
                <w:szCs w:val="21"/>
                <w:highlight w:val="none"/>
              </w:rPr>
            </w:pPr>
          </w:p>
        </w:tc>
        <w:tc>
          <w:tcPr>
            <w:tcW w:w="1890" w:type="dxa"/>
            <w:noWrap w:val="0"/>
            <w:vAlign w:val="top"/>
          </w:tcPr>
          <w:p w14:paraId="6C318137">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6D45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2A289B96">
            <w:pPr>
              <w:pStyle w:val="33"/>
              <w:spacing w:line="360" w:lineRule="auto"/>
              <w:jc w:val="center"/>
              <w:rPr>
                <w:rFonts w:hint="eastAsia" w:hAnsi="宋体" w:cs="宋体"/>
                <w:color w:val="auto"/>
                <w:szCs w:val="21"/>
                <w:highlight w:val="none"/>
              </w:rPr>
            </w:pPr>
          </w:p>
        </w:tc>
        <w:tc>
          <w:tcPr>
            <w:tcW w:w="1560" w:type="dxa"/>
            <w:noWrap w:val="0"/>
            <w:vAlign w:val="center"/>
          </w:tcPr>
          <w:p w14:paraId="4EF8438B">
            <w:pPr>
              <w:pStyle w:val="33"/>
              <w:spacing w:line="360" w:lineRule="auto"/>
              <w:jc w:val="center"/>
              <w:rPr>
                <w:rFonts w:hint="eastAsia" w:hAnsi="宋体" w:cs="宋体"/>
                <w:color w:val="auto"/>
                <w:szCs w:val="21"/>
                <w:highlight w:val="none"/>
              </w:rPr>
            </w:pPr>
          </w:p>
        </w:tc>
        <w:tc>
          <w:tcPr>
            <w:tcW w:w="1635" w:type="dxa"/>
            <w:noWrap w:val="0"/>
            <w:vAlign w:val="center"/>
          </w:tcPr>
          <w:p w14:paraId="6D63E2EE">
            <w:pPr>
              <w:pStyle w:val="33"/>
              <w:spacing w:line="360" w:lineRule="auto"/>
              <w:jc w:val="center"/>
              <w:rPr>
                <w:rFonts w:hint="eastAsia" w:hAnsi="宋体" w:cs="宋体"/>
                <w:color w:val="auto"/>
                <w:szCs w:val="21"/>
                <w:highlight w:val="none"/>
              </w:rPr>
            </w:pPr>
          </w:p>
        </w:tc>
        <w:tc>
          <w:tcPr>
            <w:tcW w:w="1850" w:type="dxa"/>
            <w:noWrap w:val="0"/>
            <w:vAlign w:val="center"/>
          </w:tcPr>
          <w:p w14:paraId="07CEC228">
            <w:pPr>
              <w:pStyle w:val="33"/>
              <w:spacing w:line="360" w:lineRule="auto"/>
              <w:jc w:val="center"/>
              <w:rPr>
                <w:rFonts w:hint="eastAsia" w:hAnsi="宋体" w:cs="宋体"/>
                <w:color w:val="auto"/>
                <w:szCs w:val="21"/>
                <w:highlight w:val="none"/>
              </w:rPr>
            </w:pPr>
          </w:p>
        </w:tc>
        <w:tc>
          <w:tcPr>
            <w:tcW w:w="1495" w:type="dxa"/>
            <w:noWrap w:val="0"/>
            <w:vAlign w:val="center"/>
          </w:tcPr>
          <w:p w14:paraId="0C37D857">
            <w:pPr>
              <w:pStyle w:val="33"/>
              <w:spacing w:line="360" w:lineRule="auto"/>
              <w:jc w:val="center"/>
              <w:rPr>
                <w:rFonts w:hint="eastAsia" w:hAnsi="宋体" w:cs="宋体"/>
                <w:color w:val="auto"/>
                <w:szCs w:val="21"/>
                <w:highlight w:val="none"/>
              </w:rPr>
            </w:pPr>
          </w:p>
        </w:tc>
        <w:tc>
          <w:tcPr>
            <w:tcW w:w="900" w:type="dxa"/>
            <w:noWrap w:val="0"/>
            <w:vAlign w:val="center"/>
          </w:tcPr>
          <w:p w14:paraId="15766BC3">
            <w:pPr>
              <w:pStyle w:val="33"/>
              <w:spacing w:line="360" w:lineRule="auto"/>
              <w:jc w:val="center"/>
              <w:rPr>
                <w:rFonts w:hint="eastAsia" w:hAnsi="宋体" w:cs="宋体"/>
                <w:color w:val="auto"/>
                <w:szCs w:val="21"/>
                <w:highlight w:val="none"/>
              </w:rPr>
            </w:pPr>
          </w:p>
        </w:tc>
        <w:tc>
          <w:tcPr>
            <w:tcW w:w="1890" w:type="dxa"/>
            <w:noWrap w:val="0"/>
            <w:vAlign w:val="top"/>
          </w:tcPr>
          <w:p w14:paraId="75145F5C">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6950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2BCB7397">
            <w:pPr>
              <w:pStyle w:val="33"/>
              <w:spacing w:line="360" w:lineRule="auto"/>
              <w:jc w:val="center"/>
              <w:rPr>
                <w:rFonts w:hint="eastAsia" w:hAnsi="宋体" w:cs="宋体"/>
                <w:color w:val="auto"/>
                <w:szCs w:val="21"/>
                <w:highlight w:val="none"/>
              </w:rPr>
            </w:pPr>
          </w:p>
        </w:tc>
        <w:tc>
          <w:tcPr>
            <w:tcW w:w="1560" w:type="dxa"/>
            <w:noWrap w:val="0"/>
            <w:vAlign w:val="center"/>
          </w:tcPr>
          <w:p w14:paraId="45DD961D">
            <w:pPr>
              <w:pStyle w:val="33"/>
              <w:spacing w:line="360" w:lineRule="auto"/>
              <w:jc w:val="center"/>
              <w:rPr>
                <w:rFonts w:hint="eastAsia" w:hAnsi="宋体" w:cs="宋体"/>
                <w:color w:val="auto"/>
                <w:szCs w:val="21"/>
                <w:highlight w:val="none"/>
              </w:rPr>
            </w:pPr>
          </w:p>
        </w:tc>
        <w:tc>
          <w:tcPr>
            <w:tcW w:w="1635" w:type="dxa"/>
            <w:noWrap w:val="0"/>
            <w:vAlign w:val="center"/>
          </w:tcPr>
          <w:p w14:paraId="6C8C4DFD">
            <w:pPr>
              <w:pStyle w:val="33"/>
              <w:spacing w:line="360" w:lineRule="auto"/>
              <w:jc w:val="center"/>
              <w:rPr>
                <w:rFonts w:hint="eastAsia" w:hAnsi="宋体" w:cs="宋体"/>
                <w:color w:val="auto"/>
                <w:szCs w:val="21"/>
                <w:highlight w:val="none"/>
              </w:rPr>
            </w:pPr>
          </w:p>
        </w:tc>
        <w:tc>
          <w:tcPr>
            <w:tcW w:w="1850" w:type="dxa"/>
            <w:noWrap w:val="0"/>
            <w:vAlign w:val="center"/>
          </w:tcPr>
          <w:p w14:paraId="2EAA0A07">
            <w:pPr>
              <w:pStyle w:val="33"/>
              <w:spacing w:line="360" w:lineRule="auto"/>
              <w:jc w:val="center"/>
              <w:rPr>
                <w:rFonts w:hint="eastAsia" w:hAnsi="宋体" w:cs="宋体"/>
                <w:color w:val="auto"/>
                <w:szCs w:val="21"/>
                <w:highlight w:val="none"/>
              </w:rPr>
            </w:pPr>
          </w:p>
        </w:tc>
        <w:tc>
          <w:tcPr>
            <w:tcW w:w="1495" w:type="dxa"/>
            <w:noWrap w:val="0"/>
            <w:vAlign w:val="center"/>
          </w:tcPr>
          <w:p w14:paraId="169973C5">
            <w:pPr>
              <w:pStyle w:val="33"/>
              <w:spacing w:line="360" w:lineRule="auto"/>
              <w:jc w:val="center"/>
              <w:rPr>
                <w:rFonts w:hint="eastAsia" w:hAnsi="宋体" w:cs="宋体"/>
                <w:color w:val="auto"/>
                <w:szCs w:val="21"/>
                <w:highlight w:val="none"/>
              </w:rPr>
            </w:pPr>
          </w:p>
        </w:tc>
        <w:tc>
          <w:tcPr>
            <w:tcW w:w="900" w:type="dxa"/>
            <w:noWrap w:val="0"/>
            <w:vAlign w:val="center"/>
          </w:tcPr>
          <w:p w14:paraId="62D5D640">
            <w:pPr>
              <w:pStyle w:val="33"/>
              <w:spacing w:line="360" w:lineRule="auto"/>
              <w:jc w:val="center"/>
              <w:rPr>
                <w:rFonts w:hint="eastAsia" w:hAnsi="宋体" w:cs="宋体"/>
                <w:color w:val="auto"/>
                <w:szCs w:val="21"/>
                <w:highlight w:val="none"/>
              </w:rPr>
            </w:pPr>
          </w:p>
        </w:tc>
        <w:tc>
          <w:tcPr>
            <w:tcW w:w="1890" w:type="dxa"/>
            <w:noWrap w:val="0"/>
            <w:vAlign w:val="top"/>
          </w:tcPr>
          <w:p w14:paraId="625EEB9E">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5317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76228E59">
            <w:pPr>
              <w:pStyle w:val="33"/>
              <w:spacing w:line="360" w:lineRule="auto"/>
              <w:jc w:val="center"/>
              <w:rPr>
                <w:rFonts w:hint="eastAsia" w:hAnsi="宋体" w:cs="宋体"/>
                <w:color w:val="auto"/>
                <w:szCs w:val="21"/>
                <w:highlight w:val="none"/>
              </w:rPr>
            </w:pPr>
          </w:p>
        </w:tc>
        <w:tc>
          <w:tcPr>
            <w:tcW w:w="1560" w:type="dxa"/>
            <w:noWrap w:val="0"/>
            <w:vAlign w:val="center"/>
          </w:tcPr>
          <w:p w14:paraId="4E96866B">
            <w:pPr>
              <w:pStyle w:val="33"/>
              <w:spacing w:line="360" w:lineRule="auto"/>
              <w:jc w:val="center"/>
              <w:rPr>
                <w:rFonts w:hint="eastAsia" w:hAnsi="宋体" w:cs="宋体"/>
                <w:color w:val="auto"/>
                <w:szCs w:val="21"/>
                <w:highlight w:val="none"/>
              </w:rPr>
            </w:pPr>
          </w:p>
        </w:tc>
        <w:tc>
          <w:tcPr>
            <w:tcW w:w="1635" w:type="dxa"/>
            <w:noWrap w:val="0"/>
            <w:vAlign w:val="center"/>
          </w:tcPr>
          <w:p w14:paraId="7FE06FBC">
            <w:pPr>
              <w:pStyle w:val="33"/>
              <w:spacing w:line="360" w:lineRule="auto"/>
              <w:jc w:val="center"/>
              <w:rPr>
                <w:rFonts w:hint="eastAsia" w:hAnsi="宋体" w:cs="宋体"/>
                <w:color w:val="auto"/>
                <w:szCs w:val="21"/>
                <w:highlight w:val="none"/>
              </w:rPr>
            </w:pPr>
          </w:p>
        </w:tc>
        <w:tc>
          <w:tcPr>
            <w:tcW w:w="1850" w:type="dxa"/>
            <w:noWrap w:val="0"/>
            <w:vAlign w:val="center"/>
          </w:tcPr>
          <w:p w14:paraId="5387BF1E">
            <w:pPr>
              <w:pStyle w:val="33"/>
              <w:spacing w:line="360" w:lineRule="auto"/>
              <w:jc w:val="center"/>
              <w:rPr>
                <w:rFonts w:hint="eastAsia" w:hAnsi="宋体" w:cs="宋体"/>
                <w:color w:val="auto"/>
                <w:szCs w:val="21"/>
                <w:highlight w:val="none"/>
              </w:rPr>
            </w:pPr>
          </w:p>
        </w:tc>
        <w:tc>
          <w:tcPr>
            <w:tcW w:w="1495" w:type="dxa"/>
            <w:noWrap w:val="0"/>
            <w:vAlign w:val="center"/>
          </w:tcPr>
          <w:p w14:paraId="76303AAF">
            <w:pPr>
              <w:pStyle w:val="33"/>
              <w:spacing w:line="360" w:lineRule="auto"/>
              <w:jc w:val="center"/>
              <w:rPr>
                <w:rFonts w:hint="eastAsia" w:hAnsi="宋体" w:cs="宋体"/>
                <w:color w:val="auto"/>
                <w:szCs w:val="21"/>
                <w:highlight w:val="none"/>
              </w:rPr>
            </w:pPr>
          </w:p>
        </w:tc>
        <w:tc>
          <w:tcPr>
            <w:tcW w:w="900" w:type="dxa"/>
            <w:noWrap w:val="0"/>
            <w:vAlign w:val="center"/>
          </w:tcPr>
          <w:p w14:paraId="5018BA53">
            <w:pPr>
              <w:pStyle w:val="33"/>
              <w:spacing w:line="360" w:lineRule="auto"/>
              <w:jc w:val="center"/>
              <w:rPr>
                <w:rFonts w:hint="eastAsia" w:hAnsi="宋体" w:cs="宋体"/>
                <w:color w:val="auto"/>
                <w:szCs w:val="21"/>
                <w:highlight w:val="none"/>
              </w:rPr>
            </w:pPr>
          </w:p>
        </w:tc>
        <w:tc>
          <w:tcPr>
            <w:tcW w:w="1890" w:type="dxa"/>
            <w:noWrap w:val="0"/>
            <w:vAlign w:val="top"/>
          </w:tcPr>
          <w:p w14:paraId="3CB585C8">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7CB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4D8BEB28">
            <w:pPr>
              <w:pStyle w:val="33"/>
              <w:spacing w:line="360" w:lineRule="auto"/>
              <w:jc w:val="center"/>
              <w:rPr>
                <w:rFonts w:hint="eastAsia" w:hAnsi="宋体" w:cs="宋体"/>
                <w:color w:val="auto"/>
                <w:szCs w:val="21"/>
                <w:highlight w:val="none"/>
              </w:rPr>
            </w:pPr>
          </w:p>
        </w:tc>
        <w:tc>
          <w:tcPr>
            <w:tcW w:w="1560" w:type="dxa"/>
            <w:noWrap w:val="0"/>
            <w:vAlign w:val="center"/>
          </w:tcPr>
          <w:p w14:paraId="2489336C">
            <w:pPr>
              <w:pStyle w:val="33"/>
              <w:spacing w:line="360" w:lineRule="auto"/>
              <w:jc w:val="center"/>
              <w:rPr>
                <w:rFonts w:hint="eastAsia" w:hAnsi="宋体" w:cs="宋体"/>
                <w:color w:val="auto"/>
                <w:szCs w:val="21"/>
                <w:highlight w:val="none"/>
              </w:rPr>
            </w:pPr>
          </w:p>
        </w:tc>
        <w:tc>
          <w:tcPr>
            <w:tcW w:w="1635" w:type="dxa"/>
            <w:noWrap w:val="0"/>
            <w:vAlign w:val="center"/>
          </w:tcPr>
          <w:p w14:paraId="1E4712AF">
            <w:pPr>
              <w:pStyle w:val="33"/>
              <w:spacing w:line="360" w:lineRule="auto"/>
              <w:jc w:val="center"/>
              <w:rPr>
                <w:rFonts w:hint="eastAsia" w:hAnsi="宋体" w:cs="宋体"/>
                <w:color w:val="auto"/>
                <w:szCs w:val="21"/>
                <w:highlight w:val="none"/>
              </w:rPr>
            </w:pPr>
          </w:p>
        </w:tc>
        <w:tc>
          <w:tcPr>
            <w:tcW w:w="1850" w:type="dxa"/>
            <w:noWrap w:val="0"/>
            <w:vAlign w:val="center"/>
          </w:tcPr>
          <w:p w14:paraId="647C7022">
            <w:pPr>
              <w:pStyle w:val="33"/>
              <w:spacing w:line="360" w:lineRule="auto"/>
              <w:jc w:val="center"/>
              <w:rPr>
                <w:rFonts w:hint="eastAsia" w:hAnsi="宋体" w:cs="宋体"/>
                <w:color w:val="auto"/>
                <w:szCs w:val="21"/>
                <w:highlight w:val="none"/>
              </w:rPr>
            </w:pPr>
          </w:p>
        </w:tc>
        <w:tc>
          <w:tcPr>
            <w:tcW w:w="1495" w:type="dxa"/>
            <w:noWrap w:val="0"/>
            <w:vAlign w:val="center"/>
          </w:tcPr>
          <w:p w14:paraId="5AEA6E6E">
            <w:pPr>
              <w:pStyle w:val="33"/>
              <w:spacing w:line="360" w:lineRule="auto"/>
              <w:jc w:val="center"/>
              <w:rPr>
                <w:rFonts w:hint="eastAsia" w:hAnsi="宋体" w:cs="宋体"/>
                <w:color w:val="auto"/>
                <w:szCs w:val="21"/>
                <w:highlight w:val="none"/>
              </w:rPr>
            </w:pPr>
          </w:p>
        </w:tc>
        <w:tc>
          <w:tcPr>
            <w:tcW w:w="900" w:type="dxa"/>
            <w:noWrap w:val="0"/>
            <w:vAlign w:val="center"/>
          </w:tcPr>
          <w:p w14:paraId="323A2E7C">
            <w:pPr>
              <w:pStyle w:val="33"/>
              <w:spacing w:line="360" w:lineRule="auto"/>
              <w:jc w:val="center"/>
              <w:rPr>
                <w:rFonts w:hint="eastAsia" w:hAnsi="宋体" w:cs="宋体"/>
                <w:color w:val="auto"/>
                <w:szCs w:val="21"/>
                <w:highlight w:val="none"/>
              </w:rPr>
            </w:pPr>
          </w:p>
        </w:tc>
        <w:tc>
          <w:tcPr>
            <w:tcW w:w="1890" w:type="dxa"/>
            <w:noWrap w:val="0"/>
            <w:vAlign w:val="top"/>
          </w:tcPr>
          <w:p w14:paraId="50881321">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7D1E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728EC1EC">
            <w:pPr>
              <w:pStyle w:val="33"/>
              <w:spacing w:line="360" w:lineRule="auto"/>
              <w:jc w:val="center"/>
              <w:rPr>
                <w:rFonts w:hint="eastAsia" w:hAnsi="宋体" w:cs="宋体"/>
                <w:color w:val="auto"/>
                <w:szCs w:val="21"/>
                <w:highlight w:val="none"/>
              </w:rPr>
            </w:pPr>
          </w:p>
        </w:tc>
        <w:tc>
          <w:tcPr>
            <w:tcW w:w="1560" w:type="dxa"/>
            <w:noWrap w:val="0"/>
            <w:vAlign w:val="center"/>
          </w:tcPr>
          <w:p w14:paraId="3DE74E66">
            <w:pPr>
              <w:pStyle w:val="33"/>
              <w:spacing w:line="360" w:lineRule="auto"/>
              <w:jc w:val="center"/>
              <w:rPr>
                <w:rFonts w:hint="eastAsia" w:hAnsi="宋体" w:cs="宋体"/>
                <w:color w:val="auto"/>
                <w:szCs w:val="21"/>
                <w:highlight w:val="none"/>
              </w:rPr>
            </w:pPr>
          </w:p>
        </w:tc>
        <w:tc>
          <w:tcPr>
            <w:tcW w:w="1635" w:type="dxa"/>
            <w:noWrap w:val="0"/>
            <w:vAlign w:val="center"/>
          </w:tcPr>
          <w:p w14:paraId="71933DD4">
            <w:pPr>
              <w:pStyle w:val="33"/>
              <w:spacing w:line="360" w:lineRule="auto"/>
              <w:jc w:val="center"/>
              <w:rPr>
                <w:rFonts w:hint="eastAsia" w:hAnsi="宋体" w:cs="宋体"/>
                <w:color w:val="auto"/>
                <w:szCs w:val="21"/>
                <w:highlight w:val="none"/>
              </w:rPr>
            </w:pPr>
          </w:p>
        </w:tc>
        <w:tc>
          <w:tcPr>
            <w:tcW w:w="1850" w:type="dxa"/>
            <w:noWrap w:val="0"/>
            <w:vAlign w:val="center"/>
          </w:tcPr>
          <w:p w14:paraId="6A2323D6">
            <w:pPr>
              <w:pStyle w:val="33"/>
              <w:spacing w:line="360" w:lineRule="auto"/>
              <w:jc w:val="center"/>
              <w:rPr>
                <w:rFonts w:hint="eastAsia" w:hAnsi="宋体" w:cs="宋体"/>
                <w:color w:val="auto"/>
                <w:szCs w:val="21"/>
                <w:highlight w:val="none"/>
              </w:rPr>
            </w:pPr>
          </w:p>
        </w:tc>
        <w:tc>
          <w:tcPr>
            <w:tcW w:w="1495" w:type="dxa"/>
            <w:noWrap w:val="0"/>
            <w:vAlign w:val="center"/>
          </w:tcPr>
          <w:p w14:paraId="2D6F54AE">
            <w:pPr>
              <w:pStyle w:val="33"/>
              <w:spacing w:line="360" w:lineRule="auto"/>
              <w:jc w:val="center"/>
              <w:rPr>
                <w:rFonts w:hint="eastAsia" w:hAnsi="宋体" w:cs="宋体"/>
                <w:color w:val="auto"/>
                <w:szCs w:val="21"/>
                <w:highlight w:val="none"/>
              </w:rPr>
            </w:pPr>
          </w:p>
        </w:tc>
        <w:tc>
          <w:tcPr>
            <w:tcW w:w="900" w:type="dxa"/>
            <w:noWrap w:val="0"/>
            <w:vAlign w:val="center"/>
          </w:tcPr>
          <w:p w14:paraId="636A0724">
            <w:pPr>
              <w:pStyle w:val="33"/>
              <w:spacing w:line="360" w:lineRule="auto"/>
              <w:jc w:val="center"/>
              <w:rPr>
                <w:rFonts w:hint="eastAsia" w:hAnsi="宋体" w:cs="宋体"/>
                <w:color w:val="auto"/>
                <w:szCs w:val="21"/>
                <w:highlight w:val="none"/>
              </w:rPr>
            </w:pPr>
          </w:p>
        </w:tc>
        <w:tc>
          <w:tcPr>
            <w:tcW w:w="1890" w:type="dxa"/>
            <w:noWrap w:val="0"/>
            <w:vAlign w:val="top"/>
          </w:tcPr>
          <w:p w14:paraId="7D3CAB68">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64C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30167AE0">
            <w:pPr>
              <w:pStyle w:val="33"/>
              <w:spacing w:line="360" w:lineRule="auto"/>
              <w:jc w:val="center"/>
              <w:rPr>
                <w:rFonts w:hint="eastAsia" w:hAnsi="宋体" w:cs="宋体"/>
                <w:color w:val="auto"/>
                <w:szCs w:val="21"/>
                <w:highlight w:val="none"/>
              </w:rPr>
            </w:pPr>
          </w:p>
        </w:tc>
        <w:tc>
          <w:tcPr>
            <w:tcW w:w="1560" w:type="dxa"/>
            <w:noWrap w:val="0"/>
            <w:vAlign w:val="center"/>
          </w:tcPr>
          <w:p w14:paraId="5D968CE3">
            <w:pPr>
              <w:pStyle w:val="33"/>
              <w:spacing w:line="360" w:lineRule="auto"/>
              <w:jc w:val="center"/>
              <w:rPr>
                <w:rFonts w:hint="eastAsia" w:hAnsi="宋体" w:cs="宋体"/>
                <w:color w:val="auto"/>
                <w:szCs w:val="21"/>
                <w:highlight w:val="none"/>
              </w:rPr>
            </w:pPr>
          </w:p>
        </w:tc>
        <w:tc>
          <w:tcPr>
            <w:tcW w:w="1635" w:type="dxa"/>
            <w:noWrap w:val="0"/>
            <w:vAlign w:val="center"/>
          </w:tcPr>
          <w:p w14:paraId="1F546E48">
            <w:pPr>
              <w:pStyle w:val="33"/>
              <w:spacing w:line="360" w:lineRule="auto"/>
              <w:jc w:val="center"/>
              <w:rPr>
                <w:rFonts w:hint="eastAsia" w:hAnsi="宋体" w:cs="宋体"/>
                <w:color w:val="auto"/>
                <w:szCs w:val="21"/>
                <w:highlight w:val="none"/>
              </w:rPr>
            </w:pPr>
          </w:p>
        </w:tc>
        <w:tc>
          <w:tcPr>
            <w:tcW w:w="1850" w:type="dxa"/>
            <w:noWrap w:val="0"/>
            <w:vAlign w:val="center"/>
          </w:tcPr>
          <w:p w14:paraId="260CFDBD">
            <w:pPr>
              <w:pStyle w:val="33"/>
              <w:spacing w:line="360" w:lineRule="auto"/>
              <w:jc w:val="center"/>
              <w:rPr>
                <w:rFonts w:hint="eastAsia" w:hAnsi="宋体" w:cs="宋体"/>
                <w:color w:val="auto"/>
                <w:szCs w:val="21"/>
                <w:highlight w:val="none"/>
              </w:rPr>
            </w:pPr>
          </w:p>
        </w:tc>
        <w:tc>
          <w:tcPr>
            <w:tcW w:w="1495" w:type="dxa"/>
            <w:noWrap w:val="0"/>
            <w:vAlign w:val="center"/>
          </w:tcPr>
          <w:p w14:paraId="5F8BAF1C">
            <w:pPr>
              <w:pStyle w:val="33"/>
              <w:spacing w:line="360" w:lineRule="auto"/>
              <w:jc w:val="center"/>
              <w:rPr>
                <w:rFonts w:hint="eastAsia" w:hAnsi="宋体" w:cs="宋体"/>
                <w:color w:val="auto"/>
                <w:szCs w:val="21"/>
                <w:highlight w:val="none"/>
              </w:rPr>
            </w:pPr>
          </w:p>
        </w:tc>
        <w:tc>
          <w:tcPr>
            <w:tcW w:w="900" w:type="dxa"/>
            <w:noWrap w:val="0"/>
            <w:vAlign w:val="center"/>
          </w:tcPr>
          <w:p w14:paraId="7D952B9B">
            <w:pPr>
              <w:pStyle w:val="33"/>
              <w:spacing w:line="360" w:lineRule="auto"/>
              <w:jc w:val="center"/>
              <w:rPr>
                <w:rFonts w:hint="eastAsia" w:hAnsi="宋体" w:cs="宋体"/>
                <w:color w:val="auto"/>
                <w:szCs w:val="21"/>
                <w:highlight w:val="none"/>
              </w:rPr>
            </w:pPr>
          </w:p>
        </w:tc>
        <w:tc>
          <w:tcPr>
            <w:tcW w:w="1890" w:type="dxa"/>
            <w:noWrap w:val="0"/>
            <w:vAlign w:val="top"/>
          </w:tcPr>
          <w:p w14:paraId="36093886">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5837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5BAF23BC">
            <w:pPr>
              <w:pStyle w:val="33"/>
              <w:spacing w:line="360" w:lineRule="auto"/>
              <w:jc w:val="center"/>
              <w:rPr>
                <w:rFonts w:hint="eastAsia" w:hAnsi="宋体" w:cs="宋体"/>
                <w:color w:val="auto"/>
                <w:szCs w:val="21"/>
                <w:highlight w:val="none"/>
              </w:rPr>
            </w:pPr>
          </w:p>
        </w:tc>
        <w:tc>
          <w:tcPr>
            <w:tcW w:w="1560" w:type="dxa"/>
            <w:noWrap w:val="0"/>
            <w:vAlign w:val="center"/>
          </w:tcPr>
          <w:p w14:paraId="748FE0C9">
            <w:pPr>
              <w:pStyle w:val="33"/>
              <w:spacing w:line="360" w:lineRule="auto"/>
              <w:jc w:val="center"/>
              <w:rPr>
                <w:rFonts w:hint="eastAsia" w:hAnsi="宋体" w:cs="宋体"/>
                <w:color w:val="auto"/>
                <w:szCs w:val="21"/>
                <w:highlight w:val="none"/>
              </w:rPr>
            </w:pPr>
          </w:p>
        </w:tc>
        <w:tc>
          <w:tcPr>
            <w:tcW w:w="1635" w:type="dxa"/>
            <w:noWrap w:val="0"/>
            <w:vAlign w:val="center"/>
          </w:tcPr>
          <w:p w14:paraId="76E306DD">
            <w:pPr>
              <w:pStyle w:val="33"/>
              <w:spacing w:line="360" w:lineRule="auto"/>
              <w:jc w:val="center"/>
              <w:rPr>
                <w:rFonts w:hint="eastAsia" w:hAnsi="宋体" w:cs="宋体"/>
                <w:color w:val="auto"/>
                <w:szCs w:val="21"/>
                <w:highlight w:val="none"/>
              </w:rPr>
            </w:pPr>
          </w:p>
        </w:tc>
        <w:tc>
          <w:tcPr>
            <w:tcW w:w="1850" w:type="dxa"/>
            <w:noWrap w:val="0"/>
            <w:vAlign w:val="center"/>
          </w:tcPr>
          <w:p w14:paraId="3AA3221C">
            <w:pPr>
              <w:pStyle w:val="33"/>
              <w:spacing w:line="360" w:lineRule="auto"/>
              <w:jc w:val="center"/>
              <w:rPr>
                <w:rFonts w:hint="eastAsia" w:hAnsi="宋体" w:cs="宋体"/>
                <w:color w:val="auto"/>
                <w:szCs w:val="21"/>
                <w:highlight w:val="none"/>
              </w:rPr>
            </w:pPr>
          </w:p>
        </w:tc>
        <w:tc>
          <w:tcPr>
            <w:tcW w:w="1495" w:type="dxa"/>
            <w:noWrap w:val="0"/>
            <w:vAlign w:val="center"/>
          </w:tcPr>
          <w:p w14:paraId="47B84C7D">
            <w:pPr>
              <w:pStyle w:val="33"/>
              <w:spacing w:line="360" w:lineRule="auto"/>
              <w:jc w:val="center"/>
              <w:rPr>
                <w:rFonts w:hint="eastAsia" w:hAnsi="宋体" w:cs="宋体"/>
                <w:color w:val="auto"/>
                <w:szCs w:val="21"/>
                <w:highlight w:val="none"/>
              </w:rPr>
            </w:pPr>
          </w:p>
        </w:tc>
        <w:tc>
          <w:tcPr>
            <w:tcW w:w="900" w:type="dxa"/>
            <w:noWrap w:val="0"/>
            <w:vAlign w:val="center"/>
          </w:tcPr>
          <w:p w14:paraId="06AAB09F">
            <w:pPr>
              <w:pStyle w:val="33"/>
              <w:spacing w:line="360" w:lineRule="auto"/>
              <w:jc w:val="center"/>
              <w:rPr>
                <w:rFonts w:hint="eastAsia" w:hAnsi="宋体" w:cs="宋体"/>
                <w:color w:val="auto"/>
                <w:szCs w:val="21"/>
                <w:highlight w:val="none"/>
              </w:rPr>
            </w:pPr>
          </w:p>
        </w:tc>
        <w:tc>
          <w:tcPr>
            <w:tcW w:w="1890" w:type="dxa"/>
            <w:noWrap w:val="0"/>
            <w:vAlign w:val="top"/>
          </w:tcPr>
          <w:p w14:paraId="0F9354CD">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7629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2D2CF3E2">
            <w:pPr>
              <w:pStyle w:val="33"/>
              <w:spacing w:line="360" w:lineRule="auto"/>
              <w:jc w:val="center"/>
              <w:rPr>
                <w:rFonts w:hint="eastAsia" w:hAnsi="宋体" w:cs="宋体"/>
                <w:color w:val="auto"/>
                <w:szCs w:val="21"/>
                <w:highlight w:val="none"/>
              </w:rPr>
            </w:pPr>
          </w:p>
        </w:tc>
        <w:tc>
          <w:tcPr>
            <w:tcW w:w="1560" w:type="dxa"/>
            <w:noWrap w:val="0"/>
            <w:vAlign w:val="center"/>
          </w:tcPr>
          <w:p w14:paraId="27019C4E">
            <w:pPr>
              <w:pStyle w:val="33"/>
              <w:spacing w:line="360" w:lineRule="auto"/>
              <w:jc w:val="center"/>
              <w:rPr>
                <w:rFonts w:hint="eastAsia" w:hAnsi="宋体" w:cs="宋体"/>
                <w:color w:val="auto"/>
                <w:szCs w:val="21"/>
                <w:highlight w:val="none"/>
              </w:rPr>
            </w:pPr>
          </w:p>
        </w:tc>
        <w:tc>
          <w:tcPr>
            <w:tcW w:w="1635" w:type="dxa"/>
            <w:noWrap w:val="0"/>
            <w:vAlign w:val="center"/>
          </w:tcPr>
          <w:p w14:paraId="028ABF75">
            <w:pPr>
              <w:pStyle w:val="33"/>
              <w:spacing w:line="360" w:lineRule="auto"/>
              <w:jc w:val="center"/>
              <w:rPr>
                <w:rFonts w:hint="eastAsia" w:hAnsi="宋体" w:cs="宋体"/>
                <w:color w:val="auto"/>
                <w:szCs w:val="21"/>
                <w:highlight w:val="none"/>
              </w:rPr>
            </w:pPr>
          </w:p>
        </w:tc>
        <w:tc>
          <w:tcPr>
            <w:tcW w:w="1850" w:type="dxa"/>
            <w:noWrap w:val="0"/>
            <w:vAlign w:val="center"/>
          </w:tcPr>
          <w:p w14:paraId="1D2145A5">
            <w:pPr>
              <w:pStyle w:val="33"/>
              <w:spacing w:line="360" w:lineRule="auto"/>
              <w:jc w:val="center"/>
              <w:rPr>
                <w:rFonts w:hint="eastAsia" w:hAnsi="宋体" w:cs="宋体"/>
                <w:color w:val="auto"/>
                <w:szCs w:val="21"/>
                <w:highlight w:val="none"/>
              </w:rPr>
            </w:pPr>
          </w:p>
        </w:tc>
        <w:tc>
          <w:tcPr>
            <w:tcW w:w="1495" w:type="dxa"/>
            <w:noWrap w:val="0"/>
            <w:vAlign w:val="center"/>
          </w:tcPr>
          <w:p w14:paraId="27C8F4E9">
            <w:pPr>
              <w:pStyle w:val="33"/>
              <w:spacing w:line="360" w:lineRule="auto"/>
              <w:jc w:val="center"/>
              <w:rPr>
                <w:rFonts w:hint="eastAsia" w:hAnsi="宋体" w:cs="宋体"/>
                <w:color w:val="auto"/>
                <w:szCs w:val="21"/>
                <w:highlight w:val="none"/>
              </w:rPr>
            </w:pPr>
          </w:p>
        </w:tc>
        <w:tc>
          <w:tcPr>
            <w:tcW w:w="900" w:type="dxa"/>
            <w:noWrap w:val="0"/>
            <w:vAlign w:val="center"/>
          </w:tcPr>
          <w:p w14:paraId="7D482046">
            <w:pPr>
              <w:pStyle w:val="33"/>
              <w:spacing w:line="360" w:lineRule="auto"/>
              <w:jc w:val="center"/>
              <w:rPr>
                <w:rFonts w:hint="eastAsia" w:hAnsi="宋体" w:cs="宋体"/>
                <w:color w:val="auto"/>
                <w:szCs w:val="21"/>
                <w:highlight w:val="none"/>
              </w:rPr>
            </w:pPr>
          </w:p>
        </w:tc>
        <w:tc>
          <w:tcPr>
            <w:tcW w:w="1890" w:type="dxa"/>
            <w:noWrap w:val="0"/>
            <w:vAlign w:val="center"/>
          </w:tcPr>
          <w:p w14:paraId="529ED9D1">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3905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75258F55">
            <w:pPr>
              <w:pStyle w:val="33"/>
              <w:spacing w:line="360" w:lineRule="auto"/>
              <w:jc w:val="center"/>
              <w:rPr>
                <w:rFonts w:hint="eastAsia" w:hAnsi="宋体" w:cs="宋体"/>
                <w:color w:val="auto"/>
                <w:szCs w:val="21"/>
                <w:highlight w:val="none"/>
              </w:rPr>
            </w:pPr>
          </w:p>
        </w:tc>
        <w:tc>
          <w:tcPr>
            <w:tcW w:w="1560" w:type="dxa"/>
            <w:noWrap w:val="0"/>
            <w:vAlign w:val="center"/>
          </w:tcPr>
          <w:p w14:paraId="4171480D">
            <w:pPr>
              <w:pStyle w:val="33"/>
              <w:spacing w:line="360" w:lineRule="auto"/>
              <w:jc w:val="center"/>
              <w:rPr>
                <w:rFonts w:hint="eastAsia" w:hAnsi="宋体" w:cs="宋体"/>
                <w:color w:val="auto"/>
                <w:szCs w:val="21"/>
                <w:highlight w:val="none"/>
              </w:rPr>
            </w:pPr>
          </w:p>
        </w:tc>
        <w:tc>
          <w:tcPr>
            <w:tcW w:w="1635" w:type="dxa"/>
            <w:noWrap w:val="0"/>
            <w:vAlign w:val="center"/>
          </w:tcPr>
          <w:p w14:paraId="0D49B12F">
            <w:pPr>
              <w:pStyle w:val="33"/>
              <w:spacing w:line="360" w:lineRule="auto"/>
              <w:jc w:val="center"/>
              <w:rPr>
                <w:rFonts w:hint="eastAsia" w:hAnsi="宋体" w:cs="宋体"/>
                <w:color w:val="auto"/>
                <w:szCs w:val="21"/>
                <w:highlight w:val="none"/>
              </w:rPr>
            </w:pPr>
          </w:p>
        </w:tc>
        <w:tc>
          <w:tcPr>
            <w:tcW w:w="1850" w:type="dxa"/>
            <w:noWrap w:val="0"/>
            <w:vAlign w:val="center"/>
          </w:tcPr>
          <w:p w14:paraId="02519FE8">
            <w:pPr>
              <w:pStyle w:val="33"/>
              <w:spacing w:line="360" w:lineRule="auto"/>
              <w:jc w:val="center"/>
              <w:rPr>
                <w:rFonts w:hint="eastAsia" w:hAnsi="宋体" w:cs="宋体"/>
                <w:color w:val="auto"/>
                <w:szCs w:val="21"/>
                <w:highlight w:val="none"/>
              </w:rPr>
            </w:pPr>
          </w:p>
        </w:tc>
        <w:tc>
          <w:tcPr>
            <w:tcW w:w="1495" w:type="dxa"/>
            <w:noWrap w:val="0"/>
            <w:vAlign w:val="center"/>
          </w:tcPr>
          <w:p w14:paraId="093A57A0">
            <w:pPr>
              <w:pStyle w:val="33"/>
              <w:spacing w:line="360" w:lineRule="auto"/>
              <w:jc w:val="center"/>
              <w:rPr>
                <w:rFonts w:hint="eastAsia" w:hAnsi="宋体" w:cs="宋体"/>
                <w:color w:val="auto"/>
                <w:szCs w:val="21"/>
                <w:highlight w:val="none"/>
              </w:rPr>
            </w:pPr>
          </w:p>
        </w:tc>
        <w:tc>
          <w:tcPr>
            <w:tcW w:w="900" w:type="dxa"/>
            <w:noWrap w:val="0"/>
            <w:vAlign w:val="center"/>
          </w:tcPr>
          <w:p w14:paraId="0C208637">
            <w:pPr>
              <w:pStyle w:val="33"/>
              <w:spacing w:line="360" w:lineRule="auto"/>
              <w:jc w:val="center"/>
              <w:rPr>
                <w:rFonts w:hint="eastAsia" w:hAnsi="宋体" w:cs="宋体"/>
                <w:color w:val="auto"/>
                <w:szCs w:val="21"/>
                <w:highlight w:val="none"/>
              </w:rPr>
            </w:pPr>
          </w:p>
        </w:tc>
        <w:tc>
          <w:tcPr>
            <w:tcW w:w="1890" w:type="dxa"/>
            <w:noWrap w:val="0"/>
            <w:vAlign w:val="center"/>
          </w:tcPr>
          <w:p w14:paraId="369B5DF7">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5872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102A552C">
            <w:pPr>
              <w:pStyle w:val="33"/>
              <w:spacing w:line="360" w:lineRule="auto"/>
              <w:jc w:val="center"/>
              <w:rPr>
                <w:rFonts w:hint="eastAsia" w:hAnsi="宋体" w:cs="宋体"/>
                <w:color w:val="auto"/>
                <w:szCs w:val="21"/>
                <w:highlight w:val="none"/>
              </w:rPr>
            </w:pPr>
          </w:p>
        </w:tc>
        <w:tc>
          <w:tcPr>
            <w:tcW w:w="1560" w:type="dxa"/>
            <w:noWrap w:val="0"/>
            <w:vAlign w:val="center"/>
          </w:tcPr>
          <w:p w14:paraId="1E5E8772">
            <w:pPr>
              <w:pStyle w:val="33"/>
              <w:spacing w:line="360" w:lineRule="auto"/>
              <w:jc w:val="center"/>
              <w:rPr>
                <w:rFonts w:hint="eastAsia" w:hAnsi="宋体" w:cs="宋体"/>
                <w:color w:val="auto"/>
                <w:szCs w:val="21"/>
                <w:highlight w:val="none"/>
              </w:rPr>
            </w:pPr>
          </w:p>
        </w:tc>
        <w:tc>
          <w:tcPr>
            <w:tcW w:w="1635" w:type="dxa"/>
            <w:noWrap w:val="0"/>
            <w:vAlign w:val="center"/>
          </w:tcPr>
          <w:p w14:paraId="5922751A">
            <w:pPr>
              <w:pStyle w:val="33"/>
              <w:spacing w:line="360" w:lineRule="auto"/>
              <w:jc w:val="center"/>
              <w:rPr>
                <w:rFonts w:hint="eastAsia" w:hAnsi="宋体" w:cs="宋体"/>
                <w:color w:val="auto"/>
                <w:szCs w:val="21"/>
                <w:highlight w:val="none"/>
              </w:rPr>
            </w:pPr>
          </w:p>
        </w:tc>
        <w:tc>
          <w:tcPr>
            <w:tcW w:w="1850" w:type="dxa"/>
            <w:noWrap w:val="0"/>
            <w:vAlign w:val="center"/>
          </w:tcPr>
          <w:p w14:paraId="20A2F54D">
            <w:pPr>
              <w:pStyle w:val="33"/>
              <w:spacing w:line="360" w:lineRule="auto"/>
              <w:jc w:val="center"/>
              <w:rPr>
                <w:rFonts w:hint="eastAsia" w:hAnsi="宋体" w:cs="宋体"/>
                <w:color w:val="auto"/>
                <w:szCs w:val="21"/>
                <w:highlight w:val="none"/>
              </w:rPr>
            </w:pPr>
          </w:p>
        </w:tc>
        <w:tc>
          <w:tcPr>
            <w:tcW w:w="1495" w:type="dxa"/>
            <w:noWrap w:val="0"/>
            <w:vAlign w:val="center"/>
          </w:tcPr>
          <w:p w14:paraId="2A712CA9">
            <w:pPr>
              <w:pStyle w:val="33"/>
              <w:spacing w:line="360" w:lineRule="auto"/>
              <w:jc w:val="center"/>
              <w:rPr>
                <w:rFonts w:hint="eastAsia" w:hAnsi="宋体" w:cs="宋体"/>
                <w:color w:val="auto"/>
                <w:szCs w:val="21"/>
                <w:highlight w:val="none"/>
              </w:rPr>
            </w:pPr>
          </w:p>
        </w:tc>
        <w:tc>
          <w:tcPr>
            <w:tcW w:w="900" w:type="dxa"/>
            <w:noWrap w:val="0"/>
            <w:vAlign w:val="center"/>
          </w:tcPr>
          <w:p w14:paraId="4CC5C96F">
            <w:pPr>
              <w:pStyle w:val="33"/>
              <w:spacing w:line="360" w:lineRule="auto"/>
              <w:jc w:val="center"/>
              <w:rPr>
                <w:rFonts w:hint="eastAsia" w:hAnsi="宋体" w:cs="宋体"/>
                <w:color w:val="auto"/>
                <w:szCs w:val="21"/>
                <w:highlight w:val="none"/>
              </w:rPr>
            </w:pPr>
          </w:p>
        </w:tc>
        <w:tc>
          <w:tcPr>
            <w:tcW w:w="1890" w:type="dxa"/>
            <w:noWrap w:val="0"/>
            <w:vAlign w:val="center"/>
          </w:tcPr>
          <w:p w14:paraId="13F93E95">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bl>
    <w:p w14:paraId="60799FD5">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、供应商响应采购需求应具体、明确，含糊不清、不确切或伪造、变造证明材料的，按照不完全响应或者完全不响应处理。</w:t>
      </w:r>
    </w:p>
    <w:p w14:paraId="67346C6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、供应商应对照项目采购需求中的采购需求，逐条说明所提供服务已对采购文件的采购需求做出了实质性的响应，并申明与采购需求条文的偏差和例外。</w:t>
      </w:r>
    </w:p>
    <w:p w14:paraId="13E4489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、各供应商按此表格式自行填写，表格不够时可自行添加。</w:t>
      </w:r>
    </w:p>
    <w:p w14:paraId="6B40909F">
      <w:pPr>
        <w:pStyle w:val="33"/>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、没有说明的其他条款将被认为完全满足本项目采购货物规格、技术要求。</w:t>
      </w:r>
    </w:p>
    <w:p w14:paraId="14B9591F">
      <w:pPr>
        <w:pStyle w:val="33"/>
        <w:spacing w:line="360" w:lineRule="auto"/>
        <w:ind w:firstLine="480" w:firstLineChars="200"/>
        <w:rPr>
          <w:rFonts w:hint="eastAsia" w:hAnsi="宋体" w:cs="宋体"/>
          <w:color w:val="auto"/>
          <w:sz w:val="24"/>
          <w:szCs w:val="24"/>
          <w:highlight w:val="none"/>
        </w:rPr>
      </w:pPr>
    </w:p>
    <w:p w14:paraId="1CC72BE4">
      <w:pPr>
        <w:pStyle w:val="33"/>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供应商 （盖章）：</w:t>
      </w:r>
    </w:p>
    <w:p w14:paraId="0CB090F7">
      <w:pPr>
        <w:pStyle w:val="33"/>
        <w:spacing w:line="360" w:lineRule="auto"/>
        <w:ind w:firstLine="480" w:firstLineChars="200"/>
        <w:rPr>
          <w:rFonts w:hint="eastAsia" w:hAnsi="宋体" w:cs="宋体"/>
          <w:color w:val="auto"/>
          <w:sz w:val="24"/>
          <w:highlight w:val="none"/>
        </w:rPr>
      </w:pPr>
    </w:p>
    <w:p w14:paraId="6069C366">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highlight w:val="none"/>
        </w:rPr>
        <w:t>法定代表人或委托代理人（签字或盖章）：</w:t>
      </w:r>
    </w:p>
    <w:p w14:paraId="239BA920">
      <w:pPr>
        <w:snapToGrid w:val="0"/>
        <w:spacing w:line="360" w:lineRule="auto"/>
        <w:jc w:val="right"/>
        <w:rPr>
          <w:rFonts w:hint="eastAsia" w:ascii="宋体" w:hAnsi="宋体" w:cs="宋体"/>
          <w:color w:val="auto"/>
          <w:sz w:val="24"/>
          <w:highlight w:val="none"/>
        </w:rPr>
      </w:pPr>
      <w:bookmarkStart w:id="170" w:name="_Toc246216440"/>
      <w:bookmarkStart w:id="171" w:name="_Toc233275191"/>
      <w:bookmarkStart w:id="172" w:name="_Toc246216305"/>
      <w:bookmarkStart w:id="173" w:name="_Toc246216282"/>
      <w:r>
        <w:rPr>
          <w:rFonts w:hint="eastAsia" w:ascii="宋体" w:hAnsi="宋体" w:cs="宋体"/>
          <w:color w:val="auto"/>
          <w:sz w:val="24"/>
          <w:highlight w:val="none"/>
        </w:rPr>
        <w:t>年     月     日</w:t>
      </w:r>
      <w:bookmarkEnd w:id="170"/>
      <w:bookmarkEnd w:id="171"/>
      <w:bookmarkEnd w:id="172"/>
      <w:bookmarkEnd w:id="173"/>
    </w:p>
    <w:p w14:paraId="4F22A406">
      <w:pPr>
        <w:wordWrap/>
        <w:spacing w:line="360" w:lineRule="auto"/>
        <w:jc w:val="right"/>
        <w:textAlignment w:val="auto"/>
        <w:rPr>
          <w:rFonts w:hint="eastAsia" w:ascii="宋体" w:hAnsi="宋体" w:eastAsia="宋体" w:cs="宋体"/>
          <w:color w:val="auto"/>
          <w:sz w:val="24"/>
          <w:szCs w:val="24"/>
          <w:highlight w:val="none"/>
        </w:rPr>
      </w:pPr>
    </w:p>
    <w:p w14:paraId="2E7EE03B">
      <w:pPr>
        <w:pStyle w:val="2"/>
        <w:rPr>
          <w:rFonts w:hint="eastAsia" w:ascii="宋体" w:hAnsi="宋体" w:eastAsia="宋体" w:cs="宋体"/>
          <w:color w:val="auto"/>
          <w:sz w:val="24"/>
          <w:szCs w:val="24"/>
          <w:highlight w:val="none"/>
        </w:rPr>
      </w:pPr>
    </w:p>
    <w:p w14:paraId="268678A1">
      <w:pPr>
        <w:pStyle w:val="2"/>
        <w:rPr>
          <w:rFonts w:hint="eastAsia" w:ascii="宋体" w:hAnsi="宋体" w:eastAsia="宋体" w:cs="宋体"/>
          <w:color w:val="auto"/>
          <w:sz w:val="24"/>
          <w:szCs w:val="24"/>
          <w:highlight w:val="none"/>
        </w:rPr>
      </w:pPr>
    </w:p>
    <w:p w14:paraId="4A2CF622">
      <w:pPr>
        <w:pStyle w:val="2"/>
        <w:rPr>
          <w:rFonts w:hint="eastAsia" w:ascii="宋体" w:hAnsi="宋体" w:eastAsia="宋体" w:cs="宋体"/>
          <w:color w:val="auto"/>
          <w:sz w:val="24"/>
          <w:szCs w:val="24"/>
          <w:highlight w:val="none"/>
        </w:rPr>
      </w:pPr>
    </w:p>
    <w:p w14:paraId="26C9A9F5">
      <w:pPr>
        <w:pStyle w:val="2"/>
        <w:rPr>
          <w:rFonts w:hint="eastAsia" w:ascii="宋体" w:hAnsi="宋体" w:eastAsia="宋体" w:cs="宋体"/>
          <w:color w:val="auto"/>
          <w:sz w:val="24"/>
          <w:szCs w:val="24"/>
          <w:highlight w:val="none"/>
        </w:rPr>
      </w:pPr>
    </w:p>
    <w:p w14:paraId="3992D80E">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资格性/符合性自查表</w:t>
      </w:r>
    </w:p>
    <w:tbl>
      <w:tblPr>
        <w:tblStyle w:val="59"/>
        <w:tblW w:w="993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437"/>
        <w:gridCol w:w="2327"/>
        <w:gridCol w:w="2782"/>
      </w:tblGrid>
      <w:tr w14:paraId="2A9E1F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63" w:hRule="atLeast"/>
        </w:trPr>
        <w:tc>
          <w:tcPr>
            <w:tcW w:w="1391" w:type="dxa"/>
            <w:tcBorders>
              <w:top w:val="outset" w:color="111111" w:sz="6" w:space="0"/>
              <w:left w:val="outset" w:color="111111" w:sz="6" w:space="0"/>
              <w:bottom w:val="outset" w:color="111111" w:sz="6" w:space="0"/>
              <w:right w:val="outset" w:color="111111" w:sz="6" w:space="0"/>
            </w:tcBorders>
            <w:vAlign w:val="center"/>
          </w:tcPr>
          <w:p w14:paraId="33C07B80">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评审内容</w:t>
            </w:r>
          </w:p>
        </w:tc>
        <w:tc>
          <w:tcPr>
            <w:tcW w:w="3437" w:type="dxa"/>
            <w:tcBorders>
              <w:top w:val="outset" w:color="111111" w:sz="6" w:space="0"/>
              <w:left w:val="outset" w:color="111111" w:sz="6" w:space="0"/>
              <w:bottom w:val="outset" w:color="111111" w:sz="6" w:space="0"/>
              <w:right w:val="outset" w:color="111111" w:sz="6" w:space="0"/>
            </w:tcBorders>
            <w:vAlign w:val="center"/>
          </w:tcPr>
          <w:p w14:paraId="1274276D">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采购文件要求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（详见《资格性和符合性审查表》各项）</w:t>
            </w:r>
          </w:p>
        </w:tc>
        <w:tc>
          <w:tcPr>
            <w:tcW w:w="2327" w:type="dxa"/>
            <w:tcBorders>
              <w:top w:val="outset" w:color="111111" w:sz="6" w:space="0"/>
              <w:left w:val="outset" w:color="111111" w:sz="6" w:space="0"/>
              <w:bottom w:val="outset" w:color="111111" w:sz="6" w:space="0"/>
              <w:right w:val="outset" w:color="111111" w:sz="6" w:space="0"/>
            </w:tcBorders>
            <w:vAlign w:val="center"/>
          </w:tcPr>
          <w:p w14:paraId="571960C1">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自查结论</w:t>
            </w:r>
          </w:p>
        </w:tc>
        <w:tc>
          <w:tcPr>
            <w:tcW w:w="2782" w:type="dxa"/>
            <w:tcBorders>
              <w:top w:val="outset" w:color="111111" w:sz="6" w:space="0"/>
              <w:left w:val="outset" w:color="111111" w:sz="6" w:space="0"/>
              <w:bottom w:val="outset" w:color="111111" w:sz="6" w:space="0"/>
              <w:right w:val="outset" w:color="111111" w:sz="6" w:space="0"/>
            </w:tcBorders>
            <w:vAlign w:val="center"/>
          </w:tcPr>
          <w:p w14:paraId="640AAF53">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证明资料</w:t>
            </w:r>
          </w:p>
        </w:tc>
      </w:tr>
      <w:tr w14:paraId="1B68EE6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14:paraId="70A4C7AA">
            <w:pPr>
              <w:wordWrap/>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资格性审查</w:t>
            </w:r>
          </w:p>
        </w:tc>
        <w:tc>
          <w:tcPr>
            <w:tcW w:w="3437" w:type="dxa"/>
            <w:tcBorders>
              <w:top w:val="outset" w:color="111111" w:sz="6" w:space="0"/>
              <w:left w:val="outset" w:color="111111" w:sz="6" w:space="0"/>
              <w:bottom w:val="outset" w:color="111111" w:sz="6" w:space="0"/>
              <w:right w:val="outset" w:color="111111" w:sz="6" w:space="0"/>
            </w:tcBorders>
            <w:vAlign w:val="center"/>
          </w:tcPr>
          <w:p w14:paraId="3A6EA07B">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2534BF64">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48A29CD8">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75A56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1AABEA52">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677CE653">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3625AF1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15FCF85F">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38312DF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70B0C1FA">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2FFA6F11">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37581F8E">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5BB7EAB9">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1A42E9F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14:paraId="3709DB94">
            <w:pPr>
              <w:wordWrap/>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符合性审查</w:t>
            </w:r>
          </w:p>
        </w:tc>
        <w:tc>
          <w:tcPr>
            <w:tcW w:w="3437" w:type="dxa"/>
            <w:tcBorders>
              <w:top w:val="outset" w:color="111111" w:sz="6" w:space="0"/>
              <w:left w:val="outset" w:color="111111" w:sz="6" w:space="0"/>
              <w:bottom w:val="outset" w:color="111111" w:sz="6" w:space="0"/>
              <w:right w:val="outset" w:color="111111" w:sz="6" w:space="0"/>
            </w:tcBorders>
            <w:vAlign w:val="center"/>
          </w:tcPr>
          <w:p w14:paraId="5483F822">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1EAD77BF">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048155F0">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7C95DD1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725D6EF5">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0D0FEBFD">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6931CCB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5909E118">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24490E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78B4FB49">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2DE95BE9">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6096F974">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38E6E38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6FC65A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100AF667">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79A8C75F">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771281E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71B33950">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7FD59D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3A619346">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5E0256FA">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629A8C7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7208C946">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563F05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79C098F1">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304B31D2">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3963126A">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5E795457">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882734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08625ACE">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7C0EC51B">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663E1FF6">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5D84CED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39FA3E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28A6AE4E">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64317071">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3670CFE7">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664EEA4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08F954D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2071DD14">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45570DC0">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0A004B89">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1E57806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bl>
    <w:p w14:paraId="269F813F">
      <w:pPr>
        <w:wordWrap/>
        <w:spacing w:line="360" w:lineRule="auto"/>
        <w:textAlignment w:val="auto"/>
        <w:rPr>
          <w:rFonts w:hint="eastAsia" w:ascii="宋体" w:hAnsi="宋体" w:eastAsia="宋体" w:cs="宋体"/>
          <w:b/>
          <w:color w:val="auto"/>
          <w:w w:val="90"/>
          <w:sz w:val="24"/>
          <w:szCs w:val="24"/>
          <w:highlight w:val="none"/>
        </w:rPr>
      </w:pPr>
      <w:r>
        <w:rPr>
          <w:rFonts w:hint="eastAsia" w:ascii="宋体" w:hAnsi="宋体" w:eastAsia="宋体" w:cs="宋体"/>
          <w:b/>
          <w:color w:val="auto"/>
          <w:sz w:val="24"/>
          <w:szCs w:val="24"/>
          <w:highlight w:val="none"/>
        </w:rPr>
        <w:t>注：1、以上材料将作为</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供应商有效性审核的重要内容之一，供应商必须严格按照其内容及序列要求在响应文件中对应如</w:t>
      </w:r>
      <w:r>
        <w:rPr>
          <w:rFonts w:hint="eastAsia" w:ascii="宋体" w:hAnsi="宋体" w:eastAsia="宋体" w:cs="宋体"/>
          <w:b/>
          <w:color w:val="auto"/>
          <w:w w:val="90"/>
          <w:sz w:val="24"/>
          <w:szCs w:val="24"/>
          <w:highlight w:val="none"/>
        </w:rPr>
        <w:t>实提供，对资格性和符合性证明文件的任何缺漏和不符合项将会直接导致响应文件无效！供应商根据自查结论在对应的□打“√”。</w:t>
      </w:r>
    </w:p>
    <w:p w14:paraId="77C3F877">
      <w:pPr>
        <w:wordWrap/>
        <w:spacing w:line="360" w:lineRule="auto"/>
        <w:textAlignment w:val="auto"/>
        <w:rPr>
          <w:rFonts w:hint="eastAsia" w:ascii="宋体" w:hAnsi="宋体" w:eastAsia="宋体" w:cs="宋体"/>
          <w:b/>
          <w:color w:val="auto"/>
          <w:w w:val="90"/>
          <w:sz w:val="24"/>
          <w:szCs w:val="24"/>
          <w:highlight w:val="none"/>
        </w:rPr>
      </w:pPr>
      <w:r>
        <w:rPr>
          <w:rFonts w:hint="eastAsia" w:ascii="宋体" w:hAnsi="宋体" w:eastAsia="宋体" w:cs="宋体"/>
          <w:b/>
          <w:color w:val="auto"/>
          <w:w w:val="90"/>
          <w:sz w:val="24"/>
          <w:szCs w:val="24"/>
          <w:highlight w:val="none"/>
        </w:rPr>
        <w:t>2、各供应商按此表格式填写，表格不够时可自行添加。</w:t>
      </w:r>
    </w:p>
    <w:p w14:paraId="361B20F1">
      <w:pPr>
        <w:pStyle w:val="33"/>
        <w:spacing w:line="360" w:lineRule="auto"/>
        <w:jc w:val="center"/>
        <w:rPr>
          <w:rFonts w:hint="eastAsia" w:ascii="宋体" w:hAnsi="宋体" w:eastAsia="宋体" w:cs="宋体"/>
          <w:color w:val="auto"/>
          <w:sz w:val="24"/>
          <w:szCs w:val="24"/>
          <w:highlight w:val="none"/>
        </w:rPr>
      </w:pPr>
    </w:p>
    <w:p w14:paraId="465DDBAD">
      <w:pPr>
        <w:pStyle w:val="3"/>
        <w:spacing w:before="0" w:after="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评审标准</w:t>
      </w:r>
      <w:r>
        <w:rPr>
          <w:rFonts w:hint="eastAsia" w:ascii="宋体" w:hAnsi="宋体" w:eastAsia="宋体" w:cs="宋体"/>
          <w:color w:val="auto"/>
          <w:sz w:val="28"/>
          <w:szCs w:val="28"/>
          <w:highlight w:val="none"/>
        </w:rPr>
        <w:t>（综合评分法）</w:t>
      </w:r>
    </w:p>
    <w:p w14:paraId="696D9CB6">
      <w:pPr>
        <w:pStyle w:val="5"/>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rPr>
        <w:t>1、资格性审查</w:t>
      </w:r>
    </w:p>
    <w:tbl>
      <w:tblPr>
        <w:tblStyle w:val="59"/>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5642"/>
        <w:gridCol w:w="3658"/>
      </w:tblGrid>
      <w:tr w14:paraId="3FC1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45" w:type="dxa"/>
            <w:vAlign w:val="center"/>
          </w:tcPr>
          <w:p w14:paraId="036B968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642" w:type="dxa"/>
            <w:vAlign w:val="center"/>
          </w:tcPr>
          <w:p w14:paraId="4EB191C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w:t>
            </w:r>
          </w:p>
        </w:tc>
        <w:tc>
          <w:tcPr>
            <w:tcW w:w="3658" w:type="dxa"/>
            <w:vAlign w:val="center"/>
          </w:tcPr>
          <w:p w14:paraId="0CA6924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r>
      <w:tr w14:paraId="1CBE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45" w:type="dxa"/>
            <w:vAlign w:val="center"/>
          </w:tcPr>
          <w:p w14:paraId="107AE4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642" w:type="dxa"/>
            <w:vAlign w:val="center"/>
          </w:tcPr>
          <w:p w14:paraId="602DF6C6">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符合《中华人民共和国政府采购法》第二十二条的规定</w:t>
            </w:r>
          </w:p>
        </w:tc>
        <w:tc>
          <w:tcPr>
            <w:tcW w:w="3658" w:type="dxa"/>
            <w:vAlign w:val="center"/>
          </w:tcPr>
          <w:p w14:paraId="5458AB65">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符合本采购文件规定</w:t>
            </w:r>
          </w:p>
        </w:tc>
      </w:tr>
      <w:tr w14:paraId="7F9F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45" w:type="dxa"/>
            <w:vAlign w:val="center"/>
          </w:tcPr>
          <w:p w14:paraId="69FE4D5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p>
        </w:tc>
        <w:tc>
          <w:tcPr>
            <w:tcW w:w="5642" w:type="dxa"/>
            <w:vAlign w:val="center"/>
          </w:tcPr>
          <w:p w14:paraId="7D741BB5">
            <w:pPr>
              <w:rPr>
                <w:rFonts w:hint="eastAsia" w:ascii="宋体" w:hAnsi="宋体" w:eastAsia="宋体" w:cs="宋体"/>
                <w:color w:val="auto"/>
                <w:sz w:val="24"/>
                <w:highlight w:val="none"/>
              </w:rPr>
            </w:pPr>
            <w:r>
              <w:rPr>
                <w:rFonts w:hint="eastAsia" w:cs="宋体"/>
                <w:color w:val="auto"/>
                <w:sz w:val="24"/>
                <w:szCs w:val="24"/>
                <w:highlight w:val="none"/>
                <w:lang w:val="en-US" w:eastAsia="zh-CN"/>
              </w:rPr>
              <w:t>本项目专门面向中小企业</w:t>
            </w:r>
          </w:p>
        </w:tc>
        <w:tc>
          <w:tcPr>
            <w:tcW w:w="3658" w:type="dxa"/>
            <w:vAlign w:val="center"/>
          </w:tcPr>
          <w:p w14:paraId="0A56B5F0">
            <w:pP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w:t>
            </w:r>
          </w:p>
        </w:tc>
      </w:tr>
      <w:tr w14:paraId="45DC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845" w:type="dxa"/>
            <w:vAlign w:val="center"/>
          </w:tcPr>
          <w:p w14:paraId="42CB7832">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5642" w:type="dxa"/>
            <w:vAlign w:val="center"/>
          </w:tcPr>
          <w:p w14:paraId="659A6CAE">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本项目不接受联合体供应商</w:t>
            </w:r>
          </w:p>
        </w:tc>
        <w:tc>
          <w:tcPr>
            <w:tcW w:w="3658" w:type="dxa"/>
            <w:vAlign w:val="center"/>
          </w:tcPr>
          <w:p w14:paraId="20E8EB03">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符合本采购文件规定</w:t>
            </w:r>
          </w:p>
        </w:tc>
      </w:tr>
    </w:tbl>
    <w:p w14:paraId="39BA7B0C">
      <w:pPr>
        <w:rPr>
          <w:rFonts w:hint="eastAsia" w:ascii="宋体" w:hAnsi="宋体" w:eastAsia="宋体" w:cs="宋体"/>
          <w:color w:val="auto"/>
          <w:kern w:val="0"/>
          <w:sz w:val="24"/>
          <w:highlight w:val="none"/>
        </w:rPr>
      </w:pPr>
    </w:p>
    <w:p w14:paraId="4D5E6070">
      <w:pPr>
        <w:rPr>
          <w:rFonts w:hint="eastAsia" w:ascii="宋体" w:hAnsi="宋体" w:eastAsia="宋体" w:cs="宋体"/>
          <w:color w:val="auto"/>
          <w:kern w:val="0"/>
          <w:sz w:val="24"/>
          <w:highlight w:val="none"/>
        </w:rPr>
      </w:pPr>
    </w:p>
    <w:p w14:paraId="726CB8E1">
      <w:pPr>
        <w:pStyle w:val="2"/>
        <w:rPr>
          <w:rFonts w:hint="eastAsia"/>
          <w:color w:val="auto"/>
          <w:highlight w:val="none"/>
        </w:rPr>
      </w:pPr>
    </w:p>
    <w:p w14:paraId="6B5BA73B">
      <w:pPr>
        <w:pStyle w:val="5"/>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符合性审查</w:t>
      </w:r>
    </w:p>
    <w:tbl>
      <w:tblPr>
        <w:tblStyle w:val="5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2333"/>
        <w:gridCol w:w="5906"/>
      </w:tblGrid>
      <w:tr w14:paraId="4D01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vAlign w:val="center"/>
          </w:tcPr>
          <w:p w14:paraId="7CC2D54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3484" w:type="dxa"/>
            <w:gridSpan w:val="2"/>
            <w:vAlign w:val="center"/>
          </w:tcPr>
          <w:p w14:paraId="60E88F10">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5906" w:type="dxa"/>
            <w:vAlign w:val="center"/>
          </w:tcPr>
          <w:p w14:paraId="1F2FD7C1">
            <w:pP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评审标准</w:t>
            </w:r>
          </w:p>
        </w:tc>
      </w:tr>
      <w:tr w14:paraId="3BB7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vAlign w:val="center"/>
          </w:tcPr>
          <w:p w14:paraId="041FB5C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51" w:type="dxa"/>
            <w:vMerge w:val="restart"/>
            <w:vAlign w:val="center"/>
          </w:tcPr>
          <w:p w14:paraId="6A3B1E8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有效性审查</w:t>
            </w:r>
          </w:p>
        </w:tc>
        <w:tc>
          <w:tcPr>
            <w:tcW w:w="2333" w:type="dxa"/>
            <w:vAlign w:val="center"/>
          </w:tcPr>
          <w:p w14:paraId="208893AD">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sz w:val="24"/>
                <w:highlight w:val="none"/>
              </w:rPr>
              <w:t>签署</w:t>
            </w:r>
          </w:p>
        </w:tc>
        <w:tc>
          <w:tcPr>
            <w:tcW w:w="5906" w:type="dxa"/>
            <w:vAlign w:val="center"/>
          </w:tcPr>
          <w:p w14:paraId="40656FC5">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sz w:val="24"/>
                <w:highlight w:val="none"/>
              </w:rPr>
              <w:t>中法定代表人或其委托代理人的签字或盖章齐全。</w:t>
            </w:r>
          </w:p>
        </w:tc>
      </w:tr>
      <w:tr w14:paraId="6550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vAlign w:val="center"/>
          </w:tcPr>
          <w:p w14:paraId="2476B721">
            <w:pPr>
              <w:rPr>
                <w:rFonts w:hint="eastAsia" w:ascii="宋体" w:hAnsi="宋体" w:eastAsia="宋体" w:cs="宋体"/>
                <w:color w:val="auto"/>
                <w:kern w:val="0"/>
                <w:sz w:val="24"/>
                <w:highlight w:val="none"/>
              </w:rPr>
            </w:pPr>
          </w:p>
        </w:tc>
        <w:tc>
          <w:tcPr>
            <w:tcW w:w="1151" w:type="dxa"/>
            <w:vMerge w:val="continue"/>
            <w:vAlign w:val="center"/>
          </w:tcPr>
          <w:p w14:paraId="2814FC67">
            <w:pPr>
              <w:rPr>
                <w:rFonts w:hint="eastAsia" w:ascii="宋体" w:hAnsi="宋体" w:eastAsia="宋体" w:cs="宋体"/>
                <w:color w:val="auto"/>
                <w:kern w:val="0"/>
                <w:sz w:val="24"/>
                <w:highlight w:val="none"/>
              </w:rPr>
            </w:pPr>
          </w:p>
        </w:tc>
        <w:tc>
          <w:tcPr>
            <w:tcW w:w="2333" w:type="dxa"/>
            <w:vAlign w:val="center"/>
          </w:tcPr>
          <w:p w14:paraId="7F7858F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w:t>
            </w:r>
          </w:p>
        </w:tc>
        <w:tc>
          <w:tcPr>
            <w:tcW w:w="5906" w:type="dxa"/>
            <w:vAlign w:val="center"/>
          </w:tcPr>
          <w:p w14:paraId="76D8070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法定代表人身份证明及授权委托书有效，且符合磋商文件规定的格式，签字或盖章齐全。</w:t>
            </w:r>
          </w:p>
        </w:tc>
      </w:tr>
      <w:tr w14:paraId="2906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83" w:type="dxa"/>
            <w:vAlign w:val="center"/>
          </w:tcPr>
          <w:p w14:paraId="1C3A3F7F">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51" w:type="dxa"/>
            <w:vAlign w:val="center"/>
          </w:tcPr>
          <w:p w14:paraId="77216B09">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完整性审查</w:t>
            </w:r>
          </w:p>
        </w:tc>
        <w:tc>
          <w:tcPr>
            <w:tcW w:w="2333" w:type="dxa"/>
            <w:vAlign w:val="center"/>
          </w:tcPr>
          <w:p w14:paraId="74EFD5E3">
            <w:pPr>
              <w:spacing w:line="5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highlight w:val="none"/>
                <w:lang w:val="zh-CN"/>
              </w:rPr>
              <w:t>响应文件内容</w:t>
            </w:r>
          </w:p>
        </w:tc>
        <w:tc>
          <w:tcPr>
            <w:tcW w:w="5906" w:type="dxa"/>
            <w:vAlign w:val="center"/>
          </w:tcPr>
          <w:p w14:paraId="03DCA47A">
            <w:pPr>
              <w:spacing w:line="500" w:lineRule="exac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highlight w:val="none"/>
                <w:lang w:val="zh-CN"/>
              </w:rPr>
              <w:t>响应文件内容齐全、无遗漏。</w:t>
            </w:r>
          </w:p>
        </w:tc>
      </w:tr>
      <w:tr w14:paraId="669A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vAlign w:val="center"/>
          </w:tcPr>
          <w:p w14:paraId="354CD41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51" w:type="dxa"/>
            <w:vMerge w:val="restart"/>
            <w:vAlign w:val="center"/>
          </w:tcPr>
          <w:p w14:paraId="6C90B2E7">
            <w:pPr>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采购文件的响应程度审查</w:t>
            </w:r>
          </w:p>
        </w:tc>
        <w:tc>
          <w:tcPr>
            <w:tcW w:w="2333" w:type="dxa"/>
            <w:vAlign w:val="center"/>
          </w:tcPr>
          <w:p w14:paraId="4E4893F8">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kern w:val="0"/>
                <w:sz w:val="24"/>
                <w:highlight w:val="none"/>
              </w:rPr>
              <w:t>内容</w:t>
            </w:r>
          </w:p>
        </w:tc>
        <w:tc>
          <w:tcPr>
            <w:tcW w:w="5906" w:type="dxa"/>
            <w:vAlign w:val="center"/>
          </w:tcPr>
          <w:p w14:paraId="7161639F">
            <w:pPr>
              <w:pStyle w:val="35"/>
              <w:spacing w:line="50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对磋商文件规定的内容全部做出响应。</w:t>
            </w:r>
          </w:p>
        </w:tc>
      </w:tr>
      <w:tr w14:paraId="46E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vAlign w:val="center"/>
          </w:tcPr>
          <w:p w14:paraId="5B50BBBA">
            <w:pPr>
              <w:rPr>
                <w:rFonts w:hint="eastAsia" w:ascii="宋体" w:hAnsi="宋体" w:eastAsia="宋体" w:cs="宋体"/>
                <w:color w:val="auto"/>
                <w:kern w:val="0"/>
                <w:sz w:val="24"/>
                <w:highlight w:val="none"/>
              </w:rPr>
            </w:pPr>
          </w:p>
        </w:tc>
        <w:tc>
          <w:tcPr>
            <w:tcW w:w="1151" w:type="dxa"/>
            <w:vMerge w:val="continue"/>
            <w:vAlign w:val="center"/>
          </w:tcPr>
          <w:p w14:paraId="1516DDF1">
            <w:pPr>
              <w:rPr>
                <w:rFonts w:hint="eastAsia" w:ascii="宋体" w:hAnsi="宋体" w:eastAsia="宋体" w:cs="宋体"/>
                <w:color w:val="auto"/>
                <w:kern w:val="0"/>
                <w:sz w:val="24"/>
                <w:highlight w:val="none"/>
              </w:rPr>
            </w:pPr>
          </w:p>
        </w:tc>
        <w:tc>
          <w:tcPr>
            <w:tcW w:w="2333" w:type="dxa"/>
            <w:vAlign w:val="center"/>
          </w:tcPr>
          <w:p w14:paraId="6B51507D">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质量技术</w:t>
            </w:r>
          </w:p>
        </w:tc>
        <w:tc>
          <w:tcPr>
            <w:tcW w:w="5906" w:type="dxa"/>
            <w:vAlign w:val="center"/>
          </w:tcPr>
          <w:p w14:paraId="02A12314">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满足磋商文件提出的质量、技术要求。</w:t>
            </w:r>
          </w:p>
        </w:tc>
      </w:tr>
      <w:tr w14:paraId="3DF1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14:paraId="47762366">
            <w:pPr>
              <w:rPr>
                <w:rFonts w:hint="eastAsia" w:ascii="宋体" w:hAnsi="宋体" w:eastAsia="宋体" w:cs="宋体"/>
                <w:color w:val="auto"/>
                <w:kern w:val="0"/>
                <w:sz w:val="24"/>
                <w:highlight w:val="none"/>
              </w:rPr>
            </w:pPr>
          </w:p>
        </w:tc>
        <w:tc>
          <w:tcPr>
            <w:tcW w:w="1151" w:type="dxa"/>
            <w:vMerge w:val="continue"/>
            <w:vAlign w:val="center"/>
          </w:tcPr>
          <w:p w14:paraId="1558C8C7">
            <w:pPr>
              <w:rPr>
                <w:rFonts w:hint="eastAsia" w:ascii="宋体" w:hAnsi="宋体" w:eastAsia="宋体" w:cs="宋体"/>
                <w:color w:val="auto"/>
                <w:kern w:val="0"/>
                <w:sz w:val="24"/>
                <w:highlight w:val="none"/>
              </w:rPr>
            </w:pPr>
          </w:p>
        </w:tc>
        <w:tc>
          <w:tcPr>
            <w:tcW w:w="2333" w:type="dxa"/>
            <w:vAlign w:val="center"/>
          </w:tcPr>
          <w:p w14:paraId="1D77562D">
            <w:pP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服务期限</w:t>
            </w:r>
          </w:p>
        </w:tc>
        <w:tc>
          <w:tcPr>
            <w:tcW w:w="5906" w:type="dxa"/>
            <w:vAlign w:val="center"/>
          </w:tcPr>
          <w:p w14:paraId="0B12D8D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满足采购文件</w:t>
            </w:r>
            <w:r>
              <w:rPr>
                <w:rFonts w:hint="eastAsia" w:ascii="宋体" w:hAnsi="宋体" w:eastAsia="宋体" w:cs="宋体"/>
                <w:color w:val="auto"/>
                <w:sz w:val="24"/>
                <w:highlight w:val="none"/>
                <w:lang w:val="zh-CN"/>
              </w:rPr>
              <w:t>规定</w:t>
            </w:r>
            <w:r>
              <w:rPr>
                <w:rFonts w:hint="eastAsia" w:ascii="宋体" w:hAnsi="宋体" w:eastAsia="宋体" w:cs="宋体"/>
                <w:color w:val="auto"/>
                <w:kern w:val="0"/>
                <w:sz w:val="24"/>
                <w:highlight w:val="none"/>
              </w:rPr>
              <w:t>。</w:t>
            </w:r>
          </w:p>
        </w:tc>
      </w:tr>
      <w:tr w14:paraId="10BA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14:paraId="5F6B5DD3">
            <w:pPr>
              <w:rPr>
                <w:rFonts w:hint="eastAsia" w:ascii="宋体" w:hAnsi="宋体" w:eastAsia="宋体" w:cs="宋体"/>
                <w:color w:val="auto"/>
                <w:kern w:val="0"/>
                <w:sz w:val="24"/>
                <w:highlight w:val="none"/>
              </w:rPr>
            </w:pPr>
          </w:p>
        </w:tc>
        <w:tc>
          <w:tcPr>
            <w:tcW w:w="1151" w:type="dxa"/>
            <w:vMerge w:val="continue"/>
            <w:vAlign w:val="center"/>
          </w:tcPr>
          <w:p w14:paraId="10E4A567">
            <w:pPr>
              <w:rPr>
                <w:rFonts w:hint="eastAsia" w:ascii="宋体" w:hAnsi="宋体" w:eastAsia="宋体" w:cs="宋体"/>
                <w:color w:val="auto"/>
                <w:kern w:val="0"/>
                <w:sz w:val="24"/>
                <w:highlight w:val="none"/>
              </w:rPr>
            </w:pPr>
          </w:p>
        </w:tc>
        <w:tc>
          <w:tcPr>
            <w:tcW w:w="2333" w:type="dxa"/>
            <w:vAlign w:val="center"/>
          </w:tcPr>
          <w:p w14:paraId="153E4FA3">
            <w:pP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质量保修期</w:t>
            </w:r>
          </w:p>
        </w:tc>
        <w:tc>
          <w:tcPr>
            <w:tcW w:w="5906" w:type="dxa"/>
            <w:vAlign w:val="center"/>
          </w:tcPr>
          <w:p w14:paraId="778239D9">
            <w:pP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满足磋商文件</w:t>
            </w:r>
            <w:r>
              <w:rPr>
                <w:rFonts w:hint="eastAsia" w:ascii="宋体" w:hAnsi="宋体" w:eastAsia="宋体" w:cs="宋体"/>
                <w:color w:val="auto"/>
                <w:kern w:val="0"/>
                <w:sz w:val="24"/>
                <w:highlight w:val="none"/>
                <w:lang w:val="zh-CN" w:eastAsia="zh-CN"/>
              </w:rPr>
              <w:t>规定</w:t>
            </w:r>
            <w:r>
              <w:rPr>
                <w:rFonts w:hint="eastAsia" w:ascii="宋体" w:hAnsi="宋体" w:eastAsia="宋体" w:cs="宋体"/>
                <w:color w:val="auto"/>
                <w:kern w:val="0"/>
                <w:sz w:val="24"/>
                <w:highlight w:val="none"/>
                <w:lang w:eastAsia="zh-CN"/>
              </w:rPr>
              <w:t>。</w:t>
            </w:r>
          </w:p>
        </w:tc>
      </w:tr>
      <w:tr w14:paraId="2E5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vAlign w:val="center"/>
          </w:tcPr>
          <w:p w14:paraId="73DFBD88">
            <w:pPr>
              <w:rPr>
                <w:rFonts w:hint="eastAsia" w:ascii="宋体" w:hAnsi="宋体" w:eastAsia="宋体" w:cs="宋体"/>
                <w:color w:val="auto"/>
                <w:kern w:val="0"/>
                <w:sz w:val="24"/>
                <w:highlight w:val="none"/>
              </w:rPr>
            </w:pPr>
          </w:p>
        </w:tc>
        <w:tc>
          <w:tcPr>
            <w:tcW w:w="1151" w:type="dxa"/>
            <w:vMerge w:val="continue"/>
            <w:vAlign w:val="center"/>
          </w:tcPr>
          <w:p w14:paraId="20097982">
            <w:pPr>
              <w:rPr>
                <w:rFonts w:hint="eastAsia" w:ascii="宋体" w:hAnsi="宋体" w:eastAsia="宋体" w:cs="宋体"/>
                <w:color w:val="auto"/>
                <w:sz w:val="24"/>
                <w:highlight w:val="none"/>
                <w:lang w:val="zh-CN"/>
              </w:rPr>
            </w:pPr>
          </w:p>
        </w:tc>
        <w:tc>
          <w:tcPr>
            <w:tcW w:w="2333" w:type="dxa"/>
            <w:vAlign w:val="center"/>
          </w:tcPr>
          <w:p w14:paraId="0FAB0183">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kern w:val="0"/>
                <w:sz w:val="24"/>
                <w:highlight w:val="none"/>
              </w:rPr>
              <w:t>有效期</w:t>
            </w:r>
          </w:p>
        </w:tc>
        <w:tc>
          <w:tcPr>
            <w:tcW w:w="5906" w:type="dxa"/>
            <w:vAlign w:val="center"/>
          </w:tcPr>
          <w:p w14:paraId="54732A0E">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满足磋商文件</w:t>
            </w:r>
            <w:r>
              <w:rPr>
                <w:rFonts w:hint="eastAsia" w:ascii="宋体" w:hAnsi="宋体" w:eastAsia="宋体" w:cs="宋体"/>
                <w:color w:val="auto"/>
                <w:sz w:val="24"/>
                <w:highlight w:val="none"/>
                <w:lang w:val="zh-CN"/>
              </w:rPr>
              <w:t>规定。</w:t>
            </w:r>
          </w:p>
        </w:tc>
      </w:tr>
      <w:tr w14:paraId="77E9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vMerge w:val="continue"/>
            <w:vAlign w:val="center"/>
          </w:tcPr>
          <w:p w14:paraId="4714A917">
            <w:pPr>
              <w:rPr>
                <w:rFonts w:hint="eastAsia" w:ascii="宋体" w:hAnsi="宋体" w:eastAsia="宋体" w:cs="宋体"/>
                <w:color w:val="auto"/>
                <w:kern w:val="0"/>
                <w:sz w:val="24"/>
                <w:highlight w:val="none"/>
              </w:rPr>
            </w:pPr>
          </w:p>
        </w:tc>
        <w:tc>
          <w:tcPr>
            <w:tcW w:w="1151" w:type="dxa"/>
            <w:vMerge w:val="continue"/>
            <w:vAlign w:val="center"/>
          </w:tcPr>
          <w:p w14:paraId="1A064CFF">
            <w:pPr>
              <w:rPr>
                <w:rFonts w:hint="eastAsia" w:ascii="宋体" w:hAnsi="宋体" w:eastAsia="宋体" w:cs="宋体"/>
                <w:color w:val="auto"/>
                <w:sz w:val="24"/>
                <w:highlight w:val="none"/>
                <w:lang w:val="zh-CN"/>
              </w:rPr>
            </w:pPr>
          </w:p>
        </w:tc>
        <w:tc>
          <w:tcPr>
            <w:tcW w:w="2333" w:type="dxa"/>
            <w:vAlign w:val="center"/>
          </w:tcPr>
          <w:p w14:paraId="466424BE">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w:t>
            </w:r>
          </w:p>
        </w:tc>
        <w:tc>
          <w:tcPr>
            <w:tcW w:w="5906" w:type="dxa"/>
            <w:vAlign w:val="center"/>
          </w:tcPr>
          <w:p w14:paraId="7A1E64D3">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满足磋商文件相关</w:t>
            </w:r>
            <w:r>
              <w:rPr>
                <w:rFonts w:hint="eastAsia" w:ascii="宋体" w:hAnsi="宋体" w:eastAsia="宋体" w:cs="宋体"/>
                <w:color w:val="auto"/>
                <w:sz w:val="24"/>
                <w:highlight w:val="none"/>
                <w:lang w:val="zh-CN"/>
              </w:rPr>
              <w:t>规定。</w:t>
            </w:r>
          </w:p>
        </w:tc>
      </w:tr>
    </w:tbl>
    <w:p w14:paraId="089C2F87">
      <w:pPr>
        <w:rPr>
          <w:rFonts w:hint="eastAsia" w:ascii="宋体" w:hAnsi="宋体" w:eastAsia="宋体" w:cs="宋体"/>
          <w:b/>
          <w:color w:val="auto"/>
          <w:sz w:val="24"/>
          <w:highlight w:val="none"/>
        </w:rPr>
      </w:pPr>
    </w:p>
    <w:p w14:paraId="33312189">
      <w:pP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注：以上评审内容，有一项不通过者，视为供应商</w:t>
      </w:r>
      <w:r>
        <w:rPr>
          <w:rFonts w:hint="eastAsia" w:ascii="宋体" w:hAnsi="宋体" w:eastAsia="宋体" w:cs="宋体"/>
          <w:b/>
          <w:color w:val="auto"/>
          <w:sz w:val="24"/>
          <w:szCs w:val="22"/>
          <w:highlight w:val="none"/>
        </w:rPr>
        <w:t>资格性审查、符合性审查</w:t>
      </w:r>
      <w:r>
        <w:rPr>
          <w:rFonts w:hint="eastAsia" w:ascii="宋体" w:hAnsi="宋体" w:eastAsia="宋体" w:cs="宋体"/>
          <w:b/>
          <w:color w:val="auto"/>
          <w:sz w:val="24"/>
          <w:highlight w:val="none"/>
        </w:rPr>
        <w:t>不通过，未通过</w:t>
      </w:r>
      <w:r>
        <w:rPr>
          <w:rFonts w:hint="eastAsia" w:ascii="宋体" w:hAnsi="宋体" w:eastAsia="宋体" w:cs="宋体"/>
          <w:b/>
          <w:color w:val="auto"/>
          <w:sz w:val="24"/>
          <w:szCs w:val="22"/>
          <w:highlight w:val="none"/>
        </w:rPr>
        <w:t>资格性审查、符合性审查</w:t>
      </w:r>
      <w:r>
        <w:rPr>
          <w:rFonts w:hint="eastAsia" w:ascii="宋体" w:hAnsi="宋体" w:eastAsia="宋体" w:cs="宋体"/>
          <w:b/>
          <w:color w:val="auto"/>
          <w:sz w:val="24"/>
          <w:highlight w:val="none"/>
        </w:rPr>
        <w:t>的其响应文件将按照无效响应处理。</w:t>
      </w:r>
    </w:p>
    <w:p w14:paraId="6D953F65">
      <w:pPr>
        <w:keepNext/>
        <w:keepLines/>
        <w:widowControl w:val="0"/>
        <w:numPr>
          <w:ilvl w:val="0"/>
          <w:numId w:val="0"/>
        </w:numPr>
        <w:wordWrap/>
        <w:adjustRightInd/>
        <w:snapToGrid/>
        <w:spacing w:line="416" w:lineRule="auto"/>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3、评分</w:t>
      </w:r>
    </w:p>
    <w:tbl>
      <w:tblPr>
        <w:tblStyle w:val="59"/>
        <w:tblW w:w="9860" w:type="dxa"/>
        <w:tblInd w:w="105" w:type="dxa"/>
        <w:tblLayout w:type="fixed"/>
        <w:tblCellMar>
          <w:top w:w="0" w:type="dxa"/>
          <w:left w:w="108" w:type="dxa"/>
          <w:bottom w:w="0" w:type="dxa"/>
          <w:right w:w="108" w:type="dxa"/>
        </w:tblCellMar>
      </w:tblPr>
      <w:tblGrid>
        <w:gridCol w:w="520"/>
        <w:gridCol w:w="1388"/>
        <w:gridCol w:w="7173"/>
        <w:gridCol w:w="779"/>
      </w:tblGrid>
      <w:tr w14:paraId="04384488">
        <w:tblPrEx>
          <w:tblCellMar>
            <w:top w:w="0" w:type="dxa"/>
            <w:left w:w="108" w:type="dxa"/>
            <w:bottom w:w="0" w:type="dxa"/>
            <w:right w:w="108" w:type="dxa"/>
          </w:tblCellMar>
        </w:tblPrEx>
        <w:trPr>
          <w:trHeight w:val="707" w:hRule="atLeast"/>
        </w:trPr>
        <w:tc>
          <w:tcPr>
            <w:tcW w:w="520" w:type="dxa"/>
            <w:tcBorders>
              <w:top w:val="single" w:color="auto" w:sz="4" w:space="0"/>
              <w:left w:val="single" w:color="auto" w:sz="4" w:space="0"/>
              <w:bottom w:val="single" w:color="auto" w:sz="4" w:space="0"/>
              <w:right w:val="single" w:color="auto" w:sz="4" w:space="0"/>
            </w:tcBorders>
            <w:noWrap w:val="0"/>
            <w:textDirection w:val="tbRlV"/>
            <w:vAlign w:val="center"/>
          </w:tcPr>
          <w:p w14:paraId="0B993F2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8293CD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评审指标         </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7E8A3F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748797E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14:paraId="6904C00C">
        <w:tblPrEx>
          <w:tblCellMar>
            <w:top w:w="0" w:type="dxa"/>
            <w:left w:w="108" w:type="dxa"/>
            <w:bottom w:w="0" w:type="dxa"/>
            <w:right w:w="108" w:type="dxa"/>
          </w:tblCellMar>
        </w:tblPrEx>
        <w:trPr>
          <w:trHeight w:val="1007" w:hRule="atLeast"/>
        </w:trPr>
        <w:tc>
          <w:tcPr>
            <w:tcW w:w="520" w:type="dxa"/>
            <w:tcBorders>
              <w:top w:val="single" w:color="auto" w:sz="4" w:space="0"/>
              <w:left w:val="single" w:color="auto" w:sz="4" w:space="0"/>
              <w:bottom w:val="single" w:color="auto" w:sz="4" w:space="0"/>
              <w:right w:val="single" w:color="auto" w:sz="4" w:space="0"/>
            </w:tcBorders>
            <w:noWrap w:val="0"/>
            <w:textDirection w:val="lrTbV"/>
            <w:vAlign w:val="center"/>
          </w:tcPr>
          <w:p w14:paraId="0FCB5AB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A93579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最后报价 </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D6AD0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满足磋商文件要求且最后报价最低的供应商的价格为磋商基准价，其价格分为满分。其他供应商的价格分统一按照下列公式计算：磋商报价得分=（磋商基准价/最后磋商报价）×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0%×100</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909ED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p>
        </w:tc>
      </w:tr>
      <w:tr w14:paraId="37AF8805">
        <w:tblPrEx>
          <w:tblCellMar>
            <w:top w:w="0" w:type="dxa"/>
            <w:left w:w="108" w:type="dxa"/>
            <w:bottom w:w="0" w:type="dxa"/>
            <w:right w:w="108" w:type="dxa"/>
          </w:tblCellMar>
        </w:tblPrEx>
        <w:trPr>
          <w:trHeight w:val="1007"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14:paraId="1A211DB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388" w:type="dxa"/>
            <w:vMerge w:val="restart"/>
            <w:tcBorders>
              <w:top w:val="single" w:color="auto" w:sz="4" w:space="0"/>
              <w:left w:val="single" w:color="auto" w:sz="4" w:space="0"/>
              <w:right w:val="single" w:color="auto" w:sz="4" w:space="0"/>
            </w:tcBorders>
            <w:noWrap w:val="0"/>
            <w:vAlign w:val="center"/>
          </w:tcPr>
          <w:p w14:paraId="7FE15E3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eastAsia="zh-CN"/>
              </w:rPr>
              <w:t>实力</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B7472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近三年（自20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年1月1日至今）内具有同类项目</w:t>
            </w:r>
            <w:r>
              <w:rPr>
                <w:rFonts w:hint="eastAsia" w:ascii="宋体" w:hAnsi="宋体" w:cs="宋体"/>
                <w:color w:val="auto"/>
                <w:kern w:val="0"/>
                <w:sz w:val="24"/>
                <w:szCs w:val="24"/>
                <w:highlight w:val="none"/>
                <w:lang w:val="en-US" w:eastAsia="zh-CN"/>
              </w:rPr>
              <w:t>管理服务经验</w:t>
            </w:r>
            <w:r>
              <w:rPr>
                <w:rFonts w:hint="eastAsia" w:ascii="宋体" w:hAnsi="宋体" w:eastAsia="宋体" w:cs="宋体"/>
                <w:color w:val="auto"/>
                <w:kern w:val="0"/>
                <w:sz w:val="24"/>
                <w:szCs w:val="24"/>
                <w:highlight w:val="none"/>
              </w:rPr>
              <w:t>（附相关证明材料并加盖公章）每项得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分，最多得</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分，无证明材料得0分。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30EB3D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r>
      <w:tr w14:paraId="6D62F8B5">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2E7E7E9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7B4C59B6">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34FCAC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企业信誉度较高，</w:t>
            </w:r>
            <w:r>
              <w:rPr>
                <w:rFonts w:hint="eastAsia" w:ascii="宋体" w:hAnsi="宋体" w:eastAsia="宋体" w:cs="宋体"/>
                <w:color w:val="auto"/>
                <w:kern w:val="0"/>
                <w:sz w:val="24"/>
                <w:szCs w:val="24"/>
                <w:highlight w:val="none"/>
                <w:lang w:val="en-US" w:eastAsia="zh-CN"/>
              </w:rPr>
              <w:t>工作</w:t>
            </w:r>
            <w:r>
              <w:rPr>
                <w:rFonts w:hint="eastAsia" w:ascii="宋体" w:hAnsi="宋体" w:eastAsia="宋体" w:cs="宋体"/>
                <w:color w:val="auto"/>
                <w:kern w:val="0"/>
                <w:sz w:val="24"/>
                <w:szCs w:val="24"/>
                <w:highlight w:val="none"/>
              </w:rPr>
              <w:t>反馈意见良好等，</w:t>
            </w:r>
            <w:r>
              <w:rPr>
                <w:rFonts w:hint="eastAsia" w:ascii="宋体" w:hAnsi="宋体" w:eastAsia="宋体" w:cs="宋体"/>
                <w:color w:val="auto"/>
                <w:kern w:val="0"/>
                <w:sz w:val="24"/>
                <w:szCs w:val="24"/>
                <w:highlight w:val="none"/>
                <w:lang w:val="en-US" w:eastAsia="zh-CN"/>
              </w:rPr>
              <w:t>工作</w:t>
            </w:r>
            <w:r>
              <w:rPr>
                <w:rFonts w:hint="eastAsia" w:ascii="宋体" w:hAnsi="宋体" w:eastAsia="宋体" w:cs="宋体"/>
                <w:color w:val="auto"/>
                <w:kern w:val="0"/>
                <w:sz w:val="24"/>
                <w:szCs w:val="24"/>
                <w:highlight w:val="none"/>
              </w:rPr>
              <w:t>反馈意见好得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分，良好得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分，反馈意见一般的得1分，无用户反馈意见或者反馈意见不良的不得分。（附相关证明材料加盖公章）</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2DB73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r w14:paraId="6A2A9BCA">
        <w:tblPrEx>
          <w:tblCellMar>
            <w:top w:w="0" w:type="dxa"/>
            <w:left w:w="108" w:type="dxa"/>
            <w:bottom w:w="0" w:type="dxa"/>
            <w:right w:w="108" w:type="dxa"/>
          </w:tblCellMar>
        </w:tblPrEx>
        <w:trPr>
          <w:trHeight w:val="1007"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14:paraId="26D5B09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bookmarkStart w:id="174" w:name="OLE_LINK1" w:colFirst="2" w:colLast="3"/>
            <w:r>
              <w:rPr>
                <w:rFonts w:hint="eastAsia" w:ascii="宋体" w:hAnsi="宋体" w:eastAsia="宋体" w:cs="宋体"/>
                <w:color w:val="auto"/>
                <w:kern w:val="0"/>
                <w:sz w:val="24"/>
                <w:szCs w:val="24"/>
                <w:highlight w:val="none"/>
                <w:lang w:val="en-US" w:eastAsia="zh-CN"/>
              </w:rPr>
              <w:t>3</w:t>
            </w:r>
          </w:p>
        </w:tc>
        <w:tc>
          <w:tcPr>
            <w:tcW w:w="1388" w:type="dxa"/>
            <w:vMerge w:val="restart"/>
            <w:tcBorders>
              <w:top w:val="single" w:color="auto" w:sz="4" w:space="0"/>
              <w:left w:val="single" w:color="auto" w:sz="4" w:space="0"/>
              <w:right w:val="single" w:color="auto" w:sz="4" w:space="0"/>
            </w:tcBorders>
            <w:noWrap w:val="0"/>
            <w:vAlign w:val="center"/>
          </w:tcPr>
          <w:p w14:paraId="3CD6424B">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服务方案</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6B672E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rPr>
              <w:t>供应商结合本项目特点，对项目管理的前期调研及总体设想进行描述：包括但不限于①项目特点分析；②项目需求分析；③拟采用的管理模式及服务理念；④项目内部管理机制；⑤整体运作流程与策划。以上方案完全满足项目需求且有利于项目实施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分，每缺少一项内容扣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分；方案中每有一处瑕疵的扣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7F2D4A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r>
      <w:bookmarkEnd w:id="174"/>
      <w:tr w14:paraId="466126BD">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104C371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40A400FE">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413297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rPr>
              <w:t>供应商制定保洁服务方案：包括但不限于①工作内容；②工作标准；③实施计划；④管理制度；⑤消杀；⑥垃圾分类措施。以上方案完全满足项目需求且有利于项目实施的得</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分，每缺少一项内容扣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分；方案中每有一处瑕疵的扣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557C0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r>
      <w:tr w14:paraId="59F9202B">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43ED9C5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3608C47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0D6E0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供应商制定设施设备运行服务方案：包括但不限于①工作内容；②工作标准；③实施计划；④服务管理。以上方案完全满足项目需求且有利于项目实施的得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zh-CN"/>
              </w:rPr>
              <w:t>分，每缺少一项内容扣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分；方案中每有一处瑕疵的扣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1D7D45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r>
      <w:tr w14:paraId="5BC93591">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3C55D60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3B374F5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5340DA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供应商制定绿化养护服务方案：包括但不限于①工作内容；②工作标准；③实施计划；④服务管理。以上方案完全满足项目需求且有利于项目实施的得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分，每缺少一项内容扣</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zh-CN"/>
              </w:rPr>
              <w:t>分；方案中每有一处瑕疵的扣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4C27E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r>
      <w:tr w14:paraId="0539C289">
        <w:tblPrEx>
          <w:tblCellMar>
            <w:top w:w="0" w:type="dxa"/>
            <w:left w:w="108" w:type="dxa"/>
            <w:bottom w:w="0" w:type="dxa"/>
            <w:right w:w="108" w:type="dxa"/>
          </w:tblCellMar>
        </w:tblPrEx>
        <w:trPr>
          <w:trHeight w:val="555" w:hRule="atLeast"/>
        </w:trPr>
        <w:tc>
          <w:tcPr>
            <w:tcW w:w="520" w:type="dxa"/>
            <w:vMerge w:val="continue"/>
            <w:tcBorders>
              <w:left w:val="single" w:color="auto" w:sz="4" w:space="0"/>
              <w:right w:val="single" w:color="auto" w:sz="4" w:space="0"/>
            </w:tcBorders>
            <w:noWrap w:val="0"/>
            <w:textDirection w:val="lrTbV"/>
            <w:vAlign w:val="center"/>
          </w:tcPr>
          <w:p w14:paraId="3FF1E8A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72FD82F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398BFC7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eastAsia" w:ascii="宋体" w:hAnsi="宋体" w:eastAsia="宋体" w:cs="宋体"/>
                <w:i w:val="0"/>
                <w:color w:val="auto"/>
                <w:kern w:val="2"/>
                <w:sz w:val="24"/>
                <w:szCs w:val="24"/>
                <w:highlight w:val="none"/>
                <w:u w:val="none"/>
                <w:lang w:val="zh-CN" w:eastAsia="zh-CN" w:bidi="ar-SA"/>
              </w:rPr>
            </w:pPr>
            <w:r>
              <w:rPr>
                <w:rFonts w:hint="eastAsia" w:ascii="宋体" w:hAnsi="宋体" w:eastAsia="宋体" w:cs="宋体"/>
                <w:color w:val="auto"/>
                <w:kern w:val="0"/>
                <w:sz w:val="24"/>
                <w:szCs w:val="24"/>
                <w:highlight w:val="none"/>
              </w:rPr>
              <w:t>供应商制定管理制度：包括但不限于①日常管理制度；②员工管理制度；③档案的建立与管理；④考核管理制度。以上方案完全满足项目需求且有利于项目实施的得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分，每缺少一项内容扣</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分；方案中每有一处瑕疵的扣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C776E1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宋体" w:hAnsi="宋体" w:eastAsia="宋体" w:cs="宋体"/>
                <w:i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rPr>
              <w:t>6</w:t>
            </w:r>
          </w:p>
        </w:tc>
      </w:tr>
      <w:tr w14:paraId="3A8BAE09">
        <w:tblPrEx>
          <w:tblCellMar>
            <w:top w:w="0" w:type="dxa"/>
            <w:left w:w="108" w:type="dxa"/>
            <w:bottom w:w="0" w:type="dxa"/>
            <w:right w:w="108" w:type="dxa"/>
          </w:tblCellMar>
        </w:tblPrEx>
        <w:trPr>
          <w:trHeight w:val="555" w:hRule="atLeast"/>
        </w:trPr>
        <w:tc>
          <w:tcPr>
            <w:tcW w:w="520" w:type="dxa"/>
            <w:vMerge w:val="continue"/>
            <w:tcBorders>
              <w:left w:val="single" w:color="auto" w:sz="4" w:space="0"/>
              <w:right w:val="single" w:color="auto" w:sz="4" w:space="0"/>
            </w:tcBorders>
            <w:noWrap w:val="0"/>
            <w:textDirection w:val="lrTbV"/>
            <w:vAlign w:val="center"/>
          </w:tcPr>
          <w:p w14:paraId="3B89015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46EE3734">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0AA32B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供应商制定物资配备计划及工器具方案：包含但不限于①劳保用品；②保洁工具；③机械设备；④低值易耗品。以上方案完全满足项目需求且有利于项目实施的得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分，每缺少一项内容扣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分；方案中每有一处瑕疵的扣</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E72D0C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r>
      <w:tr w14:paraId="2CAE5DEC">
        <w:tblPrEx>
          <w:tblCellMar>
            <w:top w:w="0" w:type="dxa"/>
            <w:left w:w="108" w:type="dxa"/>
            <w:bottom w:w="0" w:type="dxa"/>
            <w:right w:w="108" w:type="dxa"/>
          </w:tblCellMar>
        </w:tblPrEx>
        <w:trPr>
          <w:trHeight w:val="555" w:hRule="atLeast"/>
        </w:trPr>
        <w:tc>
          <w:tcPr>
            <w:tcW w:w="520" w:type="dxa"/>
            <w:vMerge w:val="continue"/>
            <w:tcBorders>
              <w:left w:val="single" w:color="auto" w:sz="4" w:space="0"/>
              <w:right w:val="single" w:color="auto" w:sz="4" w:space="0"/>
            </w:tcBorders>
            <w:noWrap w:val="0"/>
            <w:textDirection w:val="lrTbV"/>
            <w:vAlign w:val="center"/>
          </w:tcPr>
          <w:p w14:paraId="67CFF77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7BBE986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D87EDC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供应商制定突发事件应急预案及处理措施：包括但不限于①停电、停水应急处理；②重大活动应急预案。以上方案完全满足项目需求且有利于项目实施的得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分，每缺少一项内容扣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分；方案中每有一处瑕疵的扣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6A5449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r>
      <w:tr w14:paraId="7E79F0BE">
        <w:tblPrEx>
          <w:tblCellMar>
            <w:top w:w="0" w:type="dxa"/>
            <w:left w:w="108" w:type="dxa"/>
            <w:bottom w:w="0" w:type="dxa"/>
            <w:right w:w="108" w:type="dxa"/>
          </w:tblCellMar>
        </w:tblPrEx>
        <w:trPr>
          <w:trHeight w:val="555" w:hRule="atLeast"/>
        </w:trPr>
        <w:tc>
          <w:tcPr>
            <w:tcW w:w="520" w:type="dxa"/>
            <w:vMerge w:val="continue"/>
            <w:tcBorders>
              <w:left w:val="single" w:color="auto" w:sz="4" w:space="0"/>
              <w:right w:val="single" w:color="auto" w:sz="4" w:space="0"/>
            </w:tcBorders>
            <w:noWrap w:val="0"/>
            <w:textDirection w:val="lrTbV"/>
            <w:vAlign w:val="center"/>
          </w:tcPr>
          <w:p w14:paraId="5298E75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371EE98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0C17706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供应商按照自身实际经验针对本项目制定合理的节能降耗措施（节水节电等），每提出一条具有可行性的合理化措施得1分，最高得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C35A91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r>
      <w:tr w14:paraId="1B4D5C21">
        <w:tblPrEx>
          <w:tblCellMar>
            <w:top w:w="0" w:type="dxa"/>
            <w:left w:w="108" w:type="dxa"/>
            <w:bottom w:w="0" w:type="dxa"/>
            <w:right w:w="108" w:type="dxa"/>
          </w:tblCellMar>
        </w:tblPrEx>
        <w:trPr>
          <w:trHeight w:val="642" w:hRule="atLeast"/>
        </w:trPr>
        <w:tc>
          <w:tcPr>
            <w:tcW w:w="520" w:type="dxa"/>
            <w:vMerge w:val="continue"/>
            <w:tcBorders>
              <w:left w:val="single" w:color="auto" w:sz="4" w:space="0"/>
              <w:right w:val="single" w:color="auto" w:sz="4" w:space="0"/>
            </w:tcBorders>
            <w:noWrap w:val="0"/>
            <w:textDirection w:val="lrTbV"/>
            <w:vAlign w:val="center"/>
          </w:tcPr>
          <w:p w14:paraId="076CFBE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3A3AAF02">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315F101E">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供应商根据采购人实际情况提出创新服务举措或其他合理化建议，每提出一条具有可行性的内容得1分，最高得</w:t>
            </w:r>
            <w:r>
              <w:rPr>
                <w:rFonts w:hint="eastAsia" w:ascii="宋体" w:hAnsi="宋体" w:cs="宋体"/>
                <w:bCs/>
                <w:color w:val="auto"/>
                <w:kern w:val="0"/>
                <w:sz w:val="24"/>
                <w:szCs w:val="24"/>
                <w:highlight w:val="none"/>
                <w:lang w:val="en-US" w:eastAsia="zh-CN" w:bidi="ar-SA"/>
              </w:rPr>
              <w:t>2</w:t>
            </w:r>
            <w:r>
              <w:rPr>
                <w:rFonts w:hint="eastAsia" w:ascii="宋体" w:hAnsi="宋体" w:eastAsia="宋体" w:cs="宋体"/>
                <w:bCs/>
                <w:color w:val="auto"/>
                <w:kern w:val="0"/>
                <w:sz w:val="24"/>
                <w:szCs w:val="24"/>
                <w:highlight w:val="none"/>
                <w:lang w:val="en-US" w:eastAsia="zh-CN" w:bidi="ar-SA"/>
              </w:rPr>
              <w:t>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8A1B9BD">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2</w:t>
            </w:r>
          </w:p>
        </w:tc>
      </w:tr>
      <w:tr w14:paraId="24A2DC82">
        <w:tblPrEx>
          <w:tblCellMar>
            <w:top w:w="0" w:type="dxa"/>
            <w:left w:w="108" w:type="dxa"/>
            <w:bottom w:w="0" w:type="dxa"/>
            <w:right w:w="108" w:type="dxa"/>
          </w:tblCellMar>
        </w:tblPrEx>
        <w:trPr>
          <w:trHeight w:val="466" w:hRule="atLeast"/>
        </w:trPr>
        <w:tc>
          <w:tcPr>
            <w:tcW w:w="9081" w:type="dxa"/>
            <w:gridSpan w:val="3"/>
            <w:tcBorders>
              <w:top w:val="single" w:color="auto" w:sz="4" w:space="0"/>
              <w:left w:val="single" w:color="auto" w:sz="4" w:space="0"/>
              <w:bottom w:val="single" w:color="auto" w:sz="4" w:space="0"/>
              <w:right w:val="single" w:color="auto" w:sz="4" w:space="0"/>
            </w:tcBorders>
            <w:noWrap w:val="0"/>
            <w:vAlign w:val="center"/>
          </w:tcPr>
          <w:p w14:paraId="08201E2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评审得分合计</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132A0F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r w14:paraId="137759E4">
        <w:tblPrEx>
          <w:tblCellMar>
            <w:top w:w="0" w:type="dxa"/>
            <w:left w:w="108" w:type="dxa"/>
            <w:bottom w:w="0" w:type="dxa"/>
            <w:right w:w="108" w:type="dxa"/>
          </w:tblCellMar>
        </w:tblPrEx>
        <w:trPr>
          <w:trHeight w:val="503" w:hRule="atLeast"/>
        </w:trPr>
        <w:tc>
          <w:tcPr>
            <w:tcW w:w="9081" w:type="dxa"/>
            <w:gridSpan w:val="3"/>
            <w:tcBorders>
              <w:top w:val="single" w:color="auto" w:sz="4" w:space="0"/>
              <w:left w:val="single" w:color="auto" w:sz="4" w:space="0"/>
              <w:bottom w:val="single" w:color="auto" w:sz="4" w:space="0"/>
              <w:right w:val="single" w:color="auto" w:sz="4" w:space="0"/>
            </w:tcBorders>
            <w:noWrap w:val="0"/>
            <w:vAlign w:val="center"/>
          </w:tcPr>
          <w:p w14:paraId="69833ABC">
            <w:pPr>
              <w:keepNext w:val="0"/>
              <w:keepLines w:val="0"/>
              <w:pageBreakBefore w:val="0"/>
              <w:kinsoku/>
              <w:wordWrap/>
              <w:overflowPunct/>
              <w:topLinePunct w:val="0"/>
              <w:autoSpaceDE/>
              <w:autoSpaceDN/>
              <w:bidi w:val="0"/>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注：评分计算结果保留两位小数，第三位小数四舍五入。</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931655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bl>
    <w:p w14:paraId="70564007">
      <w:pPr>
        <w:spacing w:line="360" w:lineRule="auto"/>
        <w:ind w:firstLine="422" w:firstLineChars="175"/>
        <w:jc w:val="left"/>
        <w:rPr>
          <w:rFonts w:hint="eastAsia" w:ascii="宋体" w:hAnsi="宋体" w:eastAsia="宋体" w:cs="宋体"/>
          <w:b/>
          <w:color w:val="auto"/>
          <w:sz w:val="24"/>
          <w:highlight w:val="none"/>
        </w:rPr>
      </w:pPr>
    </w:p>
    <w:p w14:paraId="2F6A122F">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关于中小企业：</w:t>
      </w:r>
    </w:p>
    <w:p w14:paraId="64379E46">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在政府采购活动中，供应商提供的货物、工程或者服务符合下列情形的，享受本办法(</w:t>
      </w:r>
      <w:r>
        <w:rPr>
          <w:rFonts w:hint="eastAsia" w:ascii="宋体" w:hAnsi="宋体" w:eastAsia="宋体" w:cs="宋体"/>
          <w:color w:val="auto"/>
          <w:sz w:val="24"/>
          <w:highlight w:val="none"/>
        </w:rPr>
        <w:t>《财政部 工业和信息化部关于印发&lt;政府采购促进中小企业发展管理办法&gt;的通知》（财库〔2020〕46号）</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规定的中小企业扶持政策：</w:t>
      </w:r>
    </w:p>
    <w:p w14:paraId="0D0FA75A">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（一）在货物采购项目中，货物由中小企业制造，即货物由中小企业生产且使用该中小企业商号或者注册商标；</w:t>
      </w:r>
    </w:p>
    <w:p w14:paraId="22A94DFD">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（二）在工程采购项目中，工程由中小企业承建，即工程施工单位为中小企业；</w:t>
      </w:r>
    </w:p>
    <w:p w14:paraId="18CD7A6E">
      <w:pPr>
        <w:tabs>
          <w:tab w:val="left" w:pos="6387"/>
        </w:tabs>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（三）在服务采购项目中，服务由中小企业承接，即提供服务的人员为中小企业依照《中华人民共和国劳动合同法》订立劳动合同的从业人员。</w:t>
      </w:r>
    </w:p>
    <w:p w14:paraId="11AA5A2D">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在货物采购项目中，供应商提供的货物既有中小企业制造货物，也有大型企业制造货物的，不享受本办法规定的中小企业扶持政策。</w:t>
      </w:r>
    </w:p>
    <w:p w14:paraId="637C9B8E">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以联合体形式参加政府采购活动，联合体各方均为中小企业的，联合体视同中小企业。其中，联合体各方均为小微企业的，联合体视同小微企业。</w:t>
      </w:r>
    </w:p>
    <w:p w14:paraId="4851E7A4">
      <w:pPr>
        <w:spacing w:line="360" w:lineRule="auto"/>
        <w:ind w:firstLine="422" w:firstLineChars="175"/>
        <w:jc w:val="left"/>
        <w:rPr>
          <w:rFonts w:hint="eastAsia" w:hAnsi="宋体" w:cs="宋体"/>
          <w:color w:val="auto"/>
          <w:sz w:val="24"/>
          <w:szCs w:val="24"/>
          <w:u w:val="none" w:color="auto"/>
          <w:lang w:val="en-US" w:eastAsia="zh-CN"/>
        </w:rPr>
        <w:sectPr>
          <w:headerReference r:id="rId7" w:type="first"/>
          <w:footerReference r:id="rId10" w:type="first"/>
          <w:headerReference r:id="rId6" w:type="default"/>
          <w:footerReference r:id="rId8" w:type="default"/>
          <w:footerReference r:id="rId9" w:type="even"/>
          <w:pgSz w:w="11905" w:h="16838"/>
          <w:pgMar w:top="1440" w:right="1080" w:bottom="1440" w:left="1080" w:header="850" w:footer="850" w:gutter="0"/>
          <w:pgNumType w:fmt="decimal" w:start="1"/>
          <w:cols w:space="0" w:num="1"/>
          <w:rtlGutter w:val="0"/>
          <w:docGrid w:linePitch="312" w:charSpace="0"/>
        </w:sectPr>
      </w:pPr>
      <w:r>
        <w:rPr>
          <w:rFonts w:hint="eastAsia" w:ascii="宋体" w:hAnsi="宋体" w:eastAsia="宋体" w:cs="宋体"/>
          <w:b/>
          <w:color w:val="auto"/>
          <w:sz w:val="24"/>
          <w:highlight w:val="none"/>
        </w:rPr>
        <w:t>中小企业划型标准详见《工业和信息化部、国家统计局、国家发展和改革委员会、财政部关于印发中小企业划型标准规定的通知》（工信部联企业〔2011〕300号）。</w:t>
      </w:r>
    </w:p>
    <w:p w14:paraId="42E554D7">
      <w:pPr>
        <w:rPr>
          <w:rFonts w:hint="eastAsia" w:ascii="宋体" w:hAnsi="宋体" w:eastAsia="宋体" w:cs="宋体"/>
          <w:color w:val="auto"/>
          <w:kern w:val="0"/>
          <w:szCs w:val="21"/>
          <w:highlight w:val="none"/>
        </w:rPr>
      </w:pPr>
    </w:p>
    <w:sectPr>
      <w:footerReference r:id="rId11" w:type="default"/>
      <w:pgSz w:w="11905" w:h="16838"/>
      <w:pgMar w:top="1440" w:right="1080" w:bottom="1440" w:left="1080" w:header="850"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幼圆">
    <w:altName w:val="宋体"/>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a..D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Arial Black">
    <w:panose1 w:val="020B0A04020102020204"/>
    <w:charset w:val="00"/>
    <w:family w:val="auto"/>
    <w:pitch w:val="default"/>
    <w:sig w:usb0="00000287"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Angsana New">
    <w:panose1 w:val="02020603050405020304"/>
    <w:charset w:val="00"/>
    <w:family w:val="auto"/>
    <w:pitch w:val="default"/>
    <w:sig w:usb0="81000003" w:usb1="00000000" w:usb2="00000000" w:usb3="00000000" w:csb0="00010001" w:csb1="00000000"/>
  </w:font>
  <w:font w:name="楷体">
    <w:panose1 w:val="02010609060101010101"/>
    <w:charset w:val="86"/>
    <w:family w:val="auto"/>
    <w:pitch w:val="default"/>
    <w:sig w:usb0="800002BF" w:usb1="38CF7CFA" w:usb2="00000016" w:usb3="00000000" w:csb0="00040001" w:csb1="00000000"/>
  </w:font>
  <w:font w:name="仿宋体">
    <w:altName w:val="新宋体"/>
    <w:panose1 w:val="00000000000000000000"/>
    <w:charset w:val="86"/>
    <w:family w:val="auto"/>
    <w:pitch w:val="default"/>
    <w:sig w:usb0="00000000" w:usb1="00000000" w:usb2="00000010"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00D4">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D48D">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C6EC">
    <w:pPr>
      <w:pStyle w:val="39"/>
      <w:ind w:right="360"/>
    </w:pP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E5599BC">
                <w:pPr>
                  <w:pStyle w:val="39"/>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DDA6">
    <w:pPr>
      <w:pStyle w:val="39"/>
      <w:framePr w:wrap="around" w:vAnchor="text" w:hAnchor="margin" w:xAlign="right" w:y="1"/>
      <w:rPr>
        <w:rStyle w:val="64"/>
      </w:rPr>
    </w:pPr>
    <w:r>
      <w:fldChar w:fldCharType="begin"/>
    </w:r>
    <w:r>
      <w:rPr>
        <w:rStyle w:val="64"/>
      </w:rPr>
      <w:instrText xml:space="preserve">PAGE  </w:instrText>
    </w:r>
    <w:r>
      <w:fldChar w:fldCharType="separate"/>
    </w:r>
    <w:r>
      <w:rPr>
        <w:rStyle w:val="64"/>
      </w:rPr>
      <w:t>40</w:t>
    </w:r>
    <w:r>
      <w:fldChar w:fldCharType="end"/>
    </w:r>
  </w:p>
  <w:p w14:paraId="0C9ABF5A">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C29B">
    <w:pPr>
      <w:pStyle w:val="39"/>
    </w:pPr>
    <w:r>
      <w:rPr>
        <w:rFonts w:ascii="Times New Roman" w:hAnsi="Times New Roman" w:eastAsia="宋体" w:cs="Times New Roman"/>
        <w:kern w:val="0"/>
        <w:sz w:val="18"/>
        <w:szCs w:val="18"/>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9FE2EE8">
                <w:pPr>
                  <w:pStyle w:val="3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A6D8">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F328A">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B779">
    <w:pPr>
      <w:pStyle w:val="4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8729">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F0FFB"/>
    <w:multiLevelType w:val="singleLevel"/>
    <w:tmpl w:val="F4DF0FFB"/>
    <w:lvl w:ilvl="0" w:tentative="0">
      <w:start w:val="1"/>
      <w:numFmt w:val="decimal"/>
      <w:suff w:val="nothing"/>
      <w:lvlText w:val="（%1）"/>
      <w:lvlJc w:val="left"/>
    </w:lvl>
  </w:abstractNum>
  <w:abstractNum w:abstractNumId="1">
    <w:nsid w:val="17AEF7CE"/>
    <w:multiLevelType w:val="singleLevel"/>
    <w:tmpl w:val="17AEF7CE"/>
    <w:lvl w:ilvl="0" w:tentative="0">
      <w:start w:val="1"/>
      <w:numFmt w:val="decimal"/>
      <w:lvlText w:val="(%1)"/>
      <w:lvlJc w:val="left"/>
      <w:pPr>
        <w:ind w:left="425" w:hanging="425"/>
      </w:pPr>
      <w:rPr>
        <w:rFonts w:hint="default"/>
      </w:rPr>
    </w:lvl>
  </w:abstractNum>
  <w:abstractNum w:abstractNumId="2">
    <w:nsid w:val="4974EDDF"/>
    <w:multiLevelType w:val="singleLevel"/>
    <w:tmpl w:val="4974EDDF"/>
    <w:lvl w:ilvl="0" w:tentative="0">
      <w:start w:val="1"/>
      <w:numFmt w:val="decimal"/>
      <w:suff w:val="nothing"/>
      <w:lvlText w:val="（%1）"/>
      <w:lvlJc w:val="left"/>
    </w:lvl>
  </w:abstractNum>
  <w:abstractNum w:abstractNumId="3">
    <w:nsid w:val="5A214F4A"/>
    <w:multiLevelType w:val="singleLevel"/>
    <w:tmpl w:val="5A214F4A"/>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政浩">
    <w15:presenceInfo w15:providerId="None" w15:userId="金政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DkxNGY1ZmY5ZTVmNWVjMTU2NDhiYmZhOTg3N2I5MGMifQ=="/>
  </w:docVars>
  <w:rsids>
    <w:rsidRoot w:val="00583F61"/>
    <w:rsid w:val="00002525"/>
    <w:rsid w:val="0000262F"/>
    <w:rsid w:val="00003660"/>
    <w:rsid w:val="00003DE5"/>
    <w:rsid w:val="000042D0"/>
    <w:rsid w:val="00004FCD"/>
    <w:rsid w:val="000060DE"/>
    <w:rsid w:val="00006A5C"/>
    <w:rsid w:val="00006B79"/>
    <w:rsid w:val="000102F5"/>
    <w:rsid w:val="000113A5"/>
    <w:rsid w:val="00020451"/>
    <w:rsid w:val="00020981"/>
    <w:rsid w:val="00021217"/>
    <w:rsid w:val="000216B7"/>
    <w:rsid w:val="000220E8"/>
    <w:rsid w:val="000228B6"/>
    <w:rsid w:val="000272BA"/>
    <w:rsid w:val="00027C77"/>
    <w:rsid w:val="00030AC6"/>
    <w:rsid w:val="000319D4"/>
    <w:rsid w:val="000326C7"/>
    <w:rsid w:val="00033CF5"/>
    <w:rsid w:val="00035EA9"/>
    <w:rsid w:val="00036722"/>
    <w:rsid w:val="00037F8C"/>
    <w:rsid w:val="00040698"/>
    <w:rsid w:val="00040E70"/>
    <w:rsid w:val="0004120F"/>
    <w:rsid w:val="00050C06"/>
    <w:rsid w:val="00057DCF"/>
    <w:rsid w:val="000603EF"/>
    <w:rsid w:val="00067701"/>
    <w:rsid w:val="00070133"/>
    <w:rsid w:val="00071648"/>
    <w:rsid w:val="0007185B"/>
    <w:rsid w:val="00071BE9"/>
    <w:rsid w:val="00072290"/>
    <w:rsid w:val="00073ABF"/>
    <w:rsid w:val="00076890"/>
    <w:rsid w:val="00082D10"/>
    <w:rsid w:val="00087EBA"/>
    <w:rsid w:val="0009267C"/>
    <w:rsid w:val="000A07FC"/>
    <w:rsid w:val="000A295D"/>
    <w:rsid w:val="000B0BD7"/>
    <w:rsid w:val="000B5574"/>
    <w:rsid w:val="000B5C17"/>
    <w:rsid w:val="000B6BEB"/>
    <w:rsid w:val="000B7050"/>
    <w:rsid w:val="000C06A2"/>
    <w:rsid w:val="000C6152"/>
    <w:rsid w:val="000C6FB8"/>
    <w:rsid w:val="000D2E74"/>
    <w:rsid w:val="000D5E5E"/>
    <w:rsid w:val="000D778C"/>
    <w:rsid w:val="000E2DCC"/>
    <w:rsid w:val="000E6B38"/>
    <w:rsid w:val="000E72BD"/>
    <w:rsid w:val="000F0D13"/>
    <w:rsid w:val="000F1C67"/>
    <w:rsid w:val="000F2BF1"/>
    <w:rsid w:val="001000E4"/>
    <w:rsid w:val="0010149F"/>
    <w:rsid w:val="00102FDB"/>
    <w:rsid w:val="00103108"/>
    <w:rsid w:val="00103B3F"/>
    <w:rsid w:val="00110F6E"/>
    <w:rsid w:val="00112A68"/>
    <w:rsid w:val="00113A82"/>
    <w:rsid w:val="00114A98"/>
    <w:rsid w:val="001151E1"/>
    <w:rsid w:val="0011570C"/>
    <w:rsid w:val="00115AEE"/>
    <w:rsid w:val="00116415"/>
    <w:rsid w:val="00116C10"/>
    <w:rsid w:val="00121D0F"/>
    <w:rsid w:val="001221DF"/>
    <w:rsid w:val="0012239A"/>
    <w:rsid w:val="001235E7"/>
    <w:rsid w:val="00132588"/>
    <w:rsid w:val="00133646"/>
    <w:rsid w:val="0013387F"/>
    <w:rsid w:val="00133FDC"/>
    <w:rsid w:val="0013470C"/>
    <w:rsid w:val="00135A5C"/>
    <w:rsid w:val="00137B3E"/>
    <w:rsid w:val="00143377"/>
    <w:rsid w:val="001473D1"/>
    <w:rsid w:val="00153701"/>
    <w:rsid w:val="00154E89"/>
    <w:rsid w:val="0015550A"/>
    <w:rsid w:val="00155A57"/>
    <w:rsid w:val="0015767E"/>
    <w:rsid w:val="00157EEC"/>
    <w:rsid w:val="001611E4"/>
    <w:rsid w:val="00161F68"/>
    <w:rsid w:val="00163081"/>
    <w:rsid w:val="00163B52"/>
    <w:rsid w:val="00163F34"/>
    <w:rsid w:val="00164445"/>
    <w:rsid w:val="00164F48"/>
    <w:rsid w:val="001765A4"/>
    <w:rsid w:val="00176EBF"/>
    <w:rsid w:val="00181429"/>
    <w:rsid w:val="001818B1"/>
    <w:rsid w:val="00181957"/>
    <w:rsid w:val="0018380E"/>
    <w:rsid w:val="00197309"/>
    <w:rsid w:val="00197DF7"/>
    <w:rsid w:val="001A1384"/>
    <w:rsid w:val="001A4E09"/>
    <w:rsid w:val="001A5149"/>
    <w:rsid w:val="001A6641"/>
    <w:rsid w:val="001A6827"/>
    <w:rsid w:val="001A72F4"/>
    <w:rsid w:val="001B0206"/>
    <w:rsid w:val="001B07AB"/>
    <w:rsid w:val="001B372B"/>
    <w:rsid w:val="001B3823"/>
    <w:rsid w:val="001B5BEB"/>
    <w:rsid w:val="001B691F"/>
    <w:rsid w:val="001C1DE8"/>
    <w:rsid w:val="001D2310"/>
    <w:rsid w:val="001D6909"/>
    <w:rsid w:val="001D6AA4"/>
    <w:rsid w:val="001E0A10"/>
    <w:rsid w:val="001E13FB"/>
    <w:rsid w:val="001E26CD"/>
    <w:rsid w:val="001F0B2F"/>
    <w:rsid w:val="001F1398"/>
    <w:rsid w:val="001F1DE5"/>
    <w:rsid w:val="001F2230"/>
    <w:rsid w:val="001F2EBF"/>
    <w:rsid w:val="001F376D"/>
    <w:rsid w:val="001F4D4F"/>
    <w:rsid w:val="001F649C"/>
    <w:rsid w:val="002012F9"/>
    <w:rsid w:val="00201C4D"/>
    <w:rsid w:val="00202CBC"/>
    <w:rsid w:val="00203DBE"/>
    <w:rsid w:val="00203F5A"/>
    <w:rsid w:val="00205DAA"/>
    <w:rsid w:val="002060B0"/>
    <w:rsid w:val="00207E29"/>
    <w:rsid w:val="0021045A"/>
    <w:rsid w:val="00212FA6"/>
    <w:rsid w:val="002178B9"/>
    <w:rsid w:val="00220BB4"/>
    <w:rsid w:val="00220CB1"/>
    <w:rsid w:val="00222A6A"/>
    <w:rsid w:val="002250CA"/>
    <w:rsid w:val="002327FC"/>
    <w:rsid w:val="002345B9"/>
    <w:rsid w:val="002407A5"/>
    <w:rsid w:val="00243DB8"/>
    <w:rsid w:val="002452DA"/>
    <w:rsid w:val="002507CD"/>
    <w:rsid w:val="002508B3"/>
    <w:rsid w:val="00253CFC"/>
    <w:rsid w:val="002552C0"/>
    <w:rsid w:val="002609A3"/>
    <w:rsid w:val="00263DBA"/>
    <w:rsid w:val="00266A59"/>
    <w:rsid w:val="00271082"/>
    <w:rsid w:val="0027243E"/>
    <w:rsid w:val="00276348"/>
    <w:rsid w:val="002777F3"/>
    <w:rsid w:val="00277E42"/>
    <w:rsid w:val="00280AAB"/>
    <w:rsid w:val="00282662"/>
    <w:rsid w:val="002846FD"/>
    <w:rsid w:val="00286D80"/>
    <w:rsid w:val="00287C36"/>
    <w:rsid w:val="002908ED"/>
    <w:rsid w:val="002972D2"/>
    <w:rsid w:val="002A45D8"/>
    <w:rsid w:val="002B0FA7"/>
    <w:rsid w:val="002B1AEC"/>
    <w:rsid w:val="002B2195"/>
    <w:rsid w:val="002B328B"/>
    <w:rsid w:val="002B3D18"/>
    <w:rsid w:val="002B67EC"/>
    <w:rsid w:val="002C1CB3"/>
    <w:rsid w:val="002C252B"/>
    <w:rsid w:val="002C2B2E"/>
    <w:rsid w:val="002C2E69"/>
    <w:rsid w:val="002C3521"/>
    <w:rsid w:val="002C403D"/>
    <w:rsid w:val="002C4B97"/>
    <w:rsid w:val="002C6E6E"/>
    <w:rsid w:val="002D3951"/>
    <w:rsid w:val="002D5C6D"/>
    <w:rsid w:val="002D7EC2"/>
    <w:rsid w:val="002E05D1"/>
    <w:rsid w:val="002E13FF"/>
    <w:rsid w:val="002E69CB"/>
    <w:rsid w:val="002F344E"/>
    <w:rsid w:val="002F5114"/>
    <w:rsid w:val="00300A9F"/>
    <w:rsid w:val="0030126A"/>
    <w:rsid w:val="00301DF6"/>
    <w:rsid w:val="00304ED3"/>
    <w:rsid w:val="00304F25"/>
    <w:rsid w:val="0030631F"/>
    <w:rsid w:val="00306FEB"/>
    <w:rsid w:val="00311796"/>
    <w:rsid w:val="00311A9F"/>
    <w:rsid w:val="0031285E"/>
    <w:rsid w:val="00312BB2"/>
    <w:rsid w:val="00313303"/>
    <w:rsid w:val="003136E9"/>
    <w:rsid w:val="00313D5A"/>
    <w:rsid w:val="003141CE"/>
    <w:rsid w:val="00314E54"/>
    <w:rsid w:val="003208C7"/>
    <w:rsid w:val="00322E03"/>
    <w:rsid w:val="003247DF"/>
    <w:rsid w:val="0033395A"/>
    <w:rsid w:val="00334DC8"/>
    <w:rsid w:val="003365D5"/>
    <w:rsid w:val="00340214"/>
    <w:rsid w:val="00341B42"/>
    <w:rsid w:val="00343B48"/>
    <w:rsid w:val="00346785"/>
    <w:rsid w:val="00355A5D"/>
    <w:rsid w:val="00356269"/>
    <w:rsid w:val="003579E7"/>
    <w:rsid w:val="00363ECB"/>
    <w:rsid w:val="00366A5D"/>
    <w:rsid w:val="00371697"/>
    <w:rsid w:val="003730EC"/>
    <w:rsid w:val="003733CE"/>
    <w:rsid w:val="00377196"/>
    <w:rsid w:val="00377FDA"/>
    <w:rsid w:val="00380949"/>
    <w:rsid w:val="00380A1F"/>
    <w:rsid w:val="00381FDF"/>
    <w:rsid w:val="00387D6B"/>
    <w:rsid w:val="00387EFD"/>
    <w:rsid w:val="00391EE9"/>
    <w:rsid w:val="003A0C65"/>
    <w:rsid w:val="003A3ECC"/>
    <w:rsid w:val="003A677D"/>
    <w:rsid w:val="003C0AEC"/>
    <w:rsid w:val="003C2AF2"/>
    <w:rsid w:val="003C5797"/>
    <w:rsid w:val="003C713B"/>
    <w:rsid w:val="003C7C5D"/>
    <w:rsid w:val="003D35DA"/>
    <w:rsid w:val="003D76A8"/>
    <w:rsid w:val="003E303C"/>
    <w:rsid w:val="003E34A7"/>
    <w:rsid w:val="003E575C"/>
    <w:rsid w:val="003E72B5"/>
    <w:rsid w:val="003E7E27"/>
    <w:rsid w:val="003F6838"/>
    <w:rsid w:val="00403FA9"/>
    <w:rsid w:val="00415861"/>
    <w:rsid w:val="00416565"/>
    <w:rsid w:val="00416D4C"/>
    <w:rsid w:val="004203AD"/>
    <w:rsid w:val="00420F1C"/>
    <w:rsid w:val="004218AD"/>
    <w:rsid w:val="0042709B"/>
    <w:rsid w:val="00427C96"/>
    <w:rsid w:val="00431877"/>
    <w:rsid w:val="0043215A"/>
    <w:rsid w:val="0043289D"/>
    <w:rsid w:val="00436246"/>
    <w:rsid w:val="00443273"/>
    <w:rsid w:val="004436CF"/>
    <w:rsid w:val="004441F0"/>
    <w:rsid w:val="004451E5"/>
    <w:rsid w:val="00445982"/>
    <w:rsid w:val="00451BD3"/>
    <w:rsid w:val="0045242E"/>
    <w:rsid w:val="004528A7"/>
    <w:rsid w:val="00457A43"/>
    <w:rsid w:val="00457EBE"/>
    <w:rsid w:val="004619E4"/>
    <w:rsid w:val="00464E16"/>
    <w:rsid w:val="00470803"/>
    <w:rsid w:val="004719BA"/>
    <w:rsid w:val="00472616"/>
    <w:rsid w:val="00472DEC"/>
    <w:rsid w:val="0047433B"/>
    <w:rsid w:val="00475E8C"/>
    <w:rsid w:val="004765E3"/>
    <w:rsid w:val="004835EE"/>
    <w:rsid w:val="00483659"/>
    <w:rsid w:val="0048561B"/>
    <w:rsid w:val="00485756"/>
    <w:rsid w:val="00486508"/>
    <w:rsid w:val="0048713A"/>
    <w:rsid w:val="00491D61"/>
    <w:rsid w:val="00492FA2"/>
    <w:rsid w:val="004A41E4"/>
    <w:rsid w:val="004A4965"/>
    <w:rsid w:val="004A5647"/>
    <w:rsid w:val="004A58E9"/>
    <w:rsid w:val="004B2C99"/>
    <w:rsid w:val="004B4664"/>
    <w:rsid w:val="004B4709"/>
    <w:rsid w:val="004B4F2E"/>
    <w:rsid w:val="004B4F39"/>
    <w:rsid w:val="004B5C25"/>
    <w:rsid w:val="004C53F7"/>
    <w:rsid w:val="004C6312"/>
    <w:rsid w:val="004C7C28"/>
    <w:rsid w:val="004D123C"/>
    <w:rsid w:val="004D2D35"/>
    <w:rsid w:val="004D346A"/>
    <w:rsid w:val="004D3AD2"/>
    <w:rsid w:val="004D7C1C"/>
    <w:rsid w:val="004D7DA1"/>
    <w:rsid w:val="004E2B56"/>
    <w:rsid w:val="004E4D39"/>
    <w:rsid w:val="004E5930"/>
    <w:rsid w:val="004E5F55"/>
    <w:rsid w:val="004E746F"/>
    <w:rsid w:val="004E7AD2"/>
    <w:rsid w:val="004F0413"/>
    <w:rsid w:val="004F1CD9"/>
    <w:rsid w:val="004F32F1"/>
    <w:rsid w:val="004F4FF4"/>
    <w:rsid w:val="004F7392"/>
    <w:rsid w:val="004F7B2F"/>
    <w:rsid w:val="00500E75"/>
    <w:rsid w:val="00502E7D"/>
    <w:rsid w:val="0050529B"/>
    <w:rsid w:val="005143A3"/>
    <w:rsid w:val="00516147"/>
    <w:rsid w:val="005163A6"/>
    <w:rsid w:val="00516BD7"/>
    <w:rsid w:val="00520D7F"/>
    <w:rsid w:val="00521BDB"/>
    <w:rsid w:val="0052310A"/>
    <w:rsid w:val="00526815"/>
    <w:rsid w:val="0053110E"/>
    <w:rsid w:val="0053350A"/>
    <w:rsid w:val="0053424B"/>
    <w:rsid w:val="00535F25"/>
    <w:rsid w:val="0053655B"/>
    <w:rsid w:val="00541B8B"/>
    <w:rsid w:val="0054371E"/>
    <w:rsid w:val="00547CCF"/>
    <w:rsid w:val="00555999"/>
    <w:rsid w:val="00556447"/>
    <w:rsid w:val="00556A53"/>
    <w:rsid w:val="005636DF"/>
    <w:rsid w:val="00564D9F"/>
    <w:rsid w:val="0056537E"/>
    <w:rsid w:val="00571EDF"/>
    <w:rsid w:val="00573F48"/>
    <w:rsid w:val="00581988"/>
    <w:rsid w:val="0058202B"/>
    <w:rsid w:val="00583B07"/>
    <w:rsid w:val="00583F61"/>
    <w:rsid w:val="00584A04"/>
    <w:rsid w:val="00585013"/>
    <w:rsid w:val="00586860"/>
    <w:rsid w:val="00586986"/>
    <w:rsid w:val="005870F8"/>
    <w:rsid w:val="005877EF"/>
    <w:rsid w:val="005901B9"/>
    <w:rsid w:val="00590215"/>
    <w:rsid w:val="0059033F"/>
    <w:rsid w:val="00593B21"/>
    <w:rsid w:val="005958CC"/>
    <w:rsid w:val="005A1062"/>
    <w:rsid w:val="005A136C"/>
    <w:rsid w:val="005A1F6A"/>
    <w:rsid w:val="005A2355"/>
    <w:rsid w:val="005A252A"/>
    <w:rsid w:val="005A2D97"/>
    <w:rsid w:val="005A3EB3"/>
    <w:rsid w:val="005A7E43"/>
    <w:rsid w:val="005B6DA5"/>
    <w:rsid w:val="005C17CE"/>
    <w:rsid w:val="005C2ADF"/>
    <w:rsid w:val="005C3BCB"/>
    <w:rsid w:val="005C407E"/>
    <w:rsid w:val="005C657A"/>
    <w:rsid w:val="005C660B"/>
    <w:rsid w:val="005C6B2D"/>
    <w:rsid w:val="005C7074"/>
    <w:rsid w:val="005D0C67"/>
    <w:rsid w:val="005D18C2"/>
    <w:rsid w:val="005D37BC"/>
    <w:rsid w:val="005D429C"/>
    <w:rsid w:val="005D584E"/>
    <w:rsid w:val="005E19C8"/>
    <w:rsid w:val="005E371D"/>
    <w:rsid w:val="005E37BD"/>
    <w:rsid w:val="005E4E34"/>
    <w:rsid w:val="005E7DAF"/>
    <w:rsid w:val="005F2EC4"/>
    <w:rsid w:val="005F4EF4"/>
    <w:rsid w:val="005F63D6"/>
    <w:rsid w:val="005F7F0B"/>
    <w:rsid w:val="00600912"/>
    <w:rsid w:val="00600FDC"/>
    <w:rsid w:val="006021FE"/>
    <w:rsid w:val="00604BCB"/>
    <w:rsid w:val="00607720"/>
    <w:rsid w:val="0061468D"/>
    <w:rsid w:val="006170C6"/>
    <w:rsid w:val="006225C8"/>
    <w:rsid w:val="00623281"/>
    <w:rsid w:val="00626E6D"/>
    <w:rsid w:val="00632C21"/>
    <w:rsid w:val="006332CE"/>
    <w:rsid w:val="00634916"/>
    <w:rsid w:val="006423F3"/>
    <w:rsid w:val="00642C33"/>
    <w:rsid w:val="0064337A"/>
    <w:rsid w:val="00645C9B"/>
    <w:rsid w:val="006542E3"/>
    <w:rsid w:val="00654559"/>
    <w:rsid w:val="00655784"/>
    <w:rsid w:val="0065653B"/>
    <w:rsid w:val="00662AA8"/>
    <w:rsid w:val="0066474C"/>
    <w:rsid w:val="00664FB4"/>
    <w:rsid w:val="0067189D"/>
    <w:rsid w:val="00671AD1"/>
    <w:rsid w:val="0067238D"/>
    <w:rsid w:val="006731E4"/>
    <w:rsid w:val="0068120F"/>
    <w:rsid w:val="0068372E"/>
    <w:rsid w:val="00684D4D"/>
    <w:rsid w:val="00692A16"/>
    <w:rsid w:val="0069326E"/>
    <w:rsid w:val="006943A9"/>
    <w:rsid w:val="006950BD"/>
    <w:rsid w:val="00696359"/>
    <w:rsid w:val="00696990"/>
    <w:rsid w:val="00697ACF"/>
    <w:rsid w:val="006A178F"/>
    <w:rsid w:val="006A4422"/>
    <w:rsid w:val="006A4876"/>
    <w:rsid w:val="006A6163"/>
    <w:rsid w:val="006A6179"/>
    <w:rsid w:val="006A75B2"/>
    <w:rsid w:val="006B0776"/>
    <w:rsid w:val="006B0B2C"/>
    <w:rsid w:val="006B238B"/>
    <w:rsid w:val="006B3CD1"/>
    <w:rsid w:val="006B5753"/>
    <w:rsid w:val="006C24D4"/>
    <w:rsid w:val="006C7279"/>
    <w:rsid w:val="006D27FB"/>
    <w:rsid w:val="006D4943"/>
    <w:rsid w:val="006D5191"/>
    <w:rsid w:val="006D5BEE"/>
    <w:rsid w:val="006E14E3"/>
    <w:rsid w:val="006E4572"/>
    <w:rsid w:val="006E579F"/>
    <w:rsid w:val="006E6213"/>
    <w:rsid w:val="006E6C15"/>
    <w:rsid w:val="006E6D7C"/>
    <w:rsid w:val="006F0D15"/>
    <w:rsid w:val="006F119C"/>
    <w:rsid w:val="006F31A5"/>
    <w:rsid w:val="006F3257"/>
    <w:rsid w:val="006F36EE"/>
    <w:rsid w:val="006F523A"/>
    <w:rsid w:val="00700E7C"/>
    <w:rsid w:val="00703BD4"/>
    <w:rsid w:val="007056F5"/>
    <w:rsid w:val="00706A57"/>
    <w:rsid w:val="0070732A"/>
    <w:rsid w:val="00711F9D"/>
    <w:rsid w:val="00713CC5"/>
    <w:rsid w:val="00714AF9"/>
    <w:rsid w:val="00717139"/>
    <w:rsid w:val="00723803"/>
    <w:rsid w:val="007244DE"/>
    <w:rsid w:val="00727FE8"/>
    <w:rsid w:val="00731B24"/>
    <w:rsid w:val="00732541"/>
    <w:rsid w:val="0073506F"/>
    <w:rsid w:val="00735E4A"/>
    <w:rsid w:val="00736828"/>
    <w:rsid w:val="00740D83"/>
    <w:rsid w:val="007414B3"/>
    <w:rsid w:val="007451A4"/>
    <w:rsid w:val="00746BE3"/>
    <w:rsid w:val="007479AB"/>
    <w:rsid w:val="007510CC"/>
    <w:rsid w:val="007543E8"/>
    <w:rsid w:val="00760FDE"/>
    <w:rsid w:val="00761269"/>
    <w:rsid w:val="007618AE"/>
    <w:rsid w:val="007631A9"/>
    <w:rsid w:val="00763C0E"/>
    <w:rsid w:val="0076608B"/>
    <w:rsid w:val="007663DF"/>
    <w:rsid w:val="00770E00"/>
    <w:rsid w:val="007745BC"/>
    <w:rsid w:val="00774D74"/>
    <w:rsid w:val="00777260"/>
    <w:rsid w:val="00782360"/>
    <w:rsid w:val="00782F60"/>
    <w:rsid w:val="00783844"/>
    <w:rsid w:val="007869C8"/>
    <w:rsid w:val="00787597"/>
    <w:rsid w:val="00790DAA"/>
    <w:rsid w:val="00794E25"/>
    <w:rsid w:val="00795595"/>
    <w:rsid w:val="00795C6A"/>
    <w:rsid w:val="007977B7"/>
    <w:rsid w:val="00797D3E"/>
    <w:rsid w:val="007A1E24"/>
    <w:rsid w:val="007A246D"/>
    <w:rsid w:val="007A6200"/>
    <w:rsid w:val="007B0808"/>
    <w:rsid w:val="007B1FAA"/>
    <w:rsid w:val="007B30E5"/>
    <w:rsid w:val="007B3C39"/>
    <w:rsid w:val="007C2D01"/>
    <w:rsid w:val="007C2D98"/>
    <w:rsid w:val="007C56BA"/>
    <w:rsid w:val="007C6DF5"/>
    <w:rsid w:val="007D3BD5"/>
    <w:rsid w:val="007D3E1A"/>
    <w:rsid w:val="007E182F"/>
    <w:rsid w:val="007E20AC"/>
    <w:rsid w:val="007E4DCC"/>
    <w:rsid w:val="007E4EF3"/>
    <w:rsid w:val="007E65FD"/>
    <w:rsid w:val="007E69BA"/>
    <w:rsid w:val="007E6E11"/>
    <w:rsid w:val="007E7CC0"/>
    <w:rsid w:val="007F327F"/>
    <w:rsid w:val="007F3DFE"/>
    <w:rsid w:val="008032FF"/>
    <w:rsid w:val="0080590F"/>
    <w:rsid w:val="008068FE"/>
    <w:rsid w:val="00807294"/>
    <w:rsid w:val="008142B7"/>
    <w:rsid w:val="00817BBD"/>
    <w:rsid w:val="00822BC9"/>
    <w:rsid w:val="00823227"/>
    <w:rsid w:val="00823A63"/>
    <w:rsid w:val="008245B4"/>
    <w:rsid w:val="008271B7"/>
    <w:rsid w:val="00831459"/>
    <w:rsid w:val="00832479"/>
    <w:rsid w:val="00835C70"/>
    <w:rsid w:val="00837572"/>
    <w:rsid w:val="008425AE"/>
    <w:rsid w:val="00843475"/>
    <w:rsid w:val="00843F8A"/>
    <w:rsid w:val="008523A0"/>
    <w:rsid w:val="00853745"/>
    <w:rsid w:val="008552B8"/>
    <w:rsid w:val="00860A0C"/>
    <w:rsid w:val="008632EE"/>
    <w:rsid w:val="008641FA"/>
    <w:rsid w:val="00866A00"/>
    <w:rsid w:val="00867C6D"/>
    <w:rsid w:val="00872E23"/>
    <w:rsid w:val="00876813"/>
    <w:rsid w:val="00880BA7"/>
    <w:rsid w:val="00882342"/>
    <w:rsid w:val="00883D36"/>
    <w:rsid w:val="00885B53"/>
    <w:rsid w:val="00885D9B"/>
    <w:rsid w:val="00886A1D"/>
    <w:rsid w:val="00886AD0"/>
    <w:rsid w:val="008873F6"/>
    <w:rsid w:val="00892F32"/>
    <w:rsid w:val="00893102"/>
    <w:rsid w:val="00893941"/>
    <w:rsid w:val="00894099"/>
    <w:rsid w:val="00894BA6"/>
    <w:rsid w:val="008954DC"/>
    <w:rsid w:val="008A1A6F"/>
    <w:rsid w:val="008A1FB8"/>
    <w:rsid w:val="008A35AF"/>
    <w:rsid w:val="008A37C3"/>
    <w:rsid w:val="008A74ED"/>
    <w:rsid w:val="008A7552"/>
    <w:rsid w:val="008B1443"/>
    <w:rsid w:val="008B3780"/>
    <w:rsid w:val="008B59A5"/>
    <w:rsid w:val="008B6308"/>
    <w:rsid w:val="008C03BF"/>
    <w:rsid w:val="008C0896"/>
    <w:rsid w:val="008C0AA7"/>
    <w:rsid w:val="008C16BB"/>
    <w:rsid w:val="008C53B1"/>
    <w:rsid w:val="008C62AC"/>
    <w:rsid w:val="008C6D70"/>
    <w:rsid w:val="008D1846"/>
    <w:rsid w:val="008D3EB0"/>
    <w:rsid w:val="008D7C27"/>
    <w:rsid w:val="008D7ECF"/>
    <w:rsid w:val="008E4A61"/>
    <w:rsid w:val="008F216B"/>
    <w:rsid w:val="008F29B0"/>
    <w:rsid w:val="008F41C5"/>
    <w:rsid w:val="008F54EA"/>
    <w:rsid w:val="0090297A"/>
    <w:rsid w:val="00906D50"/>
    <w:rsid w:val="00910A62"/>
    <w:rsid w:val="0091230C"/>
    <w:rsid w:val="00912A7E"/>
    <w:rsid w:val="00912EF9"/>
    <w:rsid w:val="0091309D"/>
    <w:rsid w:val="00914E8C"/>
    <w:rsid w:val="00915029"/>
    <w:rsid w:val="00915F38"/>
    <w:rsid w:val="0091606C"/>
    <w:rsid w:val="00916DFD"/>
    <w:rsid w:val="00920183"/>
    <w:rsid w:val="00921468"/>
    <w:rsid w:val="009226F7"/>
    <w:rsid w:val="009230C0"/>
    <w:rsid w:val="00924D64"/>
    <w:rsid w:val="009275B6"/>
    <w:rsid w:val="0093321D"/>
    <w:rsid w:val="00935298"/>
    <w:rsid w:val="0093678D"/>
    <w:rsid w:val="00936A36"/>
    <w:rsid w:val="00937319"/>
    <w:rsid w:val="00940201"/>
    <w:rsid w:val="009419F7"/>
    <w:rsid w:val="00942376"/>
    <w:rsid w:val="00942BF5"/>
    <w:rsid w:val="00952189"/>
    <w:rsid w:val="00954C0A"/>
    <w:rsid w:val="0095538D"/>
    <w:rsid w:val="00970E4E"/>
    <w:rsid w:val="00972C97"/>
    <w:rsid w:val="00973FD0"/>
    <w:rsid w:val="00974991"/>
    <w:rsid w:val="00977CC4"/>
    <w:rsid w:val="009822D3"/>
    <w:rsid w:val="00983315"/>
    <w:rsid w:val="00986DA9"/>
    <w:rsid w:val="00991844"/>
    <w:rsid w:val="00991E80"/>
    <w:rsid w:val="00993136"/>
    <w:rsid w:val="009934DA"/>
    <w:rsid w:val="009950E9"/>
    <w:rsid w:val="009A01C7"/>
    <w:rsid w:val="009A267B"/>
    <w:rsid w:val="009A2948"/>
    <w:rsid w:val="009A5E72"/>
    <w:rsid w:val="009A755D"/>
    <w:rsid w:val="009B0830"/>
    <w:rsid w:val="009B0FAD"/>
    <w:rsid w:val="009B225A"/>
    <w:rsid w:val="009C0081"/>
    <w:rsid w:val="009C0448"/>
    <w:rsid w:val="009C1691"/>
    <w:rsid w:val="009C286A"/>
    <w:rsid w:val="009C2988"/>
    <w:rsid w:val="009C4BB3"/>
    <w:rsid w:val="009D00CD"/>
    <w:rsid w:val="009D265D"/>
    <w:rsid w:val="009D2F30"/>
    <w:rsid w:val="009D6F5F"/>
    <w:rsid w:val="009D7D01"/>
    <w:rsid w:val="009E352C"/>
    <w:rsid w:val="009F033B"/>
    <w:rsid w:val="00A00381"/>
    <w:rsid w:val="00A0194F"/>
    <w:rsid w:val="00A02919"/>
    <w:rsid w:val="00A02FEF"/>
    <w:rsid w:val="00A05939"/>
    <w:rsid w:val="00A102C9"/>
    <w:rsid w:val="00A11488"/>
    <w:rsid w:val="00A11B31"/>
    <w:rsid w:val="00A14E11"/>
    <w:rsid w:val="00A16125"/>
    <w:rsid w:val="00A2098A"/>
    <w:rsid w:val="00A2666A"/>
    <w:rsid w:val="00A2796E"/>
    <w:rsid w:val="00A30DDB"/>
    <w:rsid w:val="00A322CB"/>
    <w:rsid w:val="00A3600E"/>
    <w:rsid w:val="00A36B5B"/>
    <w:rsid w:val="00A459EA"/>
    <w:rsid w:val="00A46F4A"/>
    <w:rsid w:val="00A54E20"/>
    <w:rsid w:val="00A61836"/>
    <w:rsid w:val="00A61EA2"/>
    <w:rsid w:val="00A72350"/>
    <w:rsid w:val="00A76683"/>
    <w:rsid w:val="00A7787F"/>
    <w:rsid w:val="00A77FF6"/>
    <w:rsid w:val="00A802B9"/>
    <w:rsid w:val="00A80329"/>
    <w:rsid w:val="00A81ADD"/>
    <w:rsid w:val="00A82B93"/>
    <w:rsid w:val="00A854C5"/>
    <w:rsid w:val="00A90042"/>
    <w:rsid w:val="00A934AE"/>
    <w:rsid w:val="00A94E82"/>
    <w:rsid w:val="00A952F8"/>
    <w:rsid w:val="00A95B0D"/>
    <w:rsid w:val="00A9789E"/>
    <w:rsid w:val="00A978FA"/>
    <w:rsid w:val="00AA22CB"/>
    <w:rsid w:val="00AA363F"/>
    <w:rsid w:val="00AA419F"/>
    <w:rsid w:val="00AA5CBD"/>
    <w:rsid w:val="00AA7997"/>
    <w:rsid w:val="00AB0CDC"/>
    <w:rsid w:val="00AB19CC"/>
    <w:rsid w:val="00AB3212"/>
    <w:rsid w:val="00AB4B0A"/>
    <w:rsid w:val="00AC315D"/>
    <w:rsid w:val="00AC4A37"/>
    <w:rsid w:val="00AC709E"/>
    <w:rsid w:val="00AC79E6"/>
    <w:rsid w:val="00AD12FB"/>
    <w:rsid w:val="00AD4A18"/>
    <w:rsid w:val="00AD4EA6"/>
    <w:rsid w:val="00AE2E8B"/>
    <w:rsid w:val="00AE56E1"/>
    <w:rsid w:val="00AE5C6F"/>
    <w:rsid w:val="00AF118D"/>
    <w:rsid w:val="00AF353A"/>
    <w:rsid w:val="00AF5104"/>
    <w:rsid w:val="00AF6499"/>
    <w:rsid w:val="00AF7509"/>
    <w:rsid w:val="00B0104E"/>
    <w:rsid w:val="00B01487"/>
    <w:rsid w:val="00B029B0"/>
    <w:rsid w:val="00B0300F"/>
    <w:rsid w:val="00B04C47"/>
    <w:rsid w:val="00B07813"/>
    <w:rsid w:val="00B104E2"/>
    <w:rsid w:val="00B1099B"/>
    <w:rsid w:val="00B118CF"/>
    <w:rsid w:val="00B13C88"/>
    <w:rsid w:val="00B14C80"/>
    <w:rsid w:val="00B21A59"/>
    <w:rsid w:val="00B21AE8"/>
    <w:rsid w:val="00B21FEE"/>
    <w:rsid w:val="00B23D8C"/>
    <w:rsid w:val="00B24581"/>
    <w:rsid w:val="00B24AFF"/>
    <w:rsid w:val="00B2644D"/>
    <w:rsid w:val="00B26A61"/>
    <w:rsid w:val="00B30587"/>
    <w:rsid w:val="00B3508D"/>
    <w:rsid w:val="00B367D8"/>
    <w:rsid w:val="00B41D23"/>
    <w:rsid w:val="00B42897"/>
    <w:rsid w:val="00B45EBB"/>
    <w:rsid w:val="00B511A7"/>
    <w:rsid w:val="00B52D7C"/>
    <w:rsid w:val="00B56555"/>
    <w:rsid w:val="00B57E51"/>
    <w:rsid w:val="00B60142"/>
    <w:rsid w:val="00B618D4"/>
    <w:rsid w:val="00B71B3D"/>
    <w:rsid w:val="00B73EF5"/>
    <w:rsid w:val="00B74D6D"/>
    <w:rsid w:val="00B75E6C"/>
    <w:rsid w:val="00B778AF"/>
    <w:rsid w:val="00B77EA3"/>
    <w:rsid w:val="00B86789"/>
    <w:rsid w:val="00B87C43"/>
    <w:rsid w:val="00B91F53"/>
    <w:rsid w:val="00B93C04"/>
    <w:rsid w:val="00B95735"/>
    <w:rsid w:val="00BA072B"/>
    <w:rsid w:val="00BA7677"/>
    <w:rsid w:val="00BB017D"/>
    <w:rsid w:val="00BB0437"/>
    <w:rsid w:val="00BC32ED"/>
    <w:rsid w:val="00BD4A9C"/>
    <w:rsid w:val="00BD7C9E"/>
    <w:rsid w:val="00BD7FC2"/>
    <w:rsid w:val="00BE0F4D"/>
    <w:rsid w:val="00BE1986"/>
    <w:rsid w:val="00BE3721"/>
    <w:rsid w:val="00BE5C4D"/>
    <w:rsid w:val="00BE7DE1"/>
    <w:rsid w:val="00BF11C5"/>
    <w:rsid w:val="00BF2041"/>
    <w:rsid w:val="00BF3D1E"/>
    <w:rsid w:val="00BF77EF"/>
    <w:rsid w:val="00C00A24"/>
    <w:rsid w:val="00C011A1"/>
    <w:rsid w:val="00C02E39"/>
    <w:rsid w:val="00C03E9B"/>
    <w:rsid w:val="00C13539"/>
    <w:rsid w:val="00C1432E"/>
    <w:rsid w:val="00C14DA3"/>
    <w:rsid w:val="00C14E45"/>
    <w:rsid w:val="00C159DF"/>
    <w:rsid w:val="00C15A07"/>
    <w:rsid w:val="00C168DD"/>
    <w:rsid w:val="00C17191"/>
    <w:rsid w:val="00C177DD"/>
    <w:rsid w:val="00C17DBC"/>
    <w:rsid w:val="00C20292"/>
    <w:rsid w:val="00C20F1F"/>
    <w:rsid w:val="00C23A70"/>
    <w:rsid w:val="00C26F48"/>
    <w:rsid w:val="00C31080"/>
    <w:rsid w:val="00C323E8"/>
    <w:rsid w:val="00C32936"/>
    <w:rsid w:val="00C3372F"/>
    <w:rsid w:val="00C40665"/>
    <w:rsid w:val="00C40976"/>
    <w:rsid w:val="00C42B4C"/>
    <w:rsid w:val="00C42E97"/>
    <w:rsid w:val="00C4414A"/>
    <w:rsid w:val="00C44362"/>
    <w:rsid w:val="00C44EE4"/>
    <w:rsid w:val="00C457D4"/>
    <w:rsid w:val="00C52829"/>
    <w:rsid w:val="00C53104"/>
    <w:rsid w:val="00C54757"/>
    <w:rsid w:val="00C56C47"/>
    <w:rsid w:val="00C624C1"/>
    <w:rsid w:val="00C63AF7"/>
    <w:rsid w:val="00C64424"/>
    <w:rsid w:val="00C64DF0"/>
    <w:rsid w:val="00C64DFF"/>
    <w:rsid w:val="00C66771"/>
    <w:rsid w:val="00C67F3D"/>
    <w:rsid w:val="00C709D3"/>
    <w:rsid w:val="00C70C22"/>
    <w:rsid w:val="00C7513F"/>
    <w:rsid w:val="00C75CC6"/>
    <w:rsid w:val="00C80079"/>
    <w:rsid w:val="00C810D8"/>
    <w:rsid w:val="00C8162F"/>
    <w:rsid w:val="00C859FF"/>
    <w:rsid w:val="00C86930"/>
    <w:rsid w:val="00C87C6C"/>
    <w:rsid w:val="00C90D2F"/>
    <w:rsid w:val="00C95678"/>
    <w:rsid w:val="00C95867"/>
    <w:rsid w:val="00C95A68"/>
    <w:rsid w:val="00C96E1B"/>
    <w:rsid w:val="00CA2498"/>
    <w:rsid w:val="00CA3BAF"/>
    <w:rsid w:val="00CA6131"/>
    <w:rsid w:val="00CB2CC0"/>
    <w:rsid w:val="00CC3C15"/>
    <w:rsid w:val="00CC41B9"/>
    <w:rsid w:val="00CC4A2A"/>
    <w:rsid w:val="00CC550C"/>
    <w:rsid w:val="00CD240F"/>
    <w:rsid w:val="00CD2765"/>
    <w:rsid w:val="00CD2D74"/>
    <w:rsid w:val="00CD311F"/>
    <w:rsid w:val="00CE0E49"/>
    <w:rsid w:val="00CE200B"/>
    <w:rsid w:val="00CE30D5"/>
    <w:rsid w:val="00CE5DBF"/>
    <w:rsid w:val="00CE71FE"/>
    <w:rsid w:val="00CE7BD2"/>
    <w:rsid w:val="00CF1897"/>
    <w:rsid w:val="00CF28EB"/>
    <w:rsid w:val="00D03934"/>
    <w:rsid w:val="00D0603C"/>
    <w:rsid w:val="00D06604"/>
    <w:rsid w:val="00D06C33"/>
    <w:rsid w:val="00D07EEB"/>
    <w:rsid w:val="00D13BD5"/>
    <w:rsid w:val="00D140AE"/>
    <w:rsid w:val="00D153BF"/>
    <w:rsid w:val="00D16CC8"/>
    <w:rsid w:val="00D203F3"/>
    <w:rsid w:val="00D248B2"/>
    <w:rsid w:val="00D24A52"/>
    <w:rsid w:val="00D250C5"/>
    <w:rsid w:val="00D31663"/>
    <w:rsid w:val="00D32744"/>
    <w:rsid w:val="00D351F1"/>
    <w:rsid w:val="00D35F43"/>
    <w:rsid w:val="00D44213"/>
    <w:rsid w:val="00D45D35"/>
    <w:rsid w:val="00D47EF2"/>
    <w:rsid w:val="00D51EFC"/>
    <w:rsid w:val="00D53005"/>
    <w:rsid w:val="00D54ED6"/>
    <w:rsid w:val="00D560D4"/>
    <w:rsid w:val="00D61696"/>
    <w:rsid w:val="00D622DC"/>
    <w:rsid w:val="00D62D42"/>
    <w:rsid w:val="00D65B1A"/>
    <w:rsid w:val="00D703CA"/>
    <w:rsid w:val="00D71E2F"/>
    <w:rsid w:val="00D72E53"/>
    <w:rsid w:val="00D777B6"/>
    <w:rsid w:val="00D8125A"/>
    <w:rsid w:val="00D81FB2"/>
    <w:rsid w:val="00D90BFB"/>
    <w:rsid w:val="00D91EDA"/>
    <w:rsid w:val="00D93929"/>
    <w:rsid w:val="00D94C93"/>
    <w:rsid w:val="00D97F57"/>
    <w:rsid w:val="00DA1B68"/>
    <w:rsid w:val="00DA463C"/>
    <w:rsid w:val="00DA6F45"/>
    <w:rsid w:val="00DB196D"/>
    <w:rsid w:val="00DB3F48"/>
    <w:rsid w:val="00DB458F"/>
    <w:rsid w:val="00DB533B"/>
    <w:rsid w:val="00DB5850"/>
    <w:rsid w:val="00DC3450"/>
    <w:rsid w:val="00DC3EEC"/>
    <w:rsid w:val="00DC40C4"/>
    <w:rsid w:val="00DC6723"/>
    <w:rsid w:val="00DC7CD8"/>
    <w:rsid w:val="00DD1C2F"/>
    <w:rsid w:val="00DD1EC2"/>
    <w:rsid w:val="00DD44A0"/>
    <w:rsid w:val="00DE0963"/>
    <w:rsid w:val="00DE292F"/>
    <w:rsid w:val="00DE2FEB"/>
    <w:rsid w:val="00DE3635"/>
    <w:rsid w:val="00DE4553"/>
    <w:rsid w:val="00DE5855"/>
    <w:rsid w:val="00DE620E"/>
    <w:rsid w:val="00DE6BBE"/>
    <w:rsid w:val="00DE7227"/>
    <w:rsid w:val="00DE79EB"/>
    <w:rsid w:val="00DF0E1B"/>
    <w:rsid w:val="00DF257F"/>
    <w:rsid w:val="00DF45A4"/>
    <w:rsid w:val="00E005E6"/>
    <w:rsid w:val="00E00D0C"/>
    <w:rsid w:val="00E0286F"/>
    <w:rsid w:val="00E02ABC"/>
    <w:rsid w:val="00E03675"/>
    <w:rsid w:val="00E037B4"/>
    <w:rsid w:val="00E05CE0"/>
    <w:rsid w:val="00E07DBB"/>
    <w:rsid w:val="00E10CD3"/>
    <w:rsid w:val="00E1134A"/>
    <w:rsid w:val="00E11386"/>
    <w:rsid w:val="00E117D7"/>
    <w:rsid w:val="00E13AFB"/>
    <w:rsid w:val="00E14E2D"/>
    <w:rsid w:val="00E15B55"/>
    <w:rsid w:val="00E200CC"/>
    <w:rsid w:val="00E21526"/>
    <w:rsid w:val="00E23239"/>
    <w:rsid w:val="00E31C11"/>
    <w:rsid w:val="00E41314"/>
    <w:rsid w:val="00E43ACD"/>
    <w:rsid w:val="00E459B9"/>
    <w:rsid w:val="00E46F8F"/>
    <w:rsid w:val="00E4783C"/>
    <w:rsid w:val="00E51B23"/>
    <w:rsid w:val="00E5243F"/>
    <w:rsid w:val="00E5519B"/>
    <w:rsid w:val="00E57E47"/>
    <w:rsid w:val="00E6178A"/>
    <w:rsid w:val="00E61CA7"/>
    <w:rsid w:val="00E651D4"/>
    <w:rsid w:val="00E65306"/>
    <w:rsid w:val="00E6623C"/>
    <w:rsid w:val="00E762A3"/>
    <w:rsid w:val="00E82067"/>
    <w:rsid w:val="00E85E80"/>
    <w:rsid w:val="00E85EA9"/>
    <w:rsid w:val="00E866F4"/>
    <w:rsid w:val="00E86F63"/>
    <w:rsid w:val="00E87C92"/>
    <w:rsid w:val="00E90293"/>
    <w:rsid w:val="00E910F1"/>
    <w:rsid w:val="00E94624"/>
    <w:rsid w:val="00E96AEF"/>
    <w:rsid w:val="00E9790A"/>
    <w:rsid w:val="00EA0558"/>
    <w:rsid w:val="00EA0DDF"/>
    <w:rsid w:val="00EA11C7"/>
    <w:rsid w:val="00EA23F3"/>
    <w:rsid w:val="00EA2488"/>
    <w:rsid w:val="00EB070C"/>
    <w:rsid w:val="00EB16F5"/>
    <w:rsid w:val="00EC1974"/>
    <w:rsid w:val="00EC4E69"/>
    <w:rsid w:val="00EC61A5"/>
    <w:rsid w:val="00EE270A"/>
    <w:rsid w:val="00EE3CDB"/>
    <w:rsid w:val="00EE53A5"/>
    <w:rsid w:val="00EE6946"/>
    <w:rsid w:val="00EE72BD"/>
    <w:rsid w:val="00EE7561"/>
    <w:rsid w:val="00EF08DF"/>
    <w:rsid w:val="00EF0972"/>
    <w:rsid w:val="00EF150F"/>
    <w:rsid w:val="00EF6481"/>
    <w:rsid w:val="00EF66B9"/>
    <w:rsid w:val="00EF6FA6"/>
    <w:rsid w:val="00F05792"/>
    <w:rsid w:val="00F05B22"/>
    <w:rsid w:val="00F12911"/>
    <w:rsid w:val="00F157B0"/>
    <w:rsid w:val="00F17BB7"/>
    <w:rsid w:val="00F200B7"/>
    <w:rsid w:val="00F20FC8"/>
    <w:rsid w:val="00F22D98"/>
    <w:rsid w:val="00F236AB"/>
    <w:rsid w:val="00F23D19"/>
    <w:rsid w:val="00F262A3"/>
    <w:rsid w:val="00F33029"/>
    <w:rsid w:val="00F34E2F"/>
    <w:rsid w:val="00F36031"/>
    <w:rsid w:val="00F4072D"/>
    <w:rsid w:val="00F4221B"/>
    <w:rsid w:val="00F4304F"/>
    <w:rsid w:val="00F43B95"/>
    <w:rsid w:val="00F46CBE"/>
    <w:rsid w:val="00F51363"/>
    <w:rsid w:val="00F5333D"/>
    <w:rsid w:val="00F53DDE"/>
    <w:rsid w:val="00F54E65"/>
    <w:rsid w:val="00F56549"/>
    <w:rsid w:val="00F608BB"/>
    <w:rsid w:val="00F6197E"/>
    <w:rsid w:val="00F65447"/>
    <w:rsid w:val="00F658F5"/>
    <w:rsid w:val="00F67831"/>
    <w:rsid w:val="00F70A27"/>
    <w:rsid w:val="00F732D5"/>
    <w:rsid w:val="00F736FD"/>
    <w:rsid w:val="00F73E22"/>
    <w:rsid w:val="00F76E22"/>
    <w:rsid w:val="00F85E0E"/>
    <w:rsid w:val="00F863F2"/>
    <w:rsid w:val="00F86D36"/>
    <w:rsid w:val="00F9043F"/>
    <w:rsid w:val="00F916BA"/>
    <w:rsid w:val="00F95010"/>
    <w:rsid w:val="00FA1DAE"/>
    <w:rsid w:val="00FA2081"/>
    <w:rsid w:val="00FA20A1"/>
    <w:rsid w:val="00FA3D2F"/>
    <w:rsid w:val="00FA6094"/>
    <w:rsid w:val="00FA70E7"/>
    <w:rsid w:val="00FA72A5"/>
    <w:rsid w:val="00FB2C84"/>
    <w:rsid w:val="00FB5C65"/>
    <w:rsid w:val="00FB6F66"/>
    <w:rsid w:val="00FB7A62"/>
    <w:rsid w:val="00FC1ED2"/>
    <w:rsid w:val="00FC26B5"/>
    <w:rsid w:val="00FC760F"/>
    <w:rsid w:val="00FD144B"/>
    <w:rsid w:val="00FD30B3"/>
    <w:rsid w:val="00FD30FF"/>
    <w:rsid w:val="00FD599B"/>
    <w:rsid w:val="00FD7AFF"/>
    <w:rsid w:val="00FE06E7"/>
    <w:rsid w:val="00FE4D4E"/>
    <w:rsid w:val="00FE4F1C"/>
    <w:rsid w:val="00FE5134"/>
    <w:rsid w:val="00FE5206"/>
    <w:rsid w:val="00FE543B"/>
    <w:rsid w:val="00FF7BCC"/>
    <w:rsid w:val="010B094E"/>
    <w:rsid w:val="0125487A"/>
    <w:rsid w:val="01517A09"/>
    <w:rsid w:val="016E2F6B"/>
    <w:rsid w:val="01752D51"/>
    <w:rsid w:val="017975A4"/>
    <w:rsid w:val="0186501F"/>
    <w:rsid w:val="018D5D32"/>
    <w:rsid w:val="01C7054A"/>
    <w:rsid w:val="01D83D73"/>
    <w:rsid w:val="01DD250A"/>
    <w:rsid w:val="01FC64FB"/>
    <w:rsid w:val="024F018A"/>
    <w:rsid w:val="026929FF"/>
    <w:rsid w:val="026E4EC8"/>
    <w:rsid w:val="02741132"/>
    <w:rsid w:val="028019EA"/>
    <w:rsid w:val="02841FD6"/>
    <w:rsid w:val="029702A0"/>
    <w:rsid w:val="02A8438E"/>
    <w:rsid w:val="02A97E39"/>
    <w:rsid w:val="02CF15B4"/>
    <w:rsid w:val="02F04CDF"/>
    <w:rsid w:val="030F46AB"/>
    <w:rsid w:val="036D0DF1"/>
    <w:rsid w:val="03760E31"/>
    <w:rsid w:val="03B150BB"/>
    <w:rsid w:val="03E14AE1"/>
    <w:rsid w:val="03E728AA"/>
    <w:rsid w:val="03EB5794"/>
    <w:rsid w:val="03ED664A"/>
    <w:rsid w:val="040A123A"/>
    <w:rsid w:val="041E2B0D"/>
    <w:rsid w:val="043208F6"/>
    <w:rsid w:val="043764FF"/>
    <w:rsid w:val="043E3FAE"/>
    <w:rsid w:val="04741D01"/>
    <w:rsid w:val="0483554C"/>
    <w:rsid w:val="049004B8"/>
    <w:rsid w:val="049E0F81"/>
    <w:rsid w:val="04A6737E"/>
    <w:rsid w:val="04AC5DEA"/>
    <w:rsid w:val="04B54C82"/>
    <w:rsid w:val="04BA042B"/>
    <w:rsid w:val="04BD5452"/>
    <w:rsid w:val="04C4684B"/>
    <w:rsid w:val="04C73166"/>
    <w:rsid w:val="04DE1A2F"/>
    <w:rsid w:val="04E0758D"/>
    <w:rsid w:val="04E9536D"/>
    <w:rsid w:val="04F54E15"/>
    <w:rsid w:val="050D5D58"/>
    <w:rsid w:val="050F6E7F"/>
    <w:rsid w:val="051E0AE5"/>
    <w:rsid w:val="0539426F"/>
    <w:rsid w:val="054C5166"/>
    <w:rsid w:val="05541835"/>
    <w:rsid w:val="05597C7C"/>
    <w:rsid w:val="055B528B"/>
    <w:rsid w:val="05670FDF"/>
    <w:rsid w:val="057144B6"/>
    <w:rsid w:val="05737E86"/>
    <w:rsid w:val="0578646C"/>
    <w:rsid w:val="0587526F"/>
    <w:rsid w:val="059402B1"/>
    <w:rsid w:val="05A44269"/>
    <w:rsid w:val="05A62BEE"/>
    <w:rsid w:val="05B11D69"/>
    <w:rsid w:val="05E973A2"/>
    <w:rsid w:val="05EC5E79"/>
    <w:rsid w:val="05F576F1"/>
    <w:rsid w:val="05FB4763"/>
    <w:rsid w:val="06117C05"/>
    <w:rsid w:val="061244FF"/>
    <w:rsid w:val="06152582"/>
    <w:rsid w:val="06152BE0"/>
    <w:rsid w:val="062055CC"/>
    <w:rsid w:val="062E7FE4"/>
    <w:rsid w:val="063D4774"/>
    <w:rsid w:val="064D6F2A"/>
    <w:rsid w:val="065E2CDF"/>
    <w:rsid w:val="066B515D"/>
    <w:rsid w:val="066E3B5B"/>
    <w:rsid w:val="067C4962"/>
    <w:rsid w:val="069D2590"/>
    <w:rsid w:val="06A806AD"/>
    <w:rsid w:val="06B93AC2"/>
    <w:rsid w:val="06BA2743"/>
    <w:rsid w:val="06BE6CFC"/>
    <w:rsid w:val="06C232EF"/>
    <w:rsid w:val="06CD662A"/>
    <w:rsid w:val="06DC5A8E"/>
    <w:rsid w:val="06E63279"/>
    <w:rsid w:val="06F00366"/>
    <w:rsid w:val="06FB7859"/>
    <w:rsid w:val="070834D4"/>
    <w:rsid w:val="070B7325"/>
    <w:rsid w:val="070F65B7"/>
    <w:rsid w:val="07165E14"/>
    <w:rsid w:val="071A7D37"/>
    <w:rsid w:val="071F5CB8"/>
    <w:rsid w:val="072D57D8"/>
    <w:rsid w:val="072F5DE7"/>
    <w:rsid w:val="07347E2A"/>
    <w:rsid w:val="07590FFD"/>
    <w:rsid w:val="075C73CF"/>
    <w:rsid w:val="07662C4A"/>
    <w:rsid w:val="076B6BC4"/>
    <w:rsid w:val="07720AC5"/>
    <w:rsid w:val="079024B1"/>
    <w:rsid w:val="07910333"/>
    <w:rsid w:val="07A5554D"/>
    <w:rsid w:val="07A71A5E"/>
    <w:rsid w:val="07BE5114"/>
    <w:rsid w:val="07DE7354"/>
    <w:rsid w:val="07E53D0A"/>
    <w:rsid w:val="07EC5CC2"/>
    <w:rsid w:val="07EE1D3D"/>
    <w:rsid w:val="07F12F62"/>
    <w:rsid w:val="08453A3C"/>
    <w:rsid w:val="08557604"/>
    <w:rsid w:val="086659E8"/>
    <w:rsid w:val="08742405"/>
    <w:rsid w:val="08765A6D"/>
    <w:rsid w:val="087D3F16"/>
    <w:rsid w:val="08851D75"/>
    <w:rsid w:val="08973473"/>
    <w:rsid w:val="089F427A"/>
    <w:rsid w:val="08A07814"/>
    <w:rsid w:val="08A50E61"/>
    <w:rsid w:val="08B71D4D"/>
    <w:rsid w:val="08EF7014"/>
    <w:rsid w:val="08F02E75"/>
    <w:rsid w:val="08F17241"/>
    <w:rsid w:val="08FB7D09"/>
    <w:rsid w:val="09062EC2"/>
    <w:rsid w:val="091A69D1"/>
    <w:rsid w:val="091F1B26"/>
    <w:rsid w:val="092950EF"/>
    <w:rsid w:val="09383D53"/>
    <w:rsid w:val="093B5749"/>
    <w:rsid w:val="095255EA"/>
    <w:rsid w:val="095557D8"/>
    <w:rsid w:val="097C74D3"/>
    <w:rsid w:val="09822470"/>
    <w:rsid w:val="09840577"/>
    <w:rsid w:val="09915997"/>
    <w:rsid w:val="09A879BA"/>
    <w:rsid w:val="09AC453A"/>
    <w:rsid w:val="09AE4B56"/>
    <w:rsid w:val="09B430BC"/>
    <w:rsid w:val="09BE05E5"/>
    <w:rsid w:val="09D113EB"/>
    <w:rsid w:val="09EA02A2"/>
    <w:rsid w:val="09EC1535"/>
    <w:rsid w:val="09F33C67"/>
    <w:rsid w:val="09FF2321"/>
    <w:rsid w:val="0A097DAF"/>
    <w:rsid w:val="0A134F1F"/>
    <w:rsid w:val="0A171B56"/>
    <w:rsid w:val="0A1A72AB"/>
    <w:rsid w:val="0A4D33CC"/>
    <w:rsid w:val="0A4E24EB"/>
    <w:rsid w:val="0A5A6246"/>
    <w:rsid w:val="0A642C4E"/>
    <w:rsid w:val="0A681C77"/>
    <w:rsid w:val="0A6D3A51"/>
    <w:rsid w:val="0A7C3F14"/>
    <w:rsid w:val="0A7F4E1A"/>
    <w:rsid w:val="0A825631"/>
    <w:rsid w:val="0A864007"/>
    <w:rsid w:val="0A8835CA"/>
    <w:rsid w:val="0AA5663D"/>
    <w:rsid w:val="0AB80957"/>
    <w:rsid w:val="0ACA5A6E"/>
    <w:rsid w:val="0AD76DE6"/>
    <w:rsid w:val="0AD82DCC"/>
    <w:rsid w:val="0AE558C6"/>
    <w:rsid w:val="0B080BFA"/>
    <w:rsid w:val="0B111681"/>
    <w:rsid w:val="0B2F43C1"/>
    <w:rsid w:val="0B412D99"/>
    <w:rsid w:val="0B5908F0"/>
    <w:rsid w:val="0B5915E4"/>
    <w:rsid w:val="0B5E578B"/>
    <w:rsid w:val="0B8767DF"/>
    <w:rsid w:val="0B9F16EF"/>
    <w:rsid w:val="0BA46C65"/>
    <w:rsid w:val="0BA52CC8"/>
    <w:rsid w:val="0BAB6B6A"/>
    <w:rsid w:val="0BAE2E65"/>
    <w:rsid w:val="0BB42A98"/>
    <w:rsid w:val="0BDB2ECD"/>
    <w:rsid w:val="0BED00BE"/>
    <w:rsid w:val="0BFC7550"/>
    <w:rsid w:val="0BFD0CEA"/>
    <w:rsid w:val="0C0E78C8"/>
    <w:rsid w:val="0C0F5E5F"/>
    <w:rsid w:val="0C1252B8"/>
    <w:rsid w:val="0C25261E"/>
    <w:rsid w:val="0C4D324A"/>
    <w:rsid w:val="0C5D15DD"/>
    <w:rsid w:val="0C6253F3"/>
    <w:rsid w:val="0CA8253E"/>
    <w:rsid w:val="0CE25513"/>
    <w:rsid w:val="0CE36163"/>
    <w:rsid w:val="0CE407A5"/>
    <w:rsid w:val="0CE83127"/>
    <w:rsid w:val="0CE95BE6"/>
    <w:rsid w:val="0CF05C95"/>
    <w:rsid w:val="0CF3194A"/>
    <w:rsid w:val="0D0479CE"/>
    <w:rsid w:val="0D055E72"/>
    <w:rsid w:val="0D0E3587"/>
    <w:rsid w:val="0D0F69E0"/>
    <w:rsid w:val="0D117D19"/>
    <w:rsid w:val="0D142216"/>
    <w:rsid w:val="0D3421EA"/>
    <w:rsid w:val="0D3607D1"/>
    <w:rsid w:val="0D37771C"/>
    <w:rsid w:val="0D4760ED"/>
    <w:rsid w:val="0D711699"/>
    <w:rsid w:val="0D737D94"/>
    <w:rsid w:val="0D9244FD"/>
    <w:rsid w:val="0D97788C"/>
    <w:rsid w:val="0DB51D20"/>
    <w:rsid w:val="0DC42C76"/>
    <w:rsid w:val="0DDD6667"/>
    <w:rsid w:val="0DEF4E3A"/>
    <w:rsid w:val="0DF358A2"/>
    <w:rsid w:val="0DF81EF2"/>
    <w:rsid w:val="0DF92A65"/>
    <w:rsid w:val="0E061020"/>
    <w:rsid w:val="0E1938C1"/>
    <w:rsid w:val="0E3C6DED"/>
    <w:rsid w:val="0E485BEC"/>
    <w:rsid w:val="0E654CA2"/>
    <w:rsid w:val="0E7F34BF"/>
    <w:rsid w:val="0E9C0DC4"/>
    <w:rsid w:val="0EB04559"/>
    <w:rsid w:val="0EC37AEF"/>
    <w:rsid w:val="0EC451B5"/>
    <w:rsid w:val="0EE439FF"/>
    <w:rsid w:val="0EFD3824"/>
    <w:rsid w:val="0F101A57"/>
    <w:rsid w:val="0F191FB1"/>
    <w:rsid w:val="0F1A6774"/>
    <w:rsid w:val="0F1B0671"/>
    <w:rsid w:val="0F295CA3"/>
    <w:rsid w:val="0F4C7AF0"/>
    <w:rsid w:val="0F4F1795"/>
    <w:rsid w:val="0F510323"/>
    <w:rsid w:val="0F523595"/>
    <w:rsid w:val="0F544B1D"/>
    <w:rsid w:val="0F590A0D"/>
    <w:rsid w:val="0FBE10B7"/>
    <w:rsid w:val="0FBE6745"/>
    <w:rsid w:val="0FD325B2"/>
    <w:rsid w:val="0FDD0C5B"/>
    <w:rsid w:val="0FE73532"/>
    <w:rsid w:val="0FF0600C"/>
    <w:rsid w:val="0FF90BC3"/>
    <w:rsid w:val="101314AD"/>
    <w:rsid w:val="103D2787"/>
    <w:rsid w:val="103D3755"/>
    <w:rsid w:val="103E3E4E"/>
    <w:rsid w:val="10567B7E"/>
    <w:rsid w:val="107923F7"/>
    <w:rsid w:val="10D543A2"/>
    <w:rsid w:val="112B2EE8"/>
    <w:rsid w:val="11320CF3"/>
    <w:rsid w:val="113B2C94"/>
    <w:rsid w:val="11412247"/>
    <w:rsid w:val="115637F9"/>
    <w:rsid w:val="1166076F"/>
    <w:rsid w:val="11953524"/>
    <w:rsid w:val="11AA6F50"/>
    <w:rsid w:val="11B07D78"/>
    <w:rsid w:val="11C806B4"/>
    <w:rsid w:val="11CC1E74"/>
    <w:rsid w:val="11D8225A"/>
    <w:rsid w:val="11DE07AB"/>
    <w:rsid w:val="12346D0A"/>
    <w:rsid w:val="12482CF7"/>
    <w:rsid w:val="1256649A"/>
    <w:rsid w:val="1269031D"/>
    <w:rsid w:val="12AB7D9F"/>
    <w:rsid w:val="12AC07C0"/>
    <w:rsid w:val="12B10C97"/>
    <w:rsid w:val="12C603C4"/>
    <w:rsid w:val="12C669CB"/>
    <w:rsid w:val="12C76B5C"/>
    <w:rsid w:val="12CB4AEE"/>
    <w:rsid w:val="12D0036B"/>
    <w:rsid w:val="12D65EAF"/>
    <w:rsid w:val="12D720AC"/>
    <w:rsid w:val="12E30D70"/>
    <w:rsid w:val="12E36F14"/>
    <w:rsid w:val="12EF3A60"/>
    <w:rsid w:val="12EF3D4D"/>
    <w:rsid w:val="12F36B75"/>
    <w:rsid w:val="12F65C89"/>
    <w:rsid w:val="13036626"/>
    <w:rsid w:val="13151215"/>
    <w:rsid w:val="132C3866"/>
    <w:rsid w:val="133824D0"/>
    <w:rsid w:val="133A4434"/>
    <w:rsid w:val="13527376"/>
    <w:rsid w:val="135350C1"/>
    <w:rsid w:val="135A150F"/>
    <w:rsid w:val="138D02A9"/>
    <w:rsid w:val="138F7FD3"/>
    <w:rsid w:val="13B015C5"/>
    <w:rsid w:val="13D9057D"/>
    <w:rsid w:val="13F34EC9"/>
    <w:rsid w:val="142121F7"/>
    <w:rsid w:val="14233391"/>
    <w:rsid w:val="142B356F"/>
    <w:rsid w:val="14373CDC"/>
    <w:rsid w:val="1438619F"/>
    <w:rsid w:val="143C195C"/>
    <w:rsid w:val="14456D00"/>
    <w:rsid w:val="144E0F24"/>
    <w:rsid w:val="1468750F"/>
    <w:rsid w:val="1473219D"/>
    <w:rsid w:val="1499024E"/>
    <w:rsid w:val="14B71FE1"/>
    <w:rsid w:val="14C75F81"/>
    <w:rsid w:val="14CA5AF5"/>
    <w:rsid w:val="14E1485C"/>
    <w:rsid w:val="14EB57EE"/>
    <w:rsid w:val="14F6713B"/>
    <w:rsid w:val="14FE488C"/>
    <w:rsid w:val="15141C55"/>
    <w:rsid w:val="151F3C76"/>
    <w:rsid w:val="153B160D"/>
    <w:rsid w:val="15476157"/>
    <w:rsid w:val="15533BEE"/>
    <w:rsid w:val="1562305B"/>
    <w:rsid w:val="156A6B04"/>
    <w:rsid w:val="15730235"/>
    <w:rsid w:val="15773139"/>
    <w:rsid w:val="157D344D"/>
    <w:rsid w:val="159A2F06"/>
    <w:rsid w:val="15BB362B"/>
    <w:rsid w:val="15BC4236"/>
    <w:rsid w:val="15C725B9"/>
    <w:rsid w:val="15D66938"/>
    <w:rsid w:val="15DE5797"/>
    <w:rsid w:val="16045F7E"/>
    <w:rsid w:val="16084D64"/>
    <w:rsid w:val="160A084B"/>
    <w:rsid w:val="161A52FA"/>
    <w:rsid w:val="16235F5C"/>
    <w:rsid w:val="165D19A0"/>
    <w:rsid w:val="166C6FB9"/>
    <w:rsid w:val="16785A5D"/>
    <w:rsid w:val="167D0BD0"/>
    <w:rsid w:val="1684425A"/>
    <w:rsid w:val="168542EA"/>
    <w:rsid w:val="1689195E"/>
    <w:rsid w:val="169B13F4"/>
    <w:rsid w:val="16A60845"/>
    <w:rsid w:val="16A64E9A"/>
    <w:rsid w:val="16AE2F47"/>
    <w:rsid w:val="16AF2614"/>
    <w:rsid w:val="16B0457D"/>
    <w:rsid w:val="16B91467"/>
    <w:rsid w:val="16C12D24"/>
    <w:rsid w:val="16E9446C"/>
    <w:rsid w:val="16EC4A13"/>
    <w:rsid w:val="16F101FB"/>
    <w:rsid w:val="16F11E78"/>
    <w:rsid w:val="16F508B4"/>
    <w:rsid w:val="17016E68"/>
    <w:rsid w:val="1704759E"/>
    <w:rsid w:val="170727EC"/>
    <w:rsid w:val="17084916"/>
    <w:rsid w:val="171846A3"/>
    <w:rsid w:val="17190FB7"/>
    <w:rsid w:val="171F1CC4"/>
    <w:rsid w:val="172443F6"/>
    <w:rsid w:val="172E3C78"/>
    <w:rsid w:val="174F548C"/>
    <w:rsid w:val="17714DEB"/>
    <w:rsid w:val="1780598B"/>
    <w:rsid w:val="179C6093"/>
    <w:rsid w:val="17AC2445"/>
    <w:rsid w:val="17F365EC"/>
    <w:rsid w:val="18180C30"/>
    <w:rsid w:val="181A4948"/>
    <w:rsid w:val="182146AB"/>
    <w:rsid w:val="1830215E"/>
    <w:rsid w:val="184E58BA"/>
    <w:rsid w:val="186C1E67"/>
    <w:rsid w:val="188B7F5E"/>
    <w:rsid w:val="18B134BA"/>
    <w:rsid w:val="18D52C8C"/>
    <w:rsid w:val="18D90E21"/>
    <w:rsid w:val="18DF7C4C"/>
    <w:rsid w:val="18F5554D"/>
    <w:rsid w:val="18F8077E"/>
    <w:rsid w:val="18FF43AA"/>
    <w:rsid w:val="19164AD0"/>
    <w:rsid w:val="191C1AE0"/>
    <w:rsid w:val="19401E1F"/>
    <w:rsid w:val="195046DF"/>
    <w:rsid w:val="19590507"/>
    <w:rsid w:val="195C1E1A"/>
    <w:rsid w:val="195F0788"/>
    <w:rsid w:val="196A7B32"/>
    <w:rsid w:val="196B6C52"/>
    <w:rsid w:val="197432A1"/>
    <w:rsid w:val="197874D5"/>
    <w:rsid w:val="197B25ED"/>
    <w:rsid w:val="19A4516F"/>
    <w:rsid w:val="19A97CAF"/>
    <w:rsid w:val="19AB3D81"/>
    <w:rsid w:val="19BB4090"/>
    <w:rsid w:val="19DA1AF8"/>
    <w:rsid w:val="19DD598F"/>
    <w:rsid w:val="19EA21ED"/>
    <w:rsid w:val="19F61EEA"/>
    <w:rsid w:val="1A2E6FA4"/>
    <w:rsid w:val="1A3124AF"/>
    <w:rsid w:val="1A3416C3"/>
    <w:rsid w:val="1A3B0898"/>
    <w:rsid w:val="1A431508"/>
    <w:rsid w:val="1A583C65"/>
    <w:rsid w:val="1A5A6471"/>
    <w:rsid w:val="1A645005"/>
    <w:rsid w:val="1A656C7F"/>
    <w:rsid w:val="1A683242"/>
    <w:rsid w:val="1A6D24F4"/>
    <w:rsid w:val="1A773844"/>
    <w:rsid w:val="1A7B5067"/>
    <w:rsid w:val="1ACE1C68"/>
    <w:rsid w:val="1B0724B6"/>
    <w:rsid w:val="1B49611E"/>
    <w:rsid w:val="1B5E2F00"/>
    <w:rsid w:val="1B940B1A"/>
    <w:rsid w:val="1B9674E0"/>
    <w:rsid w:val="1BA737F4"/>
    <w:rsid w:val="1BB83431"/>
    <w:rsid w:val="1BBF48B9"/>
    <w:rsid w:val="1BC07463"/>
    <w:rsid w:val="1BD51290"/>
    <w:rsid w:val="1BE64F9F"/>
    <w:rsid w:val="1BF63C7A"/>
    <w:rsid w:val="1BFC0F15"/>
    <w:rsid w:val="1C261E70"/>
    <w:rsid w:val="1C4529B6"/>
    <w:rsid w:val="1C4D5DA7"/>
    <w:rsid w:val="1C647970"/>
    <w:rsid w:val="1C7851C9"/>
    <w:rsid w:val="1CA13151"/>
    <w:rsid w:val="1CC2057A"/>
    <w:rsid w:val="1CCD2967"/>
    <w:rsid w:val="1CE0228A"/>
    <w:rsid w:val="1CE06EC6"/>
    <w:rsid w:val="1D0815C2"/>
    <w:rsid w:val="1D1723F1"/>
    <w:rsid w:val="1D1B1917"/>
    <w:rsid w:val="1D1D6D80"/>
    <w:rsid w:val="1D4414F9"/>
    <w:rsid w:val="1D466EE5"/>
    <w:rsid w:val="1D72420E"/>
    <w:rsid w:val="1D740A3B"/>
    <w:rsid w:val="1D772A03"/>
    <w:rsid w:val="1D815388"/>
    <w:rsid w:val="1D843A64"/>
    <w:rsid w:val="1D865857"/>
    <w:rsid w:val="1D9319BB"/>
    <w:rsid w:val="1DA676EA"/>
    <w:rsid w:val="1DAB4D3C"/>
    <w:rsid w:val="1DB53DAB"/>
    <w:rsid w:val="1DC163B2"/>
    <w:rsid w:val="1DCB3B09"/>
    <w:rsid w:val="1DCC1260"/>
    <w:rsid w:val="1DEE56AA"/>
    <w:rsid w:val="1E0418FF"/>
    <w:rsid w:val="1E3002EA"/>
    <w:rsid w:val="1E437BF1"/>
    <w:rsid w:val="1E504BCC"/>
    <w:rsid w:val="1E5D1696"/>
    <w:rsid w:val="1E843339"/>
    <w:rsid w:val="1E9E575F"/>
    <w:rsid w:val="1EA25C26"/>
    <w:rsid w:val="1EA4144C"/>
    <w:rsid w:val="1EAF7B09"/>
    <w:rsid w:val="1EC34FA5"/>
    <w:rsid w:val="1EEC2070"/>
    <w:rsid w:val="1F0F61B1"/>
    <w:rsid w:val="1F451DB1"/>
    <w:rsid w:val="1F4D5444"/>
    <w:rsid w:val="1F6B6BD0"/>
    <w:rsid w:val="1F76782A"/>
    <w:rsid w:val="1F7D6E36"/>
    <w:rsid w:val="1F9B7A43"/>
    <w:rsid w:val="1FA61436"/>
    <w:rsid w:val="1FA657A4"/>
    <w:rsid w:val="1FB44D91"/>
    <w:rsid w:val="1FFF6AB0"/>
    <w:rsid w:val="20026D25"/>
    <w:rsid w:val="200A5F5B"/>
    <w:rsid w:val="2012468D"/>
    <w:rsid w:val="202950DD"/>
    <w:rsid w:val="202F5850"/>
    <w:rsid w:val="2036600B"/>
    <w:rsid w:val="203776CF"/>
    <w:rsid w:val="203C4B95"/>
    <w:rsid w:val="2052507E"/>
    <w:rsid w:val="2068176D"/>
    <w:rsid w:val="20752580"/>
    <w:rsid w:val="20945297"/>
    <w:rsid w:val="20947745"/>
    <w:rsid w:val="20AE364B"/>
    <w:rsid w:val="20B02CF6"/>
    <w:rsid w:val="20BE7DC0"/>
    <w:rsid w:val="20C374F5"/>
    <w:rsid w:val="20C42750"/>
    <w:rsid w:val="20CF3777"/>
    <w:rsid w:val="20E06466"/>
    <w:rsid w:val="20EC2E5A"/>
    <w:rsid w:val="20F25187"/>
    <w:rsid w:val="21976E18"/>
    <w:rsid w:val="21996223"/>
    <w:rsid w:val="219B1576"/>
    <w:rsid w:val="21BA361F"/>
    <w:rsid w:val="21E25983"/>
    <w:rsid w:val="221A1AD0"/>
    <w:rsid w:val="223249E4"/>
    <w:rsid w:val="22353B2B"/>
    <w:rsid w:val="2236402A"/>
    <w:rsid w:val="22506269"/>
    <w:rsid w:val="2252759B"/>
    <w:rsid w:val="22585514"/>
    <w:rsid w:val="22660355"/>
    <w:rsid w:val="22667E7F"/>
    <w:rsid w:val="227F5922"/>
    <w:rsid w:val="22A50B4E"/>
    <w:rsid w:val="22A61BB2"/>
    <w:rsid w:val="22AF7492"/>
    <w:rsid w:val="22B26E48"/>
    <w:rsid w:val="22B84838"/>
    <w:rsid w:val="22C355C2"/>
    <w:rsid w:val="22D15707"/>
    <w:rsid w:val="22D57870"/>
    <w:rsid w:val="22DF0B7A"/>
    <w:rsid w:val="22E15033"/>
    <w:rsid w:val="230424F2"/>
    <w:rsid w:val="23095363"/>
    <w:rsid w:val="231879A1"/>
    <w:rsid w:val="231D44C6"/>
    <w:rsid w:val="231D6ABC"/>
    <w:rsid w:val="23312902"/>
    <w:rsid w:val="235503DE"/>
    <w:rsid w:val="23586A43"/>
    <w:rsid w:val="235F1A87"/>
    <w:rsid w:val="23617917"/>
    <w:rsid w:val="2369472E"/>
    <w:rsid w:val="23750218"/>
    <w:rsid w:val="237F39B4"/>
    <w:rsid w:val="23816C24"/>
    <w:rsid w:val="2383009A"/>
    <w:rsid w:val="238C44F3"/>
    <w:rsid w:val="23A52A88"/>
    <w:rsid w:val="23B50828"/>
    <w:rsid w:val="23B66052"/>
    <w:rsid w:val="23C47BBC"/>
    <w:rsid w:val="23E56FBD"/>
    <w:rsid w:val="23EA796F"/>
    <w:rsid w:val="23F12C7E"/>
    <w:rsid w:val="23FA3D9C"/>
    <w:rsid w:val="23FE1B33"/>
    <w:rsid w:val="240241AC"/>
    <w:rsid w:val="240F0804"/>
    <w:rsid w:val="24161681"/>
    <w:rsid w:val="24276D1F"/>
    <w:rsid w:val="24305A24"/>
    <w:rsid w:val="243802F2"/>
    <w:rsid w:val="246152AD"/>
    <w:rsid w:val="247862BE"/>
    <w:rsid w:val="2483481C"/>
    <w:rsid w:val="248C2374"/>
    <w:rsid w:val="248F2E41"/>
    <w:rsid w:val="249623ED"/>
    <w:rsid w:val="24AB6F5D"/>
    <w:rsid w:val="24B95D74"/>
    <w:rsid w:val="24CB1FC2"/>
    <w:rsid w:val="24D71651"/>
    <w:rsid w:val="24E1532B"/>
    <w:rsid w:val="24E81E75"/>
    <w:rsid w:val="24EB0BA1"/>
    <w:rsid w:val="250531F5"/>
    <w:rsid w:val="251115A9"/>
    <w:rsid w:val="25273933"/>
    <w:rsid w:val="254C40BE"/>
    <w:rsid w:val="254C7CC6"/>
    <w:rsid w:val="256E4FB1"/>
    <w:rsid w:val="25796D6B"/>
    <w:rsid w:val="25831B1D"/>
    <w:rsid w:val="25891B8B"/>
    <w:rsid w:val="25A522CA"/>
    <w:rsid w:val="25BA46F2"/>
    <w:rsid w:val="25C97CB6"/>
    <w:rsid w:val="25CE24B8"/>
    <w:rsid w:val="25D512F0"/>
    <w:rsid w:val="25D62BC3"/>
    <w:rsid w:val="25E0184B"/>
    <w:rsid w:val="260A5246"/>
    <w:rsid w:val="261772D2"/>
    <w:rsid w:val="263C5AD1"/>
    <w:rsid w:val="26625B2A"/>
    <w:rsid w:val="2699628B"/>
    <w:rsid w:val="26A73B9A"/>
    <w:rsid w:val="26BF473B"/>
    <w:rsid w:val="26E62026"/>
    <w:rsid w:val="26E9143A"/>
    <w:rsid w:val="270C77C3"/>
    <w:rsid w:val="270E46D8"/>
    <w:rsid w:val="27113DD8"/>
    <w:rsid w:val="27233C28"/>
    <w:rsid w:val="272D51EB"/>
    <w:rsid w:val="272E770A"/>
    <w:rsid w:val="273334E2"/>
    <w:rsid w:val="273B5392"/>
    <w:rsid w:val="273C17A5"/>
    <w:rsid w:val="27473394"/>
    <w:rsid w:val="275A4618"/>
    <w:rsid w:val="275A775E"/>
    <w:rsid w:val="27665F87"/>
    <w:rsid w:val="276A6ED3"/>
    <w:rsid w:val="276D4C1D"/>
    <w:rsid w:val="276D6E72"/>
    <w:rsid w:val="278456D2"/>
    <w:rsid w:val="27877ADC"/>
    <w:rsid w:val="27A47458"/>
    <w:rsid w:val="27A72F5C"/>
    <w:rsid w:val="27C54CE8"/>
    <w:rsid w:val="27D86C64"/>
    <w:rsid w:val="27DB78CF"/>
    <w:rsid w:val="27E92D9F"/>
    <w:rsid w:val="27F15009"/>
    <w:rsid w:val="28113C89"/>
    <w:rsid w:val="28237372"/>
    <w:rsid w:val="28242E66"/>
    <w:rsid w:val="282C0647"/>
    <w:rsid w:val="28383D84"/>
    <w:rsid w:val="284A0FF1"/>
    <w:rsid w:val="284F5C9D"/>
    <w:rsid w:val="286E230C"/>
    <w:rsid w:val="289A4FE8"/>
    <w:rsid w:val="28A0063A"/>
    <w:rsid w:val="28AD2D25"/>
    <w:rsid w:val="28CD6359"/>
    <w:rsid w:val="28D23530"/>
    <w:rsid w:val="28D3381B"/>
    <w:rsid w:val="28EE1ED8"/>
    <w:rsid w:val="28F62399"/>
    <w:rsid w:val="29070822"/>
    <w:rsid w:val="291F3BBE"/>
    <w:rsid w:val="292A4F65"/>
    <w:rsid w:val="29357993"/>
    <w:rsid w:val="29377B4C"/>
    <w:rsid w:val="293B088A"/>
    <w:rsid w:val="294352D5"/>
    <w:rsid w:val="294671E7"/>
    <w:rsid w:val="294B0B89"/>
    <w:rsid w:val="294C7926"/>
    <w:rsid w:val="294D20D6"/>
    <w:rsid w:val="29666EBB"/>
    <w:rsid w:val="29803AAF"/>
    <w:rsid w:val="298967CF"/>
    <w:rsid w:val="29935FC6"/>
    <w:rsid w:val="29A31F36"/>
    <w:rsid w:val="29A3234A"/>
    <w:rsid w:val="29C40BA4"/>
    <w:rsid w:val="29C64D0A"/>
    <w:rsid w:val="29CF350A"/>
    <w:rsid w:val="29CF71B8"/>
    <w:rsid w:val="29D92421"/>
    <w:rsid w:val="29F033E4"/>
    <w:rsid w:val="29F259AC"/>
    <w:rsid w:val="2A144E02"/>
    <w:rsid w:val="2A1C4B4E"/>
    <w:rsid w:val="2A324BF4"/>
    <w:rsid w:val="2A332DAF"/>
    <w:rsid w:val="2A430CF4"/>
    <w:rsid w:val="2A5D493E"/>
    <w:rsid w:val="2A621B97"/>
    <w:rsid w:val="2A716B84"/>
    <w:rsid w:val="2A8147D1"/>
    <w:rsid w:val="2A845136"/>
    <w:rsid w:val="2A946151"/>
    <w:rsid w:val="2AA33154"/>
    <w:rsid w:val="2AAA0D81"/>
    <w:rsid w:val="2AB40232"/>
    <w:rsid w:val="2AB82200"/>
    <w:rsid w:val="2ACA1530"/>
    <w:rsid w:val="2AD0397B"/>
    <w:rsid w:val="2ADE2D18"/>
    <w:rsid w:val="2AE47841"/>
    <w:rsid w:val="2AFD155A"/>
    <w:rsid w:val="2B143CA5"/>
    <w:rsid w:val="2B1E4750"/>
    <w:rsid w:val="2B4455D3"/>
    <w:rsid w:val="2B663D76"/>
    <w:rsid w:val="2BA96387"/>
    <w:rsid w:val="2BB64B2C"/>
    <w:rsid w:val="2BD943DA"/>
    <w:rsid w:val="2BE40D53"/>
    <w:rsid w:val="2BE41156"/>
    <w:rsid w:val="2BF35741"/>
    <w:rsid w:val="2BF36CEB"/>
    <w:rsid w:val="2BF459EB"/>
    <w:rsid w:val="2C0F3BEA"/>
    <w:rsid w:val="2C1E763E"/>
    <w:rsid w:val="2C2004CD"/>
    <w:rsid w:val="2C2D4594"/>
    <w:rsid w:val="2C401128"/>
    <w:rsid w:val="2C536C69"/>
    <w:rsid w:val="2C610E54"/>
    <w:rsid w:val="2C617A4D"/>
    <w:rsid w:val="2C647D47"/>
    <w:rsid w:val="2C770F4E"/>
    <w:rsid w:val="2C806FB5"/>
    <w:rsid w:val="2C89532C"/>
    <w:rsid w:val="2C8B6C1C"/>
    <w:rsid w:val="2CA15D0A"/>
    <w:rsid w:val="2CC43F63"/>
    <w:rsid w:val="2CC6499F"/>
    <w:rsid w:val="2CDD594E"/>
    <w:rsid w:val="2CED0D73"/>
    <w:rsid w:val="2D044988"/>
    <w:rsid w:val="2D1170D9"/>
    <w:rsid w:val="2D290BD2"/>
    <w:rsid w:val="2D2F4C09"/>
    <w:rsid w:val="2D306BEE"/>
    <w:rsid w:val="2D31356F"/>
    <w:rsid w:val="2D4A4B7C"/>
    <w:rsid w:val="2D54655C"/>
    <w:rsid w:val="2D684A45"/>
    <w:rsid w:val="2D722C6C"/>
    <w:rsid w:val="2D7302C8"/>
    <w:rsid w:val="2D730A34"/>
    <w:rsid w:val="2D8F594D"/>
    <w:rsid w:val="2D976D39"/>
    <w:rsid w:val="2DB37CAA"/>
    <w:rsid w:val="2DC652D0"/>
    <w:rsid w:val="2DCE7A85"/>
    <w:rsid w:val="2DFB3CAB"/>
    <w:rsid w:val="2E147FD1"/>
    <w:rsid w:val="2E16715E"/>
    <w:rsid w:val="2E1A4AD3"/>
    <w:rsid w:val="2E1F05B0"/>
    <w:rsid w:val="2E273A99"/>
    <w:rsid w:val="2E3B4CF8"/>
    <w:rsid w:val="2E4153AF"/>
    <w:rsid w:val="2E793BC2"/>
    <w:rsid w:val="2E800178"/>
    <w:rsid w:val="2E84761D"/>
    <w:rsid w:val="2E864CA5"/>
    <w:rsid w:val="2E8F7DDB"/>
    <w:rsid w:val="2E924775"/>
    <w:rsid w:val="2ED37C9F"/>
    <w:rsid w:val="2ED65A68"/>
    <w:rsid w:val="2EEA70B4"/>
    <w:rsid w:val="2EEB11AA"/>
    <w:rsid w:val="2EEE548D"/>
    <w:rsid w:val="2F1E0131"/>
    <w:rsid w:val="2F4630E2"/>
    <w:rsid w:val="2F4C667E"/>
    <w:rsid w:val="2F5B2C2F"/>
    <w:rsid w:val="2F5C5571"/>
    <w:rsid w:val="2F615964"/>
    <w:rsid w:val="2F64436A"/>
    <w:rsid w:val="2F7373E2"/>
    <w:rsid w:val="2F8E5AC2"/>
    <w:rsid w:val="2FA913F8"/>
    <w:rsid w:val="2FC04228"/>
    <w:rsid w:val="300D4BEB"/>
    <w:rsid w:val="301D5FE0"/>
    <w:rsid w:val="301D65B1"/>
    <w:rsid w:val="30281BE6"/>
    <w:rsid w:val="30316E1F"/>
    <w:rsid w:val="303A0A37"/>
    <w:rsid w:val="30455437"/>
    <w:rsid w:val="307A01B9"/>
    <w:rsid w:val="308B33F1"/>
    <w:rsid w:val="308D4FA9"/>
    <w:rsid w:val="30AA6088"/>
    <w:rsid w:val="30C66F42"/>
    <w:rsid w:val="30DB4233"/>
    <w:rsid w:val="30DC5FCD"/>
    <w:rsid w:val="30DD697B"/>
    <w:rsid w:val="30ED531C"/>
    <w:rsid w:val="30F92FDC"/>
    <w:rsid w:val="310155A8"/>
    <w:rsid w:val="310E0A71"/>
    <w:rsid w:val="314F6D01"/>
    <w:rsid w:val="31531F0D"/>
    <w:rsid w:val="31551B99"/>
    <w:rsid w:val="315A38DE"/>
    <w:rsid w:val="3173454C"/>
    <w:rsid w:val="31793F5A"/>
    <w:rsid w:val="3183138F"/>
    <w:rsid w:val="31A04156"/>
    <w:rsid w:val="31B87C3E"/>
    <w:rsid w:val="31D124A1"/>
    <w:rsid w:val="31E05AB8"/>
    <w:rsid w:val="31E7385C"/>
    <w:rsid w:val="31F1423A"/>
    <w:rsid w:val="320B5C3E"/>
    <w:rsid w:val="32226E24"/>
    <w:rsid w:val="322C0A36"/>
    <w:rsid w:val="32336A69"/>
    <w:rsid w:val="323E3A9D"/>
    <w:rsid w:val="326B1EA1"/>
    <w:rsid w:val="327318E0"/>
    <w:rsid w:val="3278758D"/>
    <w:rsid w:val="32A26665"/>
    <w:rsid w:val="32BD404A"/>
    <w:rsid w:val="32C70757"/>
    <w:rsid w:val="32CF2F49"/>
    <w:rsid w:val="32D9740C"/>
    <w:rsid w:val="32E728E9"/>
    <w:rsid w:val="33034EE7"/>
    <w:rsid w:val="331617B9"/>
    <w:rsid w:val="331E7092"/>
    <w:rsid w:val="332961A8"/>
    <w:rsid w:val="332A7F49"/>
    <w:rsid w:val="33342C15"/>
    <w:rsid w:val="3385049D"/>
    <w:rsid w:val="338D6A86"/>
    <w:rsid w:val="3392113B"/>
    <w:rsid w:val="3398768C"/>
    <w:rsid w:val="339F69F1"/>
    <w:rsid w:val="33A2061F"/>
    <w:rsid w:val="33A46D1A"/>
    <w:rsid w:val="33F864BD"/>
    <w:rsid w:val="34194D04"/>
    <w:rsid w:val="34267400"/>
    <w:rsid w:val="34285604"/>
    <w:rsid w:val="342E1A49"/>
    <w:rsid w:val="3472744B"/>
    <w:rsid w:val="3477488D"/>
    <w:rsid w:val="348651BC"/>
    <w:rsid w:val="348F514A"/>
    <w:rsid w:val="349973D4"/>
    <w:rsid w:val="349B1F71"/>
    <w:rsid w:val="34B9529E"/>
    <w:rsid w:val="34C20E8B"/>
    <w:rsid w:val="34DA5D37"/>
    <w:rsid w:val="34E04320"/>
    <w:rsid w:val="34ED4990"/>
    <w:rsid w:val="34EF5757"/>
    <w:rsid w:val="34F734AB"/>
    <w:rsid w:val="35001896"/>
    <w:rsid w:val="350F39AD"/>
    <w:rsid w:val="352B3990"/>
    <w:rsid w:val="35350C30"/>
    <w:rsid w:val="353D7839"/>
    <w:rsid w:val="358C5895"/>
    <w:rsid w:val="358D4D9C"/>
    <w:rsid w:val="359D1294"/>
    <w:rsid w:val="35B115CC"/>
    <w:rsid w:val="35C07A3B"/>
    <w:rsid w:val="35CA6E49"/>
    <w:rsid w:val="35E770B1"/>
    <w:rsid w:val="35EB0304"/>
    <w:rsid w:val="35ED5576"/>
    <w:rsid w:val="35F55D16"/>
    <w:rsid w:val="35F828B8"/>
    <w:rsid w:val="35FE61D5"/>
    <w:rsid w:val="3627010F"/>
    <w:rsid w:val="36345037"/>
    <w:rsid w:val="3649353D"/>
    <w:rsid w:val="36640E31"/>
    <w:rsid w:val="366C112C"/>
    <w:rsid w:val="368E5759"/>
    <w:rsid w:val="36CC1F48"/>
    <w:rsid w:val="36CC5153"/>
    <w:rsid w:val="36DD6FCC"/>
    <w:rsid w:val="36E339F0"/>
    <w:rsid w:val="37161AEC"/>
    <w:rsid w:val="37164D93"/>
    <w:rsid w:val="37284BBF"/>
    <w:rsid w:val="37416721"/>
    <w:rsid w:val="376F6134"/>
    <w:rsid w:val="377D441E"/>
    <w:rsid w:val="37903540"/>
    <w:rsid w:val="37956E5D"/>
    <w:rsid w:val="3799683C"/>
    <w:rsid w:val="37AB7D73"/>
    <w:rsid w:val="37B95722"/>
    <w:rsid w:val="37B963EB"/>
    <w:rsid w:val="37C5042C"/>
    <w:rsid w:val="37CE3B6E"/>
    <w:rsid w:val="37D76DB8"/>
    <w:rsid w:val="37E340D5"/>
    <w:rsid w:val="3810380F"/>
    <w:rsid w:val="38195A74"/>
    <w:rsid w:val="38254924"/>
    <w:rsid w:val="38272192"/>
    <w:rsid w:val="382C6761"/>
    <w:rsid w:val="382F584F"/>
    <w:rsid w:val="38321C52"/>
    <w:rsid w:val="383737C1"/>
    <w:rsid w:val="383770A5"/>
    <w:rsid w:val="38377EC9"/>
    <w:rsid w:val="383A6932"/>
    <w:rsid w:val="38401E0E"/>
    <w:rsid w:val="384115AE"/>
    <w:rsid w:val="384D003E"/>
    <w:rsid w:val="38881491"/>
    <w:rsid w:val="38902F63"/>
    <w:rsid w:val="38937799"/>
    <w:rsid w:val="38AA741B"/>
    <w:rsid w:val="38AC53F9"/>
    <w:rsid w:val="38AE33D1"/>
    <w:rsid w:val="38BA1CED"/>
    <w:rsid w:val="38C2712E"/>
    <w:rsid w:val="38C933D0"/>
    <w:rsid w:val="38E938C8"/>
    <w:rsid w:val="38EC76F5"/>
    <w:rsid w:val="38FE3E72"/>
    <w:rsid w:val="39201FB2"/>
    <w:rsid w:val="39213319"/>
    <w:rsid w:val="392B5375"/>
    <w:rsid w:val="392C050A"/>
    <w:rsid w:val="394133C4"/>
    <w:rsid w:val="39470998"/>
    <w:rsid w:val="39701147"/>
    <w:rsid w:val="397C27FE"/>
    <w:rsid w:val="397E01CF"/>
    <w:rsid w:val="39901378"/>
    <w:rsid w:val="399A748B"/>
    <w:rsid w:val="39D16CA3"/>
    <w:rsid w:val="39DC5AE0"/>
    <w:rsid w:val="39E00AD9"/>
    <w:rsid w:val="39E560E0"/>
    <w:rsid w:val="39EC017E"/>
    <w:rsid w:val="39ED5667"/>
    <w:rsid w:val="3A1734BB"/>
    <w:rsid w:val="3A1E0E3E"/>
    <w:rsid w:val="3A212A07"/>
    <w:rsid w:val="3A345BC1"/>
    <w:rsid w:val="3A3703F9"/>
    <w:rsid w:val="3A3B439F"/>
    <w:rsid w:val="3A4F584E"/>
    <w:rsid w:val="3A6245F6"/>
    <w:rsid w:val="3A8C3226"/>
    <w:rsid w:val="3A9A6573"/>
    <w:rsid w:val="3A9E34A5"/>
    <w:rsid w:val="3AAC7BA4"/>
    <w:rsid w:val="3ACE30EF"/>
    <w:rsid w:val="3AD62023"/>
    <w:rsid w:val="3ADF3963"/>
    <w:rsid w:val="3B0B4C7C"/>
    <w:rsid w:val="3B162788"/>
    <w:rsid w:val="3B1D4EED"/>
    <w:rsid w:val="3B331E4B"/>
    <w:rsid w:val="3B403014"/>
    <w:rsid w:val="3B4D6D7B"/>
    <w:rsid w:val="3B5D02E3"/>
    <w:rsid w:val="3B6B34A3"/>
    <w:rsid w:val="3B843B73"/>
    <w:rsid w:val="3B9162A0"/>
    <w:rsid w:val="3B955D41"/>
    <w:rsid w:val="3B993A35"/>
    <w:rsid w:val="3BAF15F1"/>
    <w:rsid w:val="3BC25435"/>
    <w:rsid w:val="3BDA2F9B"/>
    <w:rsid w:val="3BEB75A9"/>
    <w:rsid w:val="3BED06D5"/>
    <w:rsid w:val="3BEE6339"/>
    <w:rsid w:val="3C0A3EF1"/>
    <w:rsid w:val="3C0C59F6"/>
    <w:rsid w:val="3C940987"/>
    <w:rsid w:val="3CA578E5"/>
    <w:rsid w:val="3CB839AD"/>
    <w:rsid w:val="3CF20922"/>
    <w:rsid w:val="3D0467C1"/>
    <w:rsid w:val="3D1D7BCE"/>
    <w:rsid w:val="3D3420FE"/>
    <w:rsid w:val="3D5736B0"/>
    <w:rsid w:val="3D5A63B2"/>
    <w:rsid w:val="3D646729"/>
    <w:rsid w:val="3D762525"/>
    <w:rsid w:val="3D98059B"/>
    <w:rsid w:val="3D9A10CD"/>
    <w:rsid w:val="3DA0171C"/>
    <w:rsid w:val="3DA11275"/>
    <w:rsid w:val="3DC40E6B"/>
    <w:rsid w:val="3DC8523D"/>
    <w:rsid w:val="3DF56AFB"/>
    <w:rsid w:val="3DFA733B"/>
    <w:rsid w:val="3E107561"/>
    <w:rsid w:val="3E175077"/>
    <w:rsid w:val="3E406B77"/>
    <w:rsid w:val="3E667BAE"/>
    <w:rsid w:val="3E667CEF"/>
    <w:rsid w:val="3E735C27"/>
    <w:rsid w:val="3E820AA3"/>
    <w:rsid w:val="3E8A08D1"/>
    <w:rsid w:val="3E8F6DB5"/>
    <w:rsid w:val="3E912FD0"/>
    <w:rsid w:val="3E921944"/>
    <w:rsid w:val="3EAC23FC"/>
    <w:rsid w:val="3EC520A6"/>
    <w:rsid w:val="3ED50B71"/>
    <w:rsid w:val="3ED87990"/>
    <w:rsid w:val="3EDF7AAE"/>
    <w:rsid w:val="3EF2171B"/>
    <w:rsid w:val="3EFE757A"/>
    <w:rsid w:val="3F04196D"/>
    <w:rsid w:val="3F0F62E6"/>
    <w:rsid w:val="3F3F09D6"/>
    <w:rsid w:val="3F455DAB"/>
    <w:rsid w:val="3F5035B4"/>
    <w:rsid w:val="3F5E797C"/>
    <w:rsid w:val="3F656331"/>
    <w:rsid w:val="3F6B312E"/>
    <w:rsid w:val="3F8F3554"/>
    <w:rsid w:val="3FA42830"/>
    <w:rsid w:val="3FC848D1"/>
    <w:rsid w:val="3FC9355F"/>
    <w:rsid w:val="401331FB"/>
    <w:rsid w:val="40214373"/>
    <w:rsid w:val="403D5417"/>
    <w:rsid w:val="4048145A"/>
    <w:rsid w:val="4056520F"/>
    <w:rsid w:val="40657AAF"/>
    <w:rsid w:val="40961229"/>
    <w:rsid w:val="409B353C"/>
    <w:rsid w:val="40B145C5"/>
    <w:rsid w:val="40D6427A"/>
    <w:rsid w:val="40D67608"/>
    <w:rsid w:val="40E25C04"/>
    <w:rsid w:val="40EC08D9"/>
    <w:rsid w:val="41047709"/>
    <w:rsid w:val="410B27A3"/>
    <w:rsid w:val="411D2F85"/>
    <w:rsid w:val="41217695"/>
    <w:rsid w:val="41222AEF"/>
    <w:rsid w:val="412443BF"/>
    <w:rsid w:val="4125037C"/>
    <w:rsid w:val="41472380"/>
    <w:rsid w:val="41495E5F"/>
    <w:rsid w:val="415354D1"/>
    <w:rsid w:val="415E17E7"/>
    <w:rsid w:val="415E238E"/>
    <w:rsid w:val="415F132D"/>
    <w:rsid w:val="417D7319"/>
    <w:rsid w:val="418F2040"/>
    <w:rsid w:val="41907C62"/>
    <w:rsid w:val="41914258"/>
    <w:rsid w:val="41930D1A"/>
    <w:rsid w:val="419659A8"/>
    <w:rsid w:val="419F3290"/>
    <w:rsid w:val="41AC23A7"/>
    <w:rsid w:val="41AC50F2"/>
    <w:rsid w:val="41B407D4"/>
    <w:rsid w:val="41EA5032"/>
    <w:rsid w:val="41FC0930"/>
    <w:rsid w:val="4224788C"/>
    <w:rsid w:val="424C1040"/>
    <w:rsid w:val="42633015"/>
    <w:rsid w:val="426D7AAD"/>
    <w:rsid w:val="428340F1"/>
    <w:rsid w:val="428B3283"/>
    <w:rsid w:val="42B235C1"/>
    <w:rsid w:val="42B2702B"/>
    <w:rsid w:val="42C91608"/>
    <w:rsid w:val="42E16C65"/>
    <w:rsid w:val="42EB1C44"/>
    <w:rsid w:val="42F06ADE"/>
    <w:rsid w:val="431260BD"/>
    <w:rsid w:val="43164A43"/>
    <w:rsid w:val="433F5A39"/>
    <w:rsid w:val="434315B8"/>
    <w:rsid w:val="43494EF6"/>
    <w:rsid w:val="434A0065"/>
    <w:rsid w:val="43513D34"/>
    <w:rsid w:val="439C20E3"/>
    <w:rsid w:val="43BC486B"/>
    <w:rsid w:val="43CD546A"/>
    <w:rsid w:val="43D668DB"/>
    <w:rsid w:val="43D94BB8"/>
    <w:rsid w:val="440C0A16"/>
    <w:rsid w:val="441D082F"/>
    <w:rsid w:val="44366F2B"/>
    <w:rsid w:val="444C2577"/>
    <w:rsid w:val="444F301C"/>
    <w:rsid w:val="44547298"/>
    <w:rsid w:val="44565C8E"/>
    <w:rsid w:val="445B63FE"/>
    <w:rsid w:val="446B3DCC"/>
    <w:rsid w:val="44871F8A"/>
    <w:rsid w:val="44A50E49"/>
    <w:rsid w:val="44D24AA0"/>
    <w:rsid w:val="44EB1D8C"/>
    <w:rsid w:val="44F1566E"/>
    <w:rsid w:val="44F514B9"/>
    <w:rsid w:val="45004359"/>
    <w:rsid w:val="450771EF"/>
    <w:rsid w:val="4546532C"/>
    <w:rsid w:val="456564B5"/>
    <w:rsid w:val="457A5EF9"/>
    <w:rsid w:val="45857D69"/>
    <w:rsid w:val="45A07A7C"/>
    <w:rsid w:val="45A72138"/>
    <w:rsid w:val="45A96964"/>
    <w:rsid w:val="45B1236E"/>
    <w:rsid w:val="45B96E93"/>
    <w:rsid w:val="45BA1E5C"/>
    <w:rsid w:val="45BE62AB"/>
    <w:rsid w:val="45CF348D"/>
    <w:rsid w:val="460133E9"/>
    <w:rsid w:val="460D47A5"/>
    <w:rsid w:val="46120C85"/>
    <w:rsid w:val="46162057"/>
    <w:rsid w:val="46216337"/>
    <w:rsid w:val="46274C08"/>
    <w:rsid w:val="463F6118"/>
    <w:rsid w:val="46433B6F"/>
    <w:rsid w:val="46443112"/>
    <w:rsid w:val="46557CB9"/>
    <w:rsid w:val="46682FAF"/>
    <w:rsid w:val="466C454D"/>
    <w:rsid w:val="46744C93"/>
    <w:rsid w:val="467E578C"/>
    <w:rsid w:val="468C73DC"/>
    <w:rsid w:val="469F4D11"/>
    <w:rsid w:val="46A34031"/>
    <w:rsid w:val="46AD5C3C"/>
    <w:rsid w:val="46B26DDF"/>
    <w:rsid w:val="46BF3842"/>
    <w:rsid w:val="46DF448E"/>
    <w:rsid w:val="46E51508"/>
    <w:rsid w:val="46F31815"/>
    <w:rsid w:val="46F4409F"/>
    <w:rsid w:val="46FD1D53"/>
    <w:rsid w:val="471B55E6"/>
    <w:rsid w:val="47251654"/>
    <w:rsid w:val="475F7B8D"/>
    <w:rsid w:val="47625BB2"/>
    <w:rsid w:val="477B3309"/>
    <w:rsid w:val="477F1A13"/>
    <w:rsid w:val="47851F39"/>
    <w:rsid w:val="4787031C"/>
    <w:rsid w:val="4797639E"/>
    <w:rsid w:val="479957DE"/>
    <w:rsid w:val="479E63DA"/>
    <w:rsid w:val="47AE05AA"/>
    <w:rsid w:val="47C17A67"/>
    <w:rsid w:val="47C94621"/>
    <w:rsid w:val="47DA6D05"/>
    <w:rsid w:val="47EA7B5F"/>
    <w:rsid w:val="47EF4992"/>
    <w:rsid w:val="47FF43FC"/>
    <w:rsid w:val="48063895"/>
    <w:rsid w:val="481B2F2D"/>
    <w:rsid w:val="48424EB2"/>
    <w:rsid w:val="485E035D"/>
    <w:rsid w:val="48696CAD"/>
    <w:rsid w:val="48723746"/>
    <w:rsid w:val="48747902"/>
    <w:rsid w:val="48752CC8"/>
    <w:rsid w:val="48772623"/>
    <w:rsid w:val="488C3D84"/>
    <w:rsid w:val="48AB2A6A"/>
    <w:rsid w:val="48C76FF8"/>
    <w:rsid w:val="48DA74C7"/>
    <w:rsid w:val="48EA102A"/>
    <w:rsid w:val="48EF034D"/>
    <w:rsid w:val="4903609A"/>
    <w:rsid w:val="493422EA"/>
    <w:rsid w:val="49375BF6"/>
    <w:rsid w:val="497702DA"/>
    <w:rsid w:val="497B5296"/>
    <w:rsid w:val="49904267"/>
    <w:rsid w:val="499D09B0"/>
    <w:rsid w:val="49A83E14"/>
    <w:rsid w:val="49AF6973"/>
    <w:rsid w:val="49C14E1E"/>
    <w:rsid w:val="49D8775B"/>
    <w:rsid w:val="49E00F83"/>
    <w:rsid w:val="49E4625C"/>
    <w:rsid w:val="4A0D0944"/>
    <w:rsid w:val="4A34018E"/>
    <w:rsid w:val="4A49293F"/>
    <w:rsid w:val="4A4F5C51"/>
    <w:rsid w:val="4A500C79"/>
    <w:rsid w:val="4A68765F"/>
    <w:rsid w:val="4A7F608A"/>
    <w:rsid w:val="4A8225F4"/>
    <w:rsid w:val="4AB6279A"/>
    <w:rsid w:val="4AD8448B"/>
    <w:rsid w:val="4AE15FB4"/>
    <w:rsid w:val="4AF14422"/>
    <w:rsid w:val="4AF7197E"/>
    <w:rsid w:val="4B0F063B"/>
    <w:rsid w:val="4B12384D"/>
    <w:rsid w:val="4B1367B9"/>
    <w:rsid w:val="4B1B3D46"/>
    <w:rsid w:val="4B2F6B91"/>
    <w:rsid w:val="4B713524"/>
    <w:rsid w:val="4B7B1C5A"/>
    <w:rsid w:val="4B855455"/>
    <w:rsid w:val="4B9A2643"/>
    <w:rsid w:val="4BA22401"/>
    <w:rsid w:val="4BB27468"/>
    <w:rsid w:val="4BBA3C11"/>
    <w:rsid w:val="4BBF56BF"/>
    <w:rsid w:val="4BC23EAE"/>
    <w:rsid w:val="4BD06FD6"/>
    <w:rsid w:val="4BDE3F50"/>
    <w:rsid w:val="4BE60E22"/>
    <w:rsid w:val="4BF1750D"/>
    <w:rsid w:val="4C166B59"/>
    <w:rsid w:val="4C2E5F34"/>
    <w:rsid w:val="4C39659B"/>
    <w:rsid w:val="4C4D5604"/>
    <w:rsid w:val="4C58104F"/>
    <w:rsid w:val="4C626096"/>
    <w:rsid w:val="4C632C63"/>
    <w:rsid w:val="4C8663D7"/>
    <w:rsid w:val="4C880639"/>
    <w:rsid w:val="4C967FA7"/>
    <w:rsid w:val="4C9A533B"/>
    <w:rsid w:val="4CAE16A0"/>
    <w:rsid w:val="4CB65819"/>
    <w:rsid w:val="4CCB3956"/>
    <w:rsid w:val="4CCD08FB"/>
    <w:rsid w:val="4CCF7784"/>
    <w:rsid w:val="4CD35610"/>
    <w:rsid w:val="4CD64FA3"/>
    <w:rsid w:val="4CF51268"/>
    <w:rsid w:val="4CFA5820"/>
    <w:rsid w:val="4D261811"/>
    <w:rsid w:val="4D2A61CB"/>
    <w:rsid w:val="4D2F15C4"/>
    <w:rsid w:val="4D3E4B82"/>
    <w:rsid w:val="4D3E4CAB"/>
    <w:rsid w:val="4D643AAE"/>
    <w:rsid w:val="4D643DA5"/>
    <w:rsid w:val="4D66461C"/>
    <w:rsid w:val="4D9D4D14"/>
    <w:rsid w:val="4DFA25B1"/>
    <w:rsid w:val="4E1D742B"/>
    <w:rsid w:val="4E3A0125"/>
    <w:rsid w:val="4E49359F"/>
    <w:rsid w:val="4E4A05ED"/>
    <w:rsid w:val="4E9B34C9"/>
    <w:rsid w:val="4E9C4752"/>
    <w:rsid w:val="4EA0597F"/>
    <w:rsid w:val="4EA401A1"/>
    <w:rsid w:val="4EB73A02"/>
    <w:rsid w:val="4EC004B7"/>
    <w:rsid w:val="4EC30CED"/>
    <w:rsid w:val="4ED65A3A"/>
    <w:rsid w:val="4ED85C94"/>
    <w:rsid w:val="4F0C7CF7"/>
    <w:rsid w:val="4F0E3064"/>
    <w:rsid w:val="4F0F3ED3"/>
    <w:rsid w:val="4F32611D"/>
    <w:rsid w:val="4F4E01B3"/>
    <w:rsid w:val="4F534DCC"/>
    <w:rsid w:val="4F810427"/>
    <w:rsid w:val="4F8D4899"/>
    <w:rsid w:val="4F966257"/>
    <w:rsid w:val="4FB52290"/>
    <w:rsid w:val="4FCC1D4D"/>
    <w:rsid w:val="4FD43E44"/>
    <w:rsid w:val="4FE17929"/>
    <w:rsid w:val="4FED176A"/>
    <w:rsid w:val="4FF31C53"/>
    <w:rsid w:val="4FF921A2"/>
    <w:rsid w:val="50011C06"/>
    <w:rsid w:val="50050F20"/>
    <w:rsid w:val="500833C6"/>
    <w:rsid w:val="5014646B"/>
    <w:rsid w:val="501A7335"/>
    <w:rsid w:val="50237389"/>
    <w:rsid w:val="5024701E"/>
    <w:rsid w:val="5036031C"/>
    <w:rsid w:val="505C637E"/>
    <w:rsid w:val="505E63D8"/>
    <w:rsid w:val="507037CC"/>
    <w:rsid w:val="507C2B30"/>
    <w:rsid w:val="507F18C4"/>
    <w:rsid w:val="50990518"/>
    <w:rsid w:val="50B777E1"/>
    <w:rsid w:val="50E65A2D"/>
    <w:rsid w:val="50EC0CEE"/>
    <w:rsid w:val="50EE45CA"/>
    <w:rsid w:val="50FD6F29"/>
    <w:rsid w:val="510F7046"/>
    <w:rsid w:val="5112409D"/>
    <w:rsid w:val="511453A1"/>
    <w:rsid w:val="512344AA"/>
    <w:rsid w:val="51617920"/>
    <w:rsid w:val="51640797"/>
    <w:rsid w:val="5186431B"/>
    <w:rsid w:val="521376F9"/>
    <w:rsid w:val="52281C2F"/>
    <w:rsid w:val="522D6505"/>
    <w:rsid w:val="523205D6"/>
    <w:rsid w:val="52413C16"/>
    <w:rsid w:val="5243753B"/>
    <w:rsid w:val="5244194E"/>
    <w:rsid w:val="5245158C"/>
    <w:rsid w:val="525A6C7D"/>
    <w:rsid w:val="52694994"/>
    <w:rsid w:val="528E19D1"/>
    <w:rsid w:val="52AA023A"/>
    <w:rsid w:val="52B67727"/>
    <w:rsid w:val="52CE28BC"/>
    <w:rsid w:val="52D11F6C"/>
    <w:rsid w:val="52E86FCB"/>
    <w:rsid w:val="52F456D2"/>
    <w:rsid w:val="53033C72"/>
    <w:rsid w:val="530B1DCC"/>
    <w:rsid w:val="530D53EB"/>
    <w:rsid w:val="535F1705"/>
    <w:rsid w:val="53603B42"/>
    <w:rsid w:val="53690196"/>
    <w:rsid w:val="53840791"/>
    <w:rsid w:val="538E2EE8"/>
    <w:rsid w:val="538E7FD3"/>
    <w:rsid w:val="53A42E0A"/>
    <w:rsid w:val="53AA1FDC"/>
    <w:rsid w:val="53D72180"/>
    <w:rsid w:val="53E91B3E"/>
    <w:rsid w:val="54051B4A"/>
    <w:rsid w:val="5407387C"/>
    <w:rsid w:val="54113878"/>
    <w:rsid w:val="54372E53"/>
    <w:rsid w:val="54411EB4"/>
    <w:rsid w:val="54635661"/>
    <w:rsid w:val="54A74053"/>
    <w:rsid w:val="54AF7181"/>
    <w:rsid w:val="54B26B6B"/>
    <w:rsid w:val="54C61C25"/>
    <w:rsid w:val="54CA53C2"/>
    <w:rsid w:val="54CB246C"/>
    <w:rsid w:val="54D200D4"/>
    <w:rsid w:val="54F11CBF"/>
    <w:rsid w:val="552208E3"/>
    <w:rsid w:val="552619D7"/>
    <w:rsid w:val="55462A3D"/>
    <w:rsid w:val="55615B36"/>
    <w:rsid w:val="557A4C99"/>
    <w:rsid w:val="557F2904"/>
    <w:rsid w:val="55B20452"/>
    <w:rsid w:val="55B91FF5"/>
    <w:rsid w:val="55CC31D4"/>
    <w:rsid w:val="55E13750"/>
    <w:rsid w:val="55E9132B"/>
    <w:rsid w:val="55FE1201"/>
    <w:rsid w:val="560C43D2"/>
    <w:rsid w:val="56186637"/>
    <w:rsid w:val="561A49FE"/>
    <w:rsid w:val="561C7810"/>
    <w:rsid w:val="562B215A"/>
    <w:rsid w:val="562D0E76"/>
    <w:rsid w:val="562F3BF3"/>
    <w:rsid w:val="566B1F8E"/>
    <w:rsid w:val="56781690"/>
    <w:rsid w:val="56930229"/>
    <w:rsid w:val="569836D6"/>
    <w:rsid w:val="56A22DED"/>
    <w:rsid w:val="56BB016B"/>
    <w:rsid w:val="56CE4BFD"/>
    <w:rsid w:val="56D82184"/>
    <w:rsid w:val="56E72F91"/>
    <w:rsid w:val="56F74190"/>
    <w:rsid w:val="57040EEB"/>
    <w:rsid w:val="571647C5"/>
    <w:rsid w:val="571D0320"/>
    <w:rsid w:val="57746489"/>
    <w:rsid w:val="577F481A"/>
    <w:rsid w:val="578111A0"/>
    <w:rsid w:val="579F151F"/>
    <w:rsid w:val="57AA1C33"/>
    <w:rsid w:val="57AA4CE5"/>
    <w:rsid w:val="57AB7D0B"/>
    <w:rsid w:val="57CE1608"/>
    <w:rsid w:val="57ED2758"/>
    <w:rsid w:val="57EE6240"/>
    <w:rsid w:val="58050F29"/>
    <w:rsid w:val="582628F7"/>
    <w:rsid w:val="58434D92"/>
    <w:rsid w:val="58622F88"/>
    <w:rsid w:val="5865099B"/>
    <w:rsid w:val="58780E10"/>
    <w:rsid w:val="5895761A"/>
    <w:rsid w:val="58A4787A"/>
    <w:rsid w:val="58AC0A95"/>
    <w:rsid w:val="58AF31F3"/>
    <w:rsid w:val="58B31658"/>
    <w:rsid w:val="58BB5C34"/>
    <w:rsid w:val="58C051D0"/>
    <w:rsid w:val="58D33D79"/>
    <w:rsid w:val="58EB2793"/>
    <w:rsid w:val="58F11142"/>
    <w:rsid w:val="58F874BB"/>
    <w:rsid w:val="59014C2E"/>
    <w:rsid w:val="591207B3"/>
    <w:rsid w:val="59135CD0"/>
    <w:rsid w:val="59160DEC"/>
    <w:rsid w:val="59192B20"/>
    <w:rsid w:val="59197977"/>
    <w:rsid w:val="591A55A7"/>
    <w:rsid w:val="591E56A4"/>
    <w:rsid w:val="59212569"/>
    <w:rsid w:val="593B0C8A"/>
    <w:rsid w:val="59475C44"/>
    <w:rsid w:val="594B03CF"/>
    <w:rsid w:val="59585A32"/>
    <w:rsid w:val="595F0C2D"/>
    <w:rsid w:val="597F201A"/>
    <w:rsid w:val="59943C05"/>
    <w:rsid w:val="59986F7A"/>
    <w:rsid w:val="59A03EDE"/>
    <w:rsid w:val="59A07AC0"/>
    <w:rsid w:val="59E61814"/>
    <w:rsid w:val="59E81625"/>
    <w:rsid w:val="5A055F26"/>
    <w:rsid w:val="5A266078"/>
    <w:rsid w:val="5A293E39"/>
    <w:rsid w:val="5A385532"/>
    <w:rsid w:val="5A4F4825"/>
    <w:rsid w:val="5A590379"/>
    <w:rsid w:val="5A661F13"/>
    <w:rsid w:val="5A6E5882"/>
    <w:rsid w:val="5A8B713C"/>
    <w:rsid w:val="5A9A3135"/>
    <w:rsid w:val="5A9D4D05"/>
    <w:rsid w:val="5AA339B1"/>
    <w:rsid w:val="5AD64ECD"/>
    <w:rsid w:val="5AF7219E"/>
    <w:rsid w:val="5B030D07"/>
    <w:rsid w:val="5B092BBB"/>
    <w:rsid w:val="5B0A7402"/>
    <w:rsid w:val="5B2D75F8"/>
    <w:rsid w:val="5B3D5E56"/>
    <w:rsid w:val="5B3F2256"/>
    <w:rsid w:val="5B5252C7"/>
    <w:rsid w:val="5B5848CE"/>
    <w:rsid w:val="5B6D494B"/>
    <w:rsid w:val="5B7B496E"/>
    <w:rsid w:val="5B86667A"/>
    <w:rsid w:val="5B913D4A"/>
    <w:rsid w:val="5B937A18"/>
    <w:rsid w:val="5B9E3A7E"/>
    <w:rsid w:val="5BB70D72"/>
    <w:rsid w:val="5BB943D0"/>
    <w:rsid w:val="5BC16D25"/>
    <w:rsid w:val="5BCE0BBE"/>
    <w:rsid w:val="5BF84988"/>
    <w:rsid w:val="5C301B0D"/>
    <w:rsid w:val="5C440275"/>
    <w:rsid w:val="5C745B1B"/>
    <w:rsid w:val="5CA17DEB"/>
    <w:rsid w:val="5CC1261E"/>
    <w:rsid w:val="5CD247BE"/>
    <w:rsid w:val="5CDF6B87"/>
    <w:rsid w:val="5CE67DEB"/>
    <w:rsid w:val="5CEA5E21"/>
    <w:rsid w:val="5D00424E"/>
    <w:rsid w:val="5D082CA8"/>
    <w:rsid w:val="5D15168E"/>
    <w:rsid w:val="5D180872"/>
    <w:rsid w:val="5D3B1D9D"/>
    <w:rsid w:val="5D4445EC"/>
    <w:rsid w:val="5D525074"/>
    <w:rsid w:val="5D55084D"/>
    <w:rsid w:val="5D6767C6"/>
    <w:rsid w:val="5D693750"/>
    <w:rsid w:val="5DB004C1"/>
    <w:rsid w:val="5DB83271"/>
    <w:rsid w:val="5DB96925"/>
    <w:rsid w:val="5DED7038"/>
    <w:rsid w:val="5DEE0EB9"/>
    <w:rsid w:val="5E0660C6"/>
    <w:rsid w:val="5E095650"/>
    <w:rsid w:val="5E236F88"/>
    <w:rsid w:val="5E2D275A"/>
    <w:rsid w:val="5E5011F1"/>
    <w:rsid w:val="5E5B1502"/>
    <w:rsid w:val="5E695F12"/>
    <w:rsid w:val="5E6A7CED"/>
    <w:rsid w:val="5E742035"/>
    <w:rsid w:val="5E77529C"/>
    <w:rsid w:val="5E7B041E"/>
    <w:rsid w:val="5E7E36E2"/>
    <w:rsid w:val="5E82401C"/>
    <w:rsid w:val="5E871DB4"/>
    <w:rsid w:val="5E8A398A"/>
    <w:rsid w:val="5E8F5718"/>
    <w:rsid w:val="5E906ED0"/>
    <w:rsid w:val="5EA47C3A"/>
    <w:rsid w:val="5EB91A43"/>
    <w:rsid w:val="5EBE11D5"/>
    <w:rsid w:val="5EC06B0A"/>
    <w:rsid w:val="5ED432A4"/>
    <w:rsid w:val="5ED87604"/>
    <w:rsid w:val="5EEE3070"/>
    <w:rsid w:val="5F0F3CA2"/>
    <w:rsid w:val="5F2723A4"/>
    <w:rsid w:val="5F452AF3"/>
    <w:rsid w:val="5F476C8D"/>
    <w:rsid w:val="5F597CB5"/>
    <w:rsid w:val="5F601A1F"/>
    <w:rsid w:val="5F614BE5"/>
    <w:rsid w:val="5F841BF9"/>
    <w:rsid w:val="5FA57823"/>
    <w:rsid w:val="5FB713A2"/>
    <w:rsid w:val="5FC03972"/>
    <w:rsid w:val="5FC70A32"/>
    <w:rsid w:val="5FD35251"/>
    <w:rsid w:val="5FE523B4"/>
    <w:rsid w:val="5FE94798"/>
    <w:rsid w:val="5FF45B68"/>
    <w:rsid w:val="601E63C8"/>
    <w:rsid w:val="60276841"/>
    <w:rsid w:val="603A11F0"/>
    <w:rsid w:val="603B545C"/>
    <w:rsid w:val="603E5A45"/>
    <w:rsid w:val="60456C21"/>
    <w:rsid w:val="60684388"/>
    <w:rsid w:val="606E29FE"/>
    <w:rsid w:val="606F0754"/>
    <w:rsid w:val="606F1FC1"/>
    <w:rsid w:val="607E3555"/>
    <w:rsid w:val="608E44B7"/>
    <w:rsid w:val="609F0817"/>
    <w:rsid w:val="60A719A3"/>
    <w:rsid w:val="60AD04D0"/>
    <w:rsid w:val="60BE192C"/>
    <w:rsid w:val="60D05C4E"/>
    <w:rsid w:val="60D42EF4"/>
    <w:rsid w:val="60D6069A"/>
    <w:rsid w:val="60DD4F76"/>
    <w:rsid w:val="60E01D5A"/>
    <w:rsid w:val="60EB1859"/>
    <w:rsid w:val="60F749AA"/>
    <w:rsid w:val="60F7639D"/>
    <w:rsid w:val="60FE4448"/>
    <w:rsid w:val="61005EB0"/>
    <w:rsid w:val="61073BA1"/>
    <w:rsid w:val="61074905"/>
    <w:rsid w:val="611F397F"/>
    <w:rsid w:val="61245D3A"/>
    <w:rsid w:val="612B681D"/>
    <w:rsid w:val="614134D2"/>
    <w:rsid w:val="615B2B13"/>
    <w:rsid w:val="61700EFA"/>
    <w:rsid w:val="6174318C"/>
    <w:rsid w:val="617C3FB0"/>
    <w:rsid w:val="618A2AE1"/>
    <w:rsid w:val="618C4F52"/>
    <w:rsid w:val="61AE3BD1"/>
    <w:rsid w:val="61C603DC"/>
    <w:rsid w:val="61D84114"/>
    <w:rsid w:val="61EB4661"/>
    <w:rsid w:val="62334F52"/>
    <w:rsid w:val="62446C80"/>
    <w:rsid w:val="624A5567"/>
    <w:rsid w:val="626801C4"/>
    <w:rsid w:val="62883972"/>
    <w:rsid w:val="62A91509"/>
    <w:rsid w:val="62E266F6"/>
    <w:rsid w:val="62E57C5A"/>
    <w:rsid w:val="62FB188C"/>
    <w:rsid w:val="63062796"/>
    <w:rsid w:val="630C0C08"/>
    <w:rsid w:val="631665E6"/>
    <w:rsid w:val="632905BE"/>
    <w:rsid w:val="63340102"/>
    <w:rsid w:val="634C6D64"/>
    <w:rsid w:val="635778CE"/>
    <w:rsid w:val="636546C4"/>
    <w:rsid w:val="63741BF9"/>
    <w:rsid w:val="63754CCA"/>
    <w:rsid w:val="638A734F"/>
    <w:rsid w:val="639179A2"/>
    <w:rsid w:val="639C71A5"/>
    <w:rsid w:val="63C27357"/>
    <w:rsid w:val="63CE4BE9"/>
    <w:rsid w:val="63D22032"/>
    <w:rsid w:val="63D6116A"/>
    <w:rsid w:val="63E07F9B"/>
    <w:rsid w:val="63E86A03"/>
    <w:rsid w:val="63F42678"/>
    <w:rsid w:val="63F54659"/>
    <w:rsid w:val="63F947C1"/>
    <w:rsid w:val="64057BEC"/>
    <w:rsid w:val="640C18FE"/>
    <w:rsid w:val="64357CD7"/>
    <w:rsid w:val="64374EF8"/>
    <w:rsid w:val="64474AEE"/>
    <w:rsid w:val="64527253"/>
    <w:rsid w:val="64601085"/>
    <w:rsid w:val="646329F7"/>
    <w:rsid w:val="64636AD3"/>
    <w:rsid w:val="64642EBF"/>
    <w:rsid w:val="64687BF8"/>
    <w:rsid w:val="648E2C7C"/>
    <w:rsid w:val="649429C1"/>
    <w:rsid w:val="64A30A66"/>
    <w:rsid w:val="64B94393"/>
    <w:rsid w:val="64B96D49"/>
    <w:rsid w:val="64BC3FC5"/>
    <w:rsid w:val="64BD7BE4"/>
    <w:rsid w:val="64D3455A"/>
    <w:rsid w:val="64E500E3"/>
    <w:rsid w:val="64E751BB"/>
    <w:rsid w:val="650B05E6"/>
    <w:rsid w:val="65225348"/>
    <w:rsid w:val="652C1B75"/>
    <w:rsid w:val="652D2CC2"/>
    <w:rsid w:val="65332215"/>
    <w:rsid w:val="65411BD5"/>
    <w:rsid w:val="654366C6"/>
    <w:rsid w:val="656960F3"/>
    <w:rsid w:val="65707E5D"/>
    <w:rsid w:val="657151A6"/>
    <w:rsid w:val="65807D8D"/>
    <w:rsid w:val="65851C45"/>
    <w:rsid w:val="658713A2"/>
    <w:rsid w:val="658D290D"/>
    <w:rsid w:val="65A312C8"/>
    <w:rsid w:val="65BC23A4"/>
    <w:rsid w:val="65C81BBA"/>
    <w:rsid w:val="65D142EB"/>
    <w:rsid w:val="65D624EA"/>
    <w:rsid w:val="65ED2582"/>
    <w:rsid w:val="65FC0B92"/>
    <w:rsid w:val="66103C92"/>
    <w:rsid w:val="6621494F"/>
    <w:rsid w:val="662226BE"/>
    <w:rsid w:val="663717AD"/>
    <w:rsid w:val="664107D0"/>
    <w:rsid w:val="665738F6"/>
    <w:rsid w:val="66782E16"/>
    <w:rsid w:val="668429AB"/>
    <w:rsid w:val="66846CE6"/>
    <w:rsid w:val="66882E9B"/>
    <w:rsid w:val="668B799F"/>
    <w:rsid w:val="66AC6DC1"/>
    <w:rsid w:val="66B33504"/>
    <w:rsid w:val="66B44865"/>
    <w:rsid w:val="66B83C92"/>
    <w:rsid w:val="66CA526B"/>
    <w:rsid w:val="66E0375F"/>
    <w:rsid w:val="66EB1F1E"/>
    <w:rsid w:val="66F20CAA"/>
    <w:rsid w:val="66FD0D69"/>
    <w:rsid w:val="67040B74"/>
    <w:rsid w:val="67131B7D"/>
    <w:rsid w:val="67133A19"/>
    <w:rsid w:val="673C004F"/>
    <w:rsid w:val="673C08CB"/>
    <w:rsid w:val="67520B66"/>
    <w:rsid w:val="67576376"/>
    <w:rsid w:val="676174A8"/>
    <w:rsid w:val="6776651F"/>
    <w:rsid w:val="67862545"/>
    <w:rsid w:val="67B0451E"/>
    <w:rsid w:val="67BF453D"/>
    <w:rsid w:val="67F72431"/>
    <w:rsid w:val="67FB726E"/>
    <w:rsid w:val="680E6333"/>
    <w:rsid w:val="68190577"/>
    <w:rsid w:val="681C4C4B"/>
    <w:rsid w:val="682A4360"/>
    <w:rsid w:val="683048BC"/>
    <w:rsid w:val="683D7490"/>
    <w:rsid w:val="684822F5"/>
    <w:rsid w:val="68790FAE"/>
    <w:rsid w:val="687F68C4"/>
    <w:rsid w:val="688B085B"/>
    <w:rsid w:val="688C3295"/>
    <w:rsid w:val="689175CE"/>
    <w:rsid w:val="689E7138"/>
    <w:rsid w:val="68A560D7"/>
    <w:rsid w:val="68AB7C29"/>
    <w:rsid w:val="68AC67AA"/>
    <w:rsid w:val="68AE118D"/>
    <w:rsid w:val="68B27DFC"/>
    <w:rsid w:val="68CA206B"/>
    <w:rsid w:val="68D404A2"/>
    <w:rsid w:val="68EB6311"/>
    <w:rsid w:val="68F203FD"/>
    <w:rsid w:val="691702F9"/>
    <w:rsid w:val="69377750"/>
    <w:rsid w:val="693D5000"/>
    <w:rsid w:val="6942394B"/>
    <w:rsid w:val="696516D2"/>
    <w:rsid w:val="696A42AA"/>
    <w:rsid w:val="696C7B34"/>
    <w:rsid w:val="699053D3"/>
    <w:rsid w:val="69944454"/>
    <w:rsid w:val="69AE0A96"/>
    <w:rsid w:val="69B82AF8"/>
    <w:rsid w:val="69C00A49"/>
    <w:rsid w:val="69C61DD4"/>
    <w:rsid w:val="69C72C35"/>
    <w:rsid w:val="69D125E1"/>
    <w:rsid w:val="69D4610A"/>
    <w:rsid w:val="69E67502"/>
    <w:rsid w:val="6A0A3C46"/>
    <w:rsid w:val="6A1C10DC"/>
    <w:rsid w:val="6A2C45C5"/>
    <w:rsid w:val="6A337BF3"/>
    <w:rsid w:val="6A460807"/>
    <w:rsid w:val="6A562D89"/>
    <w:rsid w:val="6A5973AD"/>
    <w:rsid w:val="6A5F31A5"/>
    <w:rsid w:val="6AB634A4"/>
    <w:rsid w:val="6ABD4159"/>
    <w:rsid w:val="6AF146AC"/>
    <w:rsid w:val="6AF24CE7"/>
    <w:rsid w:val="6B065E03"/>
    <w:rsid w:val="6B0F5701"/>
    <w:rsid w:val="6B115A56"/>
    <w:rsid w:val="6B342E6D"/>
    <w:rsid w:val="6B4627C0"/>
    <w:rsid w:val="6B5716CC"/>
    <w:rsid w:val="6B5C740C"/>
    <w:rsid w:val="6B633799"/>
    <w:rsid w:val="6B64121C"/>
    <w:rsid w:val="6B647C2F"/>
    <w:rsid w:val="6B770D5D"/>
    <w:rsid w:val="6B773232"/>
    <w:rsid w:val="6B7E743A"/>
    <w:rsid w:val="6B80102A"/>
    <w:rsid w:val="6B873E81"/>
    <w:rsid w:val="6B9B7315"/>
    <w:rsid w:val="6BC623F9"/>
    <w:rsid w:val="6BCA3551"/>
    <w:rsid w:val="6BD4041C"/>
    <w:rsid w:val="6BDA4D0B"/>
    <w:rsid w:val="6BEC5E51"/>
    <w:rsid w:val="6BF56633"/>
    <w:rsid w:val="6C111553"/>
    <w:rsid w:val="6C1425D1"/>
    <w:rsid w:val="6C1C442B"/>
    <w:rsid w:val="6C2B23BB"/>
    <w:rsid w:val="6C4F65AD"/>
    <w:rsid w:val="6C796D14"/>
    <w:rsid w:val="6C8E25EB"/>
    <w:rsid w:val="6C9E192F"/>
    <w:rsid w:val="6CA32051"/>
    <w:rsid w:val="6CA6347D"/>
    <w:rsid w:val="6CAA49E7"/>
    <w:rsid w:val="6CAC714F"/>
    <w:rsid w:val="6CAF7517"/>
    <w:rsid w:val="6CBE7235"/>
    <w:rsid w:val="6CCD3441"/>
    <w:rsid w:val="6CF473C1"/>
    <w:rsid w:val="6D095C70"/>
    <w:rsid w:val="6D0D2DA3"/>
    <w:rsid w:val="6D195FAB"/>
    <w:rsid w:val="6D3E1E91"/>
    <w:rsid w:val="6D605E36"/>
    <w:rsid w:val="6D6A5877"/>
    <w:rsid w:val="6D6B0293"/>
    <w:rsid w:val="6D71797C"/>
    <w:rsid w:val="6D8613FD"/>
    <w:rsid w:val="6D8E2973"/>
    <w:rsid w:val="6D8F53CA"/>
    <w:rsid w:val="6D935381"/>
    <w:rsid w:val="6D9D5E35"/>
    <w:rsid w:val="6DA1296C"/>
    <w:rsid w:val="6DA749FD"/>
    <w:rsid w:val="6DAC652F"/>
    <w:rsid w:val="6DB27660"/>
    <w:rsid w:val="6DBA0C23"/>
    <w:rsid w:val="6DCC02D6"/>
    <w:rsid w:val="6DD91726"/>
    <w:rsid w:val="6DE63451"/>
    <w:rsid w:val="6DF06347"/>
    <w:rsid w:val="6DFE1D39"/>
    <w:rsid w:val="6E054F8E"/>
    <w:rsid w:val="6E2A25B6"/>
    <w:rsid w:val="6E2C5640"/>
    <w:rsid w:val="6E3157FE"/>
    <w:rsid w:val="6E3439A7"/>
    <w:rsid w:val="6E4C1202"/>
    <w:rsid w:val="6E4D7CAA"/>
    <w:rsid w:val="6E4F0A82"/>
    <w:rsid w:val="6E614F20"/>
    <w:rsid w:val="6E8A325F"/>
    <w:rsid w:val="6E9403B3"/>
    <w:rsid w:val="6EB91009"/>
    <w:rsid w:val="6EC17941"/>
    <w:rsid w:val="6ED05AF2"/>
    <w:rsid w:val="6ED90EB8"/>
    <w:rsid w:val="6ED96BE5"/>
    <w:rsid w:val="6EE00B16"/>
    <w:rsid w:val="6EED7B5E"/>
    <w:rsid w:val="6F0110FF"/>
    <w:rsid w:val="6F092705"/>
    <w:rsid w:val="6F0F7908"/>
    <w:rsid w:val="6F133456"/>
    <w:rsid w:val="6F201E2F"/>
    <w:rsid w:val="6F2C48BA"/>
    <w:rsid w:val="6F3600A0"/>
    <w:rsid w:val="6F542FC2"/>
    <w:rsid w:val="6F6E6421"/>
    <w:rsid w:val="6F8257FF"/>
    <w:rsid w:val="6F835138"/>
    <w:rsid w:val="6FA3523A"/>
    <w:rsid w:val="6FB21FE6"/>
    <w:rsid w:val="6FBB1A76"/>
    <w:rsid w:val="6FE37A15"/>
    <w:rsid w:val="6FEF78BA"/>
    <w:rsid w:val="700A3BDB"/>
    <w:rsid w:val="700C47ED"/>
    <w:rsid w:val="70213A33"/>
    <w:rsid w:val="702E6D96"/>
    <w:rsid w:val="703A7312"/>
    <w:rsid w:val="703C426A"/>
    <w:rsid w:val="703C720A"/>
    <w:rsid w:val="704E56CD"/>
    <w:rsid w:val="70586D4C"/>
    <w:rsid w:val="70602093"/>
    <w:rsid w:val="70736794"/>
    <w:rsid w:val="7090349D"/>
    <w:rsid w:val="70924268"/>
    <w:rsid w:val="70984BC8"/>
    <w:rsid w:val="70B60FE6"/>
    <w:rsid w:val="70CA5D4E"/>
    <w:rsid w:val="70D56C2A"/>
    <w:rsid w:val="70DA4F31"/>
    <w:rsid w:val="70F76CAF"/>
    <w:rsid w:val="70FE587B"/>
    <w:rsid w:val="712676F2"/>
    <w:rsid w:val="713B3BF3"/>
    <w:rsid w:val="713C31D9"/>
    <w:rsid w:val="713E266D"/>
    <w:rsid w:val="714942AA"/>
    <w:rsid w:val="71512087"/>
    <w:rsid w:val="71542C73"/>
    <w:rsid w:val="71550A68"/>
    <w:rsid w:val="716303CF"/>
    <w:rsid w:val="716564C4"/>
    <w:rsid w:val="717A3AD5"/>
    <w:rsid w:val="717D3F41"/>
    <w:rsid w:val="7187112E"/>
    <w:rsid w:val="7188326A"/>
    <w:rsid w:val="718D3F98"/>
    <w:rsid w:val="719E2AA8"/>
    <w:rsid w:val="71B620B3"/>
    <w:rsid w:val="71CD41B3"/>
    <w:rsid w:val="71E209E0"/>
    <w:rsid w:val="72014FE5"/>
    <w:rsid w:val="720D1F5A"/>
    <w:rsid w:val="721C2B4F"/>
    <w:rsid w:val="721E6F1B"/>
    <w:rsid w:val="72207884"/>
    <w:rsid w:val="72242572"/>
    <w:rsid w:val="723257FB"/>
    <w:rsid w:val="725B461B"/>
    <w:rsid w:val="72682BFD"/>
    <w:rsid w:val="726D3A84"/>
    <w:rsid w:val="72966949"/>
    <w:rsid w:val="72AE56B8"/>
    <w:rsid w:val="72E70371"/>
    <w:rsid w:val="72EC6871"/>
    <w:rsid w:val="72F90EAF"/>
    <w:rsid w:val="72FB1895"/>
    <w:rsid w:val="72FF231D"/>
    <w:rsid w:val="73150997"/>
    <w:rsid w:val="7316547C"/>
    <w:rsid w:val="73276E31"/>
    <w:rsid w:val="73356F0E"/>
    <w:rsid w:val="73363F9E"/>
    <w:rsid w:val="735A056A"/>
    <w:rsid w:val="73651863"/>
    <w:rsid w:val="736F1B58"/>
    <w:rsid w:val="73757817"/>
    <w:rsid w:val="73937531"/>
    <w:rsid w:val="73BC3944"/>
    <w:rsid w:val="73C86109"/>
    <w:rsid w:val="73D26CB2"/>
    <w:rsid w:val="73D86360"/>
    <w:rsid w:val="73DD77BE"/>
    <w:rsid w:val="73F443C3"/>
    <w:rsid w:val="74024C8F"/>
    <w:rsid w:val="74426413"/>
    <w:rsid w:val="74451D35"/>
    <w:rsid w:val="746234E8"/>
    <w:rsid w:val="74717FAD"/>
    <w:rsid w:val="747867A2"/>
    <w:rsid w:val="7479137C"/>
    <w:rsid w:val="74A959E9"/>
    <w:rsid w:val="74E157EF"/>
    <w:rsid w:val="75072079"/>
    <w:rsid w:val="750C1820"/>
    <w:rsid w:val="751B51E2"/>
    <w:rsid w:val="751D11F1"/>
    <w:rsid w:val="75314632"/>
    <w:rsid w:val="754755B0"/>
    <w:rsid w:val="754F723B"/>
    <w:rsid w:val="75750C36"/>
    <w:rsid w:val="75A8505E"/>
    <w:rsid w:val="75AA6C6C"/>
    <w:rsid w:val="75B41312"/>
    <w:rsid w:val="75B52929"/>
    <w:rsid w:val="75BE30A7"/>
    <w:rsid w:val="75CF1A48"/>
    <w:rsid w:val="75E83D18"/>
    <w:rsid w:val="75EF5E81"/>
    <w:rsid w:val="75F86C8B"/>
    <w:rsid w:val="7605318C"/>
    <w:rsid w:val="76072D30"/>
    <w:rsid w:val="76085D47"/>
    <w:rsid w:val="761E39C0"/>
    <w:rsid w:val="76222DAB"/>
    <w:rsid w:val="76420284"/>
    <w:rsid w:val="76426980"/>
    <w:rsid w:val="767633AA"/>
    <w:rsid w:val="76766F2E"/>
    <w:rsid w:val="767C66D2"/>
    <w:rsid w:val="768919E5"/>
    <w:rsid w:val="768B0C69"/>
    <w:rsid w:val="7690575B"/>
    <w:rsid w:val="769B01D8"/>
    <w:rsid w:val="76A4241F"/>
    <w:rsid w:val="76A86FB9"/>
    <w:rsid w:val="76C53BB5"/>
    <w:rsid w:val="76C56DBC"/>
    <w:rsid w:val="76D6052A"/>
    <w:rsid w:val="76EA5A29"/>
    <w:rsid w:val="77361223"/>
    <w:rsid w:val="775A361F"/>
    <w:rsid w:val="779010BC"/>
    <w:rsid w:val="779D5AC2"/>
    <w:rsid w:val="77A03D41"/>
    <w:rsid w:val="77BD678B"/>
    <w:rsid w:val="77F20FC8"/>
    <w:rsid w:val="780A68B1"/>
    <w:rsid w:val="78225AC0"/>
    <w:rsid w:val="784A6D2E"/>
    <w:rsid w:val="784C3424"/>
    <w:rsid w:val="78746ADB"/>
    <w:rsid w:val="78926EA9"/>
    <w:rsid w:val="78A422B0"/>
    <w:rsid w:val="78AD2707"/>
    <w:rsid w:val="78CA1C71"/>
    <w:rsid w:val="78CE1DF2"/>
    <w:rsid w:val="78CF11AC"/>
    <w:rsid w:val="78E832A7"/>
    <w:rsid w:val="78F256F2"/>
    <w:rsid w:val="790A0441"/>
    <w:rsid w:val="791C42B7"/>
    <w:rsid w:val="79303D9E"/>
    <w:rsid w:val="795D0587"/>
    <w:rsid w:val="79835B9A"/>
    <w:rsid w:val="799742AF"/>
    <w:rsid w:val="79986666"/>
    <w:rsid w:val="799B6432"/>
    <w:rsid w:val="799E7555"/>
    <w:rsid w:val="79CD540C"/>
    <w:rsid w:val="79DC0EA9"/>
    <w:rsid w:val="79E41E1A"/>
    <w:rsid w:val="7A0D0E34"/>
    <w:rsid w:val="7A1B386A"/>
    <w:rsid w:val="7A1E0002"/>
    <w:rsid w:val="7A2A0F00"/>
    <w:rsid w:val="7A2A7747"/>
    <w:rsid w:val="7A316B40"/>
    <w:rsid w:val="7A3C3923"/>
    <w:rsid w:val="7A4675B0"/>
    <w:rsid w:val="7A6F4903"/>
    <w:rsid w:val="7A6F776C"/>
    <w:rsid w:val="7A7B25E1"/>
    <w:rsid w:val="7A964E9F"/>
    <w:rsid w:val="7AA22FFA"/>
    <w:rsid w:val="7AA8137A"/>
    <w:rsid w:val="7ABD3582"/>
    <w:rsid w:val="7AD35AF8"/>
    <w:rsid w:val="7AD85A3A"/>
    <w:rsid w:val="7AE168D1"/>
    <w:rsid w:val="7AE3112C"/>
    <w:rsid w:val="7AF0015B"/>
    <w:rsid w:val="7AF45C4C"/>
    <w:rsid w:val="7AF5292D"/>
    <w:rsid w:val="7B063941"/>
    <w:rsid w:val="7B074467"/>
    <w:rsid w:val="7B116D74"/>
    <w:rsid w:val="7B271D12"/>
    <w:rsid w:val="7B284C07"/>
    <w:rsid w:val="7B2A1176"/>
    <w:rsid w:val="7B3C282E"/>
    <w:rsid w:val="7B5E3F9F"/>
    <w:rsid w:val="7B68000C"/>
    <w:rsid w:val="7B6911CF"/>
    <w:rsid w:val="7B6C19BC"/>
    <w:rsid w:val="7B9056E4"/>
    <w:rsid w:val="7BBF3C16"/>
    <w:rsid w:val="7BDA1C07"/>
    <w:rsid w:val="7BE66AC3"/>
    <w:rsid w:val="7BF95883"/>
    <w:rsid w:val="7C201BB7"/>
    <w:rsid w:val="7C335907"/>
    <w:rsid w:val="7C4C46BE"/>
    <w:rsid w:val="7C5C5B2B"/>
    <w:rsid w:val="7C673048"/>
    <w:rsid w:val="7C926035"/>
    <w:rsid w:val="7C941DE2"/>
    <w:rsid w:val="7CA1128D"/>
    <w:rsid w:val="7CA665EE"/>
    <w:rsid w:val="7CBB7DD3"/>
    <w:rsid w:val="7CC06DBF"/>
    <w:rsid w:val="7CC62DE7"/>
    <w:rsid w:val="7CCB7ABB"/>
    <w:rsid w:val="7CF67993"/>
    <w:rsid w:val="7CFA342B"/>
    <w:rsid w:val="7D1946A7"/>
    <w:rsid w:val="7D1C55E1"/>
    <w:rsid w:val="7D4940DA"/>
    <w:rsid w:val="7D5F66CB"/>
    <w:rsid w:val="7D623473"/>
    <w:rsid w:val="7D630B77"/>
    <w:rsid w:val="7D633FB4"/>
    <w:rsid w:val="7D661037"/>
    <w:rsid w:val="7D674EEF"/>
    <w:rsid w:val="7D715D15"/>
    <w:rsid w:val="7D8036DC"/>
    <w:rsid w:val="7D841A97"/>
    <w:rsid w:val="7D973CED"/>
    <w:rsid w:val="7DB0001A"/>
    <w:rsid w:val="7DE91FA1"/>
    <w:rsid w:val="7E13063F"/>
    <w:rsid w:val="7E1620A0"/>
    <w:rsid w:val="7E1672EC"/>
    <w:rsid w:val="7E1B4A9A"/>
    <w:rsid w:val="7E236C24"/>
    <w:rsid w:val="7E332266"/>
    <w:rsid w:val="7E377990"/>
    <w:rsid w:val="7E3C32A3"/>
    <w:rsid w:val="7E5723A5"/>
    <w:rsid w:val="7E9376B2"/>
    <w:rsid w:val="7EA023D2"/>
    <w:rsid w:val="7EA11750"/>
    <w:rsid w:val="7EBD7FBB"/>
    <w:rsid w:val="7EC77749"/>
    <w:rsid w:val="7EF72A9A"/>
    <w:rsid w:val="7EFE1896"/>
    <w:rsid w:val="7F0D10FB"/>
    <w:rsid w:val="7F0D1D7E"/>
    <w:rsid w:val="7F0F1C74"/>
    <w:rsid w:val="7F231371"/>
    <w:rsid w:val="7F2A302C"/>
    <w:rsid w:val="7F397DA6"/>
    <w:rsid w:val="7F3F078E"/>
    <w:rsid w:val="7F4C4AA1"/>
    <w:rsid w:val="7F507707"/>
    <w:rsid w:val="7F507A8E"/>
    <w:rsid w:val="7F5369F5"/>
    <w:rsid w:val="7F661143"/>
    <w:rsid w:val="7F79005E"/>
    <w:rsid w:val="7FAB2A42"/>
    <w:rsid w:val="7FC67AED"/>
    <w:rsid w:val="7FD90E29"/>
    <w:rsid w:val="7FEB19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iPriority="99" w:semiHidden="0" w:name="header"/>
    <w:lsdException w:qFormat="1" w:uiPriority="0" w:semiHidden="0" w:name="footer"/>
    <w:lsdException w:uiPriority="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qFormat="1"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qFormat="1" w:unhideWhenUsed="0" w:uiPriority="0" w:semiHidden="0" w:name="Closing"/>
    <w:lsdException w:uiPriority="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2"/>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423"/>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424"/>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425"/>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link w:val="426"/>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42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42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42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43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Normal Indent"/>
    <w:basedOn w:val="1"/>
    <w:link w:val="432"/>
    <w:qFormat/>
    <w:uiPriority w:val="0"/>
    <w:pPr>
      <w:widowControl/>
      <w:ind w:firstLine="420"/>
      <w:jc w:val="left"/>
    </w:pPr>
    <w:rPr>
      <w:rFonts w:ascii="Calibri" w:hAnsi="Calibri" w:cs="黑体"/>
      <w:szCs w:val="22"/>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tabs>
        <w:tab w:val="left" w:pos="360"/>
        <w:tab w:val="left" w:pos="567"/>
        <w:tab w:val="left" w:pos="840"/>
      </w:tabs>
      <w:ind w:left="567" w:hanging="567"/>
    </w:pPr>
    <w:rPr>
      <w:rFonts w:ascii="Calibri" w:hAnsi="Calibri"/>
      <w:sz w:val="28"/>
      <w:szCs w:val="22"/>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517"/>
    <w:qFormat/>
    <w:uiPriority w:val="0"/>
    <w:pPr>
      <w:shd w:val="clear" w:color="auto" w:fill="000080"/>
    </w:pPr>
  </w:style>
  <w:style w:type="paragraph" w:styleId="21">
    <w:name w:val="annotation text"/>
    <w:basedOn w:val="1"/>
    <w:link w:val="442"/>
    <w:unhideWhenUsed/>
    <w:qFormat/>
    <w:uiPriority w:val="0"/>
    <w:pPr>
      <w:jc w:val="left"/>
    </w:pPr>
  </w:style>
  <w:style w:type="paragraph" w:styleId="22">
    <w:name w:val="Salutation"/>
    <w:basedOn w:val="1"/>
    <w:next w:val="1"/>
    <w:link w:val="431"/>
    <w:qFormat/>
    <w:uiPriority w:val="0"/>
    <w:rPr>
      <w:kern w:val="0"/>
      <w:sz w:val="20"/>
    </w:rPr>
  </w:style>
  <w:style w:type="paragraph" w:styleId="23">
    <w:name w:val="Body Text 3"/>
    <w:basedOn w:val="1"/>
    <w:link w:val="518"/>
    <w:unhideWhenUsed/>
    <w:qFormat/>
    <w:uiPriority w:val="0"/>
    <w:pPr>
      <w:spacing w:beforeLines="50" w:afterLines="50" w:line="360" w:lineRule="auto"/>
    </w:pPr>
    <w:rPr>
      <w:kern w:val="0"/>
      <w:sz w:val="16"/>
      <w:szCs w:val="16"/>
    </w:rPr>
  </w:style>
  <w:style w:type="paragraph" w:styleId="24">
    <w:name w:val="Closing"/>
    <w:basedOn w:val="1"/>
    <w:link w:val="445"/>
    <w:qFormat/>
    <w:uiPriority w:val="0"/>
    <w:pPr>
      <w:ind w:left="100" w:leftChars="2100"/>
    </w:pPr>
    <w:rPr>
      <w:kern w:val="0"/>
      <w:sz w:val="20"/>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next w:val="1"/>
    <w:link w:val="436"/>
    <w:qFormat/>
    <w:uiPriority w:val="0"/>
    <w:pPr>
      <w:widowControl/>
      <w:jc w:val="left"/>
    </w:pPr>
    <w:rPr>
      <w:kern w:val="0"/>
      <w:sz w:val="24"/>
      <w:szCs w:val="20"/>
    </w:rPr>
  </w:style>
  <w:style w:type="paragraph" w:styleId="27">
    <w:name w:val="Body Text Indent"/>
    <w:basedOn w:val="1"/>
    <w:next w:val="28"/>
    <w:link w:val="454"/>
    <w:qFormat/>
    <w:uiPriority w:val="99"/>
    <w:pPr>
      <w:spacing w:after="120"/>
      <w:ind w:left="420" w:leftChars="200"/>
    </w:pPr>
    <w:rPr>
      <w:kern w:val="0"/>
      <w:sz w:val="20"/>
    </w:rPr>
  </w:style>
  <w:style w:type="paragraph" w:styleId="28">
    <w:name w:val="envelope return"/>
    <w:basedOn w:val="1"/>
    <w:qFormat/>
    <w:uiPriority w:val="0"/>
    <w:pPr>
      <w:snapToGrid w:val="0"/>
    </w:pPr>
    <w:rPr>
      <w:rFonts w:ascii="Arial" w:hAnsi="Arial"/>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next w:val="1"/>
    <w:link w:val="447"/>
    <w:qFormat/>
    <w:uiPriority w:val="0"/>
    <w:rPr>
      <w:rFonts w:ascii="宋体" w:hAnsi="Courier New"/>
      <w:kern w:val="0"/>
      <w:sz w:val="20"/>
      <w:szCs w:val="20"/>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449"/>
    <w:qFormat/>
    <w:uiPriority w:val="0"/>
    <w:pPr>
      <w:ind w:left="100" w:leftChars="2500"/>
    </w:pPr>
    <w:rPr>
      <w:kern w:val="0"/>
      <w:sz w:val="20"/>
    </w:rPr>
  </w:style>
  <w:style w:type="paragraph" w:styleId="36">
    <w:name w:val="Body Text Indent 2"/>
    <w:basedOn w:val="1"/>
    <w:link w:val="453"/>
    <w:qFormat/>
    <w:uiPriority w:val="0"/>
    <w:pPr>
      <w:spacing w:line="360" w:lineRule="auto"/>
      <w:ind w:left="839" w:hanging="839" w:hangingChars="355"/>
    </w:pPr>
    <w:rPr>
      <w:b/>
      <w:kern w:val="0"/>
      <w:sz w:val="24"/>
    </w:rPr>
  </w:style>
  <w:style w:type="paragraph" w:styleId="37">
    <w:name w:val="endnote text"/>
    <w:basedOn w:val="1"/>
    <w:link w:val="515"/>
    <w:qFormat/>
    <w:uiPriority w:val="0"/>
    <w:pPr>
      <w:snapToGrid w:val="0"/>
      <w:jc w:val="left"/>
    </w:pPr>
    <w:rPr>
      <w:kern w:val="0"/>
      <w:sz w:val="20"/>
      <w:szCs w:val="20"/>
    </w:rPr>
  </w:style>
  <w:style w:type="paragraph" w:styleId="38">
    <w:name w:val="Balloon Text"/>
    <w:basedOn w:val="1"/>
    <w:link w:val="439"/>
    <w:qFormat/>
    <w:uiPriority w:val="0"/>
    <w:rPr>
      <w:kern w:val="0"/>
      <w:sz w:val="18"/>
      <w:szCs w:val="18"/>
    </w:rPr>
  </w:style>
  <w:style w:type="paragraph" w:styleId="39">
    <w:name w:val="footer"/>
    <w:basedOn w:val="1"/>
    <w:link w:val="434"/>
    <w:unhideWhenUsed/>
    <w:qFormat/>
    <w:uiPriority w:val="0"/>
    <w:pPr>
      <w:tabs>
        <w:tab w:val="center" w:pos="4153"/>
        <w:tab w:val="right" w:pos="8306"/>
      </w:tabs>
      <w:snapToGrid w:val="0"/>
      <w:jc w:val="left"/>
    </w:pPr>
    <w:rPr>
      <w:kern w:val="0"/>
      <w:sz w:val="18"/>
      <w:szCs w:val="18"/>
    </w:rPr>
  </w:style>
  <w:style w:type="paragraph" w:styleId="40">
    <w:name w:val="header"/>
    <w:basedOn w:val="1"/>
    <w:link w:val="4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514"/>
    <w:qFormat/>
    <w:uiPriority w:val="0"/>
    <w:pPr>
      <w:spacing w:before="240" w:after="60" w:line="312" w:lineRule="auto"/>
      <w:jc w:val="center"/>
      <w:outlineLvl w:val="1"/>
    </w:pPr>
    <w:rPr>
      <w:rFonts w:ascii="Cambria" w:hAnsi="Cambria"/>
      <w:b/>
      <w:bCs/>
      <w:kern w:val="28"/>
      <w:sz w:val="32"/>
      <w:szCs w:val="32"/>
    </w:rPr>
  </w:style>
  <w:style w:type="paragraph" w:styleId="44">
    <w:name w:val="List"/>
    <w:basedOn w:val="1"/>
    <w:qFormat/>
    <w:uiPriority w:val="0"/>
    <w:pPr>
      <w:ind w:left="420" w:hanging="420"/>
    </w:pPr>
    <w:rPr>
      <w:sz w:val="24"/>
      <w:szCs w:val="20"/>
    </w:rPr>
  </w:style>
  <w:style w:type="paragraph" w:styleId="45">
    <w:name w:val="toc 6"/>
    <w:basedOn w:val="1"/>
    <w:next w:val="1"/>
    <w:qFormat/>
    <w:uiPriority w:val="39"/>
    <w:pPr>
      <w:ind w:left="1050"/>
      <w:jc w:val="left"/>
    </w:pPr>
    <w:rPr>
      <w:sz w:val="18"/>
      <w:szCs w:val="18"/>
    </w:rPr>
  </w:style>
  <w:style w:type="paragraph" w:styleId="46">
    <w:name w:val="Body Text Indent 3"/>
    <w:basedOn w:val="1"/>
    <w:link w:val="516"/>
    <w:qFormat/>
    <w:uiPriority w:val="0"/>
    <w:pPr>
      <w:ind w:firstLine="480" w:firstLineChars="200"/>
    </w:pPr>
    <w:rPr>
      <w:rFonts w:ascii="幼圆" w:eastAsia="幼圆"/>
      <w:sz w:val="24"/>
      <w:szCs w:val="32"/>
    </w:rPr>
  </w:style>
  <w:style w:type="paragraph" w:styleId="47">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39"/>
    <w:pPr>
      <w:ind w:left="1680"/>
      <w:jc w:val="left"/>
    </w:pPr>
    <w:rPr>
      <w:sz w:val="18"/>
      <w:szCs w:val="18"/>
    </w:rPr>
  </w:style>
  <w:style w:type="paragraph" w:styleId="50">
    <w:name w:val="Body Text 2"/>
    <w:basedOn w:val="1"/>
    <w:link w:val="513"/>
    <w:qFormat/>
    <w:uiPriority w:val="0"/>
    <w:pPr>
      <w:jc w:val="center"/>
    </w:pPr>
    <w:rPr>
      <w:rFonts w:ascii="宋体" w:hAnsi="宋体"/>
      <w:sz w:val="24"/>
    </w:rPr>
  </w:style>
  <w:style w:type="paragraph" w:styleId="51">
    <w:name w:val="List Continue 2"/>
    <w:basedOn w:val="1"/>
    <w:qFormat/>
    <w:uiPriority w:val="0"/>
    <w:pPr>
      <w:spacing w:after="120"/>
      <w:ind w:left="840" w:leftChars="400"/>
    </w:pPr>
  </w:style>
  <w:style w:type="paragraph" w:styleId="52">
    <w:name w:val="HTML Preformatted"/>
    <w:basedOn w:val="1"/>
    <w:link w:val="43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3">
    <w:name w:val="Normal (Web)"/>
    <w:basedOn w:val="1"/>
    <w:link w:val="456"/>
    <w:qFormat/>
    <w:uiPriority w:val="99"/>
    <w:pPr>
      <w:widowControl/>
      <w:spacing w:before="100" w:beforeAutospacing="1" w:after="100" w:afterAutospacing="1"/>
      <w:jc w:val="left"/>
    </w:pPr>
    <w:rPr>
      <w:rFonts w:ascii="宋体" w:hAnsi="宋体"/>
      <w:kern w:val="0"/>
      <w:sz w:val="24"/>
    </w:rPr>
  </w:style>
  <w:style w:type="paragraph" w:styleId="54">
    <w:name w:val="index 1"/>
    <w:basedOn w:val="1"/>
    <w:next w:val="1"/>
    <w:qFormat/>
    <w:uiPriority w:val="0"/>
  </w:style>
  <w:style w:type="paragraph" w:styleId="55">
    <w:name w:val="Title"/>
    <w:basedOn w:val="1"/>
    <w:next w:val="1"/>
    <w:link w:val="510"/>
    <w:qFormat/>
    <w:uiPriority w:val="99"/>
    <w:pPr>
      <w:spacing w:before="240" w:after="60"/>
      <w:jc w:val="center"/>
      <w:outlineLvl w:val="0"/>
    </w:pPr>
    <w:rPr>
      <w:rFonts w:ascii="Arial" w:hAnsi="Arial"/>
      <w:b/>
      <w:bCs/>
      <w:kern w:val="0"/>
      <w:sz w:val="32"/>
      <w:szCs w:val="32"/>
    </w:rPr>
  </w:style>
  <w:style w:type="paragraph" w:styleId="56">
    <w:name w:val="annotation subject"/>
    <w:basedOn w:val="21"/>
    <w:next w:val="21"/>
    <w:link w:val="441"/>
    <w:unhideWhenUsed/>
    <w:qFormat/>
    <w:uiPriority w:val="0"/>
    <w:rPr>
      <w:b/>
      <w:bCs/>
    </w:rPr>
  </w:style>
  <w:style w:type="paragraph" w:styleId="57">
    <w:name w:val="Body Text First Indent"/>
    <w:basedOn w:val="26"/>
    <w:link w:val="512"/>
    <w:qFormat/>
    <w:uiPriority w:val="0"/>
    <w:pPr>
      <w:widowControl w:val="0"/>
      <w:spacing w:after="120"/>
      <w:ind w:firstLine="420" w:firstLineChars="100"/>
      <w:jc w:val="both"/>
    </w:pPr>
    <w:rPr>
      <w:rFonts w:ascii="宋体"/>
      <w:color w:val="000000"/>
      <w:kern w:val="2"/>
      <w:sz w:val="21"/>
      <w:szCs w:val="32"/>
    </w:rPr>
  </w:style>
  <w:style w:type="paragraph" w:styleId="58">
    <w:name w:val="Body Text First Indent 2"/>
    <w:basedOn w:val="27"/>
    <w:next w:val="1"/>
    <w:link w:val="511"/>
    <w:unhideWhenUsed/>
    <w:qFormat/>
    <w:uiPriority w:val="0"/>
    <w:pPr>
      <w:ind w:firstLine="420" w:firstLineChars="200"/>
    </w:pPr>
    <w:rPr>
      <w:rFonts w:ascii="仿宋_GB2312" w:eastAsia="仿宋_GB2312"/>
      <w:color w:val="000000"/>
      <w:sz w:val="24"/>
    </w:r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basedOn w:val="62"/>
    <w:unhideWhenUsed/>
    <w:qFormat/>
    <w:uiPriority w:val="99"/>
    <w:rPr>
      <w:color w:val="800080"/>
      <w:u w:val="single"/>
    </w:rPr>
  </w:style>
  <w:style w:type="character" w:styleId="66">
    <w:name w:val="Emphasis"/>
    <w:qFormat/>
    <w:uiPriority w:val="0"/>
    <w:rPr>
      <w:i/>
      <w:iCs/>
    </w:rPr>
  </w:style>
  <w:style w:type="character" w:styleId="67">
    <w:name w:val="Hyperlink"/>
    <w:qFormat/>
    <w:uiPriority w:val="99"/>
    <w:rPr>
      <w:color w:val="0000FF"/>
      <w:u w:val="single"/>
    </w:rPr>
  </w:style>
  <w:style w:type="character" w:styleId="68">
    <w:name w:val="annotation reference"/>
    <w:unhideWhenUsed/>
    <w:qFormat/>
    <w:uiPriority w:val="0"/>
    <w:rPr>
      <w:sz w:val="21"/>
      <w:szCs w:val="21"/>
    </w:rPr>
  </w:style>
  <w:style w:type="character" w:styleId="69">
    <w:name w:val="HTML Sample"/>
    <w:basedOn w:val="62"/>
    <w:unhideWhenUsed/>
    <w:qFormat/>
    <w:uiPriority w:val="0"/>
    <w:rPr>
      <w:rFonts w:ascii="Courier New" w:hAnsi="Courier New"/>
    </w:rPr>
  </w:style>
  <w:style w:type="paragraph" w:customStyle="1" w:styleId="70">
    <w:name w:val="列表1"/>
    <w:basedOn w:val="1"/>
    <w:qFormat/>
    <w:uiPriority w:val="0"/>
    <w:pPr>
      <w:spacing w:line="480" w:lineRule="atLeast"/>
      <w:ind w:left="420" w:hanging="420"/>
    </w:pPr>
    <w:rPr>
      <w:rFonts w:eastAsia="楷体_GB2312"/>
      <w:sz w:val="32"/>
    </w:rPr>
  </w:style>
  <w:style w:type="paragraph" w:customStyle="1" w:styleId="71">
    <w:name w:val="Char"/>
    <w:basedOn w:val="1"/>
    <w:qFormat/>
    <w:uiPriority w:val="0"/>
    <w:rPr>
      <w:rFonts w:ascii="Tahoma" w:hAnsi="Tahoma" w:cs="仿宋_GB2312"/>
      <w:sz w:val="24"/>
      <w:szCs w:val="28"/>
    </w:rPr>
  </w:style>
  <w:style w:type="paragraph" w:customStyle="1" w:styleId="72">
    <w:name w:val="列出段落1"/>
    <w:basedOn w:val="1"/>
    <w:link w:val="455"/>
    <w:qFormat/>
    <w:uiPriority w:val="34"/>
    <w:pPr>
      <w:ind w:firstLine="420" w:firstLineChars="200"/>
    </w:p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0"/>
    <w:basedOn w:val="1"/>
    <w:qFormat/>
    <w:uiPriority w:val="0"/>
    <w:pPr>
      <w:widowControl/>
      <w:snapToGrid w:val="0"/>
    </w:pPr>
    <w:rPr>
      <w:kern w:val="0"/>
      <w:szCs w:val="21"/>
    </w:rPr>
  </w:style>
  <w:style w:type="paragraph" w:customStyle="1" w:styleId="7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纯文本1"/>
    <w:basedOn w:val="1"/>
    <w:qFormat/>
    <w:uiPriority w:val="0"/>
    <w:pPr>
      <w:adjustRightInd w:val="0"/>
      <w:textAlignment w:val="baseline"/>
    </w:pPr>
    <w:rPr>
      <w:rFonts w:ascii="宋体" w:hAnsi="Courier New" w:eastAsia="楷体_GB2312"/>
      <w:sz w:val="26"/>
      <w:szCs w:val="20"/>
    </w:rPr>
  </w:style>
  <w:style w:type="paragraph" w:customStyle="1" w:styleId="77">
    <w:name w:val="xl83"/>
    <w:basedOn w:val="1"/>
    <w:qFormat/>
    <w:uiPriority w:val="0"/>
    <w:pPr>
      <w:widowControl/>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7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默认段落字体 Para Char"/>
    <w:basedOn w:val="1"/>
    <w:qFormat/>
    <w:uiPriority w:val="0"/>
    <w:pPr>
      <w:adjustRightInd w:val="0"/>
      <w:spacing w:line="360" w:lineRule="auto"/>
    </w:pPr>
    <w:rPr>
      <w:rFonts w:ascii="宋体" w:hAnsi="宋体" w:cs="宋体"/>
      <w:kern w:val="0"/>
      <w:sz w:val="24"/>
      <w:szCs w:val="20"/>
    </w:rPr>
  </w:style>
  <w:style w:type="paragraph" w:customStyle="1" w:styleId="81">
    <w:name w:val="默认段落字体 Para Char Char Char Char"/>
    <w:basedOn w:val="1"/>
    <w:qFormat/>
    <w:uiPriority w:val="0"/>
  </w:style>
  <w:style w:type="paragraph" w:customStyle="1" w:styleId="82">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83">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84">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8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6">
    <w:name w:val="纯文本2"/>
    <w:basedOn w:val="1"/>
    <w:qFormat/>
    <w:uiPriority w:val="0"/>
    <w:pPr>
      <w:adjustRightInd w:val="0"/>
      <w:textAlignment w:val="baseline"/>
    </w:pPr>
    <w:rPr>
      <w:rFonts w:ascii="宋体" w:hAnsi="Courier New" w:eastAsia="楷体_GB2312"/>
      <w:sz w:val="26"/>
      <w:szCs w:val="20"/>
    </w:rPr>
  </w:style>
  <w:style w:type="paragraph" w:customStyle="1" w:styleId="87">
    <w:name w:val="列出段落11"/>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9">
    <w:name w:val="xl36"/>
    <w:basedOn w:val="1"/>
    <w:qFormat/>
    <w:uiPriority w:val="0"/>
    <w:pPr>
      <w:widowControl/>
      <w:spacing w:before="100" w:after="100"/>
      <w:jc w:val="center"/>
    </w:pPr>
    <w:rPr>
      <w:rFonts w:ascii="宋体" w:hAnsi="宋体"/>
      <w:kern w:val="0"/>
      <w:sz w:val="24"/>
      <w:szCs w:val="20"/>
    </w:rPr>
  </w:style>
  <w:style w:type="paragraph" w:customStyle="1" w:styleId="90">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91">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9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段"/>
    <w:link w:val="468"/>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customStyle="1" w:styleId="95">
    <w:name w:val="本级3"/>
    <w:basedOn w:val="1"/>
    <w:next w:val="1"/>
    <w:link w:val="484"/>
    <w:qFormat/>
    <w:uiPriority w:val="0"/>
    <w:pPr>
      <w:keepNext/>
      <w:keepLines/>
      <w:tabs>
        <w:tab w:val="left" w:pos="567"/>
      </w:tabs>
      <w:spacing w:line="360" w:lineRule="auto"/>
      <w:ind w:left="1827" w:leftChars="100" w:right="100" w:rightChars="100" w:hanging="567"/>
      <w:outlineLvl w:val="2"/>
    </w:pPr>
    <w:rPr>
      <w:rFonts w:ascii="仿宋_GB2312" w:hAnsi="仿宋" w:eastAsia="仿宋_GB2312"/>
      <w:b/>
      <w:bCs/>
      <w:sz w:val="32"/>
    </w:rPr>
  </w:style>
  <w:style w:type="paragraph" w:customStyle="1" w:styleId="96">
    <w:name w:val="首行缩进 Char"/>
    <w:basedOn w:val="1"/>
    <w:next w:val="2"/>
    <w:link w:val="486"/>
    <w:qFormat/>
    <w:uiPriority w:val="0"/>
    <w:pPr>
      <w:spacing w:line="300" w:lineRule="auto"/>
      <w:ind w:firstLine="420"/>
    </w:pPr>
    <w:rPr>
      <w:kern w:val="0"/>
      <w:sz w:val="24"/>
    </w:rPr>
  </w:style>
  <w:style w:type="paragraph" w:customStyle="1" w:styleId="97">
    <w:name w:val="常规"/>
    <w:basedOn w:val="1"/>
    <w:link w:val="489"/>
    <w:qFormat/>
    <w:uiPriority w:val="0"/>
    <w:pPr>
      <w:spacing w:beforeLines="100" w:afterLines="100" w:line="360" w:lineRule="auto"/>
      <w:ind w:firstLine="560" w:firstLineChars="200"/>
      <w:jc w:val="center"/>
    </w:pPr>
    <w:rPr>
      <w:rFonts w:ascii="Tahoma" w:hAnsi="Tahoma"/>
      <w:color w:val="000000"/>
      <w:sz w:val="28"/>
      <w:szCs w:val="21"/>
    </w:rPr>
  </w:style>
  <w:style w:type="paragraph" w:customStyle="1" w:styleId="98">
    <w:name w:val="正文新"/>
    <w:basedOn w:val="1"/>
    <w:link w:val="491"/>
    <w:qFormat/>
    <w:uiPriority w:val="0"/>
    <w:pPr>
      <w:spacing w:line="360" w:lineRule="auto"/>
      <w:ind w:firstLine="200" w:firstLineChars="200"/>
      <w:jc w:val="left"/>
    </w:pPr>
    <w:rPr>
      <w:rFonts w:ascii="宋体" w:hAnsi="宋体"/>
      <w:kern w:val="0"/>
      <w:sz w:val="28"/>
      <w:szCs w:val="20"/>
    </w:rPr>
  </w:style>
  <w:style w:type="paragraph" w:customStyle="1" w:styleId="99">
    <w:name w:val="正文缩进2格"/>
    <w:basedOn w:val="1"/>
    <w:link w:val="498"/>
    <w:qFormat/>
    <w:uiPriority w:val="0"/>
    <w:pPr>
      <w:spacing w:line="600" w:lineRule="exact"/>
      <w:ind w:firstLine="639" w:firstLineChars="206"/>
    </w:pPr>
    <w:rPr>
      <w:rFonts w:ascii="仿宋_GB2312" w:hAnsi="宋体" w:eastAsia="仿宋_GB2312"/>
      <w:sz w:val="31"/>
      <w:szCs w:val="20"/>
    </w:rPr>
  </w:style>
  <w:style w:type="paragraph" w:customStyle="1" w:styleId="100">
    <w:name w:val="样式 目录 2 + 宋体"/>
    <w:basedOn w:val="26"/>
    <w:next w:val="26"/>
    <w:link w:val="508"/>
    <w:qFormat/>
    <w:uiPriority w:val="0"/>
    <w:pPr>
      <w:widowControl w:val="0"/>
      <w:spacing w:after="120"/>
      <w:jc w:val="both"/>
    </w:pPr>
    <w:rPr>
      <w:rFonts w:ascii="宋体" w:hAnsi="宋体"/>
      <w:sz w:val="28"/>
    </w:rPr>
  </w:style>
  <w:style w:type="paragraph" w:customStyle="1" w:styleId="101">
    <w:name w:val="Char1"/>
    <w:basedOn w:val="1"/>
    <w:qFormat/>
    <w:uiPriority w:val="0"/>
    <w:rPr>
      <w:rFonts w:ascii="Tahoma" w:hAnsi="Tahoma"/>
      <w:sz w:val="24"/>
      <w:szCs w:val="20"/>
    </w:rPr>
  </w:style>
  <w:style w:type="paragraph" w:customStyle="1" w:styleId="102">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03">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05">
    <w:name w:val="样式3"/>
    <w:qFormat/>
    <w:uiPriority w:val="0"/>
    <w:pPr>
      <w:spacing w:line="300" w:lineRule="auto"/>
    </w:pPr>
    <w:rPr>
      <w:rFonts w:ascii="Times New Roman" w:hAnsi="Times New Roman" w:eastAsia="宋体" w:cs="Times New Roman"/>
      <w:lang w:val="en-US" w:eastAsia="zh-CN" w:bidi="ar-SA"/>
    </w:rPr>
  </w:style>
  <w:style w:type="paragraph" w:customStyle="1" w:styleId="10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107">
    <w:name w:val="表项"/>
    <w:next w:val="10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0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0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110">
    <w:name w:val="Block"/>
    <w:basedOn w:val="1"/>
    <w:next w:val="97"/>
    <w:qFormat/>
    <w:uiPriority w:val="0"/>
    <w:pPr>
      <w:tabs>
        <w:tab w:val="left" w:pos="0"/>
      </w:tabs>
    </w:pPr>
    <w:rPr>
      <w:rFonts w:ascii="Arial" w:hAnsi="Arial" w:eastAsia="楷体_GB2312"/>
      <w:color w:val="000080"/>
      <w:sz w:val="28"/>
      <w:szCs w:val="28"/>
    </w:rPr>
  </w:style>
  <w:style w:type="paragraph" w:customStyle="1" w:styleId="11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113">
    <w:name w:val="样式5"/>
    <w:basedOn w:val="96"/>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114">
    <w:name w:val="样式 标题 3H3h3h31第二层条3Bold Headbh章标题1小标题level_3PIM 3Lev...2"/>
    <w:basedOn w:val="5"/>
    <w:qFormat/>
    <w:uiPriority w:val="0"/>
    <w:pPr>
      <w:tabs>
        <w:tab w:val="left" w:pos="1740"/>
      </w:tabs>
      <w:spacing w:beforeLines="50" w:afterLines="50" w:line="540" w:lineRule="auto"/>
      <w:ind w:left="1740" w:hanging="420"/>
    </w:pPr>
    <w:rPr>
      <w:rFonts w:ascii="宋体" w:hAnsi="宋体" w:eastAsia="黑体" w:cs="宋体"/>
      <w:b w:val="0"/>
      <w:szCs w:val="20"/>
    </w:rPr>
  </w:style>
  <w:style w:type="paragraph" w:customStyle="1" w:styleId="115">
    <w:name w:val="_Style 56"/>
    <w:basedOn w:val="1"/>
    <w:qFormat/>
    <w:uiPriority w:val="0"/>
    <w:pPr>
      <w:ind w:firstLine="420" w:firstLineChars="200"/>
    </w:pPr>
    <w:rPr>
      <w:rFonts w:ascii="Calibri" w:hAnsi="Calibri"/>
      <w:szCs w:val="22"/>
    </w:rPr>
  </w:style>
  <w:style w:type="paragraph" w:customStyle="1" w:styleId="116">
    <w:name w:val="列出段落2"/>
    <w:basedOn w:val="1"/>
    <w:qFormat/>
    <w:uiPriority w:val="0"/>
    <w:pPr>
      <w:ind w:firstLine="420" w:firstLineChars="200"/>
    </w:pPr>
  </w:style>
  <w:style w:type="paragraph" w:customStyle="1" w:styleId="117">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118">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19">
    <w:name w:val="CM2"/>
    <w:basedOn w:val="88"/>
    <w:next w:val="88"/>
    <w:qFormat/>
    <w:uiPriority w:val="0"/>
    <w:pPr>
      <w:spacing w:line="623" w:lineRule="atLeast"/>
    </w:pPr>
    <w:rPr>
      <w:rFonts w:ascii=".a..DD.." w:hAnsi="Times New Roman" w:eastAsia=".a..DD.." w:cs="Times New Roman"/>
      <w:color w:val="auto"/>
    </w:rPr>
  </w:style>
  <w:style w:type="paragraph" w:customStyle="1" w:styleId="120">
    <w:name w:val="Char1 Char Char Char"/>
    <w:basedOn w:val="1"/>
    <w:qFormat/>
    <w:uiPriority w:val="0"/>
    <w:rPr>
      <w:rFonts w:ascii="Tahoma" w:hAnsi="Tahoma"/>
      <w:sz w:val="24"/>
      <w:szCs w:val="20"/>
    </w:rPr>
  </w:style>
  <w:style w:type="paragraph" w:customStyle="1" w:styleId="121">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122">
    <w:name w:val="样式 标题 4 + 段前: 0.5 行 段后: 0.5 行 行距: 多倍行距 1.57 字行"/>
    <w:basedOn w:val="6"/>
    <w:qFormat/>
    <w:uiPriority w:val="0"/>
    <w:pPr>
      <w:tabs>
        <w:tab w:val="left" w:pos="2160"/>
      </w:tabs>
      <w:spacing w:beforeLines="50" w:afterLines="50"/>
      <w:ind w:left="2160" w:hanging="420"/>
    </w:pPr>
    <w:rPr>
      <w:rFonts w:cs="宋体"/>
      <w:b w:val="0"/>
      <w:sz w:val="30"/>
      <w:szCs w:val="30"/>
    </w:rPr>
  </w:style>
  <w:style w:type="paragraph" w:customStyle="1" w:styleId="123">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24">
    <w:name w:val="正文缩进2"/>
    <w:basedOn w:val="1"/>
    <w:qFormat/>
    <w:uiPriority w:val="0"/>
    <w:pPr>
      <w:spacing w:line="360" w:lineRule="auto"/>
      <w:ind w:firstLine="200" w:firstLineChars="200"/>
    </w:pPr>
  </w:style>
  <w:style w:type="paragraph" w:customStyle="1" w:styleId="12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126">
    <w:name w:val="表身（中）"/>
    <w:basedOn w:val="108"/>
    <w:qFormat/>
    <w:uiPriority w:val="0"/>
    <w:pPr>
      <w:jc w:val="center"/>
    </w:pPr>
  </w:style>
  <w:style w:type="paragraph" w:customStyle="1" w:styleId="127">
    <w:name w:val="项目编号1级"/>
    <w:basedOn w:val="124"/>
    <w:qFormat/>
    <w:uiPriority w:val="0"/>
    <w:pPr>
      <w:tabs>
        <w:tab w:val="left" w:pos="840"/>
      </w:tabs>
      <w:ind w:left="840" w:hanging="420" w:firstLineChars="0"/>
    </w:pPr>
  </w:style>
  <w:style w:type="paragraph" w:customStyle="1" w:styleId="128">
    <w:name w:val="一级无"/>
    <w:basedOn w:val="129"/>
    <w:qFormat/>
    <w:uiPriority w:val="0"/>
    <w:pPr>
      <w:spacing w:beforeLines="0" w:afterLines="0"/>
    </w:pPr>
    <w:rPr>
      <w:rFonts w:ascii="宋体" w:eastAsia="宋体"/>
    </w:rPr>
  </w:style>
  <w:style w:type="paragraph" w:customStyle="1" w:styleId="129">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30">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132">
    <w:name w:val="正"/>
    <w:basedOn w:val="1"/>
    <w:qFormat/>
    <w:uiPriority w:val="0"/>
    <w:pPr>
      <w:ind w:firstLine="525"/>
    </w:pPr>
    <w:rPr>
      <w:spacing w:val="20"/>
      <w:szCs w:val="20"/>
    </w:rPr>
  </w:style>
  <w:style w:type="paragraph" w:customStyle="1" w:styleId="133">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134">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135">
    <w:name w:val="不缩进"/>
    <w:basedOn w:val="1"/>
    <w:qFormat/>
    <w:uiPriority w:val="0"/>
    <w:pPr>
      <w:spacing w:line="360" w:lineRule="auto"/>
      <w:jc w:val="center"/>
    </w:pPr>
    <w:rPr>
      <w:b/>
      <w:bCs/>
      <w:sz w:val="28"/>
      <w:szCs w:val="21"/>
    </w:rPr>
  </w:style>
  <w:style w:type="paragraph" w:customStyle="1" w:styleId="136">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37">
    <w:name w:val="小标"/>
    <w:basedOn w:val="1"/>
    <w:qFormat/>
    <w:uiPriority w:val="0"/>
    <w:rPr>
      <w:rFonts w:hint="eastAsia" w:ascii="黑体" w:eastAsia="黑体"/>
      <w:spacing w:val="20"/>
      <w:szCs w:val="20"/>
    </w:rPr>
  </w:style>
  <w:style w:type="paragraph" w:customStyle="1" w:styleId="138">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139">
    <w:name w:val="正文悬挂缩进4"/>
    <w:basedOn w:val="1"/>
    <w:qFormat/>
    <w:uiPriority w:val="0"/>
    <w:pPr>
      <w:spacing w:line="360" w:lineRule="auto"/>
      <w:ind w:left="839"/>
    </w:pPr>
  </w:style>
  <w:style w:type="paragraph" w:customStyle="1" w:styleId="14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141">
    <w:name w:val="警告"/>
    <w:basedOn w:val="1"/>
    <w:next w:val="97"/>
    <w:qFormat/>
    <w:uiPriority w:val="0"/>
    <w:pPr>
      <w:shd w:val="clear" w:color="auto" w:fill="FFD1D1"/>
      <w:tabs>
        <w:tab w:val="left" w:pos="360"/>
        <w:tab w:val="left" w:pos="1800"/>
      </w:tabs>
      <w:spacing w:beforeLines="100" w:afterLines="100"/>
      <w:ind w:left="425" w:hanging="425" w:firstLineChars="200"/>
      <w:jc w:val="left"/>
    </w:pPr>
    <w:rPr>
      <w:rFonts w:ascii="Tahoma" w:hAnsi="Tahoma" w:eastAsia="楷体_GB2312"/>
      <w:color w:val="000000"/>
      <w:sz w:val="28"/>
      <w:szCs w:val="21"/>
    </w:rPr>
  </w:style>
  <w:style w:type="paragraph" w:customStyle="1" w:styleId="142">
    <w:name w:val="样式 标题 1 + 非加粗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bCs w:val="0"/>
      <w:szCs w:val="20"/>
    </w:rPr>
  </w:style>
  <w:style w:type="paragraph" w:customStyle="1" w:styleId="143">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44">
    <w:name w:val="样式 标题 1章节标题b1 + 段前: 6 磅"/>
    <w:basedOn w:val="3"/>
    <w:qFormat/>
    <w:uiPriority w:val="0"/>
    <w:pPr>
      <w:widowControl w:val="0"/>
      <w:tabs>
        <w:tab w:val="left" w:pos="1320"/>
        <w:tab w:val="left" w:pos="1740"/>
      </w:tabs>
      <w:spacing w:before="0" w:after="0" w:line="360" w:lineRule="auto"/>
      <w:jc w:val="both"/>
    </w:pPr>
    <w:rPr>
      <w:rFonts w:ascii="宋体" w:hAnsi="宋体" w:cs="宋体"/>
      <w:color w:val="000000"/>
      <w:kern w:val="2"/>
      <w:sz w:val="28"/>
      <w:szCs w:val="21"/>
    </w:rPr>
  </w:style>
  <w:style w:type="paragraph" w:customStyle="1" w:styleId="145">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7">
    <w:name w:val="样式 标题 + 段前: 0.5 行 段后: 0.5 行"/>
    <w:basedOn w:val="55"/>
    <w:qFormat/>
    <w:uiPriority w:val="0"/>
  </w:style>
  <w:style w:type="paragraph" w:customStyle="1" w:styleId="14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49">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50">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51">
    <w:name w:val="表格标题1"/>
    <w:basedOn w:val="152"/>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15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53">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156">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样式 标题 2 + 段前: 0.5 行 段后: 0.5 行"/>
    <w:basedOn w:val="4"/>
    <w:qFormat/>
    <w:uiPriority w:val="0"/>
    <w:pPr>
      <w:tabs>
        <w:tab w:val="left" w:pos="1320"/>
      </w:tabs>
      <w:spacing w:beforeLines="50" w:afterLines="50" w:line="360" w:lineRule="auto"/>
      <w:jc w:val="left"/>
    </w:pPr>
    <w:rPr>
      <w:rFonts w:cs="宋体"/>
      <w:b w:val="0"/>
      <w:szCs w:val="20"/>
    </w:rPr>
  </w:style>
  <w:style w:type="paragraph" w:customStyle="1" w:styleId="158">
    <w:name w:val="正文1"/>
    <w:basedOn w:val="1"/>
    <w:qFormat/>
    <w:uiPriority w:val="0"/>
    <w:pPr>
      <w:spacing w:line="360" w:lineRule="auto"/>
      <w:ind w:firstLine="200" w:firstLineChars="200"/>
    </w:pPr>
  </w:style>
  <w:style w:type="paragraph" w:customStyle="1" w:styleId="15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0">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62">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4">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165">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166">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标准"/>
    <w:basedOn w:val="1"/>
    <w:qFormat/>
    <w:uiPriority w:val="0"/>
    <w:pPr>
      <w:autoSpaceDE w:val="0"/>
      <w:autoSpaceDN w:val="0"/>
      <w:adjustRightInd w:val="0"/>
      <w:ind w:firstLine="600"/>
      <w:textAlignment w:val="baseline"/>
    </w:pPr>
    <w:rPr>
      <w:kern w:val="0"/>
      <w:sz w:val="28"/>
      <w:szCs w:val="20"/>
    </w:rPr>
  </w:style>
  <w:style w:type="paragraph" w:customStyle="1" w:styleId="168">
    <w:name w:val="项目编号2级"/>
    <w:basedOn w:val="127"/>
    <w:qFormat/>
    <w:uiPriority w:val="0"/>
  </w:style>
  <w:style w:type="paragraph" w:customStyle="1" w:styleId="169">
    <w:name w:val="标题3"/>
    <w:basedOn w:val="1"/>
    <w:qFormat/>
    <w:uiPriority w:val="0"/>
    <w:pPr>
      <w:spacing w:beforeLines="50" w:afterLines="50" w:line="300" w:lineRule="exact"/>
    </w:pPr>
    <w:rPr>
      <w:b/>
      <w:bCs/>
    </w:rPr>
  </w:style>
  <w:style w:type="paragraph" w:customStyle="1" w:styleId="170">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1">
    <w:name w:val="书目1"/>
    <w:basedOn w:val="1"/>
    <w:next w:val="1"/>
    <w:unhideWhenUsed/>
    <w:qFormat/>
    <w:uiPriority w:val="37"/>
    <w:pPr>
      <w:spacing w:line="360" w:lineRule="auto"/>
      <w:ind w:firstLine="200" w:firstLineChars="200"/>
      <w:jc w:val="left"/>
    </w:pPr>
    <w:rPr>
      <w:sz w:val="24"/>
    </w:rPr>
  </w:style>
  <w:style w:type="paragraph" w:customStyle="1" w:styleId="172">
    <w:name w:val="正文居中小5"/>
    <w:basedOn w:val="1"/>
    <w:qFormat/>
    <w:uiPriority w:val="0"/>
    <w:pPr>
      <w:spacing w:line="360" w:lineRule="auto"/>
      <w:jc w:val="center"/>
    </w:pPr>
    <w:rPr>
      <w:rFonts w:ascii="Arial" w:hAnsi="Arial"/>
      <w:sz w:val="18"/>
    </w:rPr>
  </w:style>
  <w:style w:type="paragraph" w:customStyle="1" w:styleId="173">
    <w:name w:val="样式 样式 标题 + 段前: 0.5 行 段后: 0.5 行 + 段前: 0.5 行 段后: 0.5 行"/>
    <w:basedOn w:val="147"/>
    <w:qFormat/>
    <w:uiPriority w:val="0"/>
    <w:pPr>
      <w:spacing w:beforeLines="50" w:afterLines="50" w:line="360" w:lineRule="auto"/>
    </w:pPr>
    <w:rPr>
      <w:rFonts w:eastAsia="黑体" w:cs="宋体"/>
      <w:sz w:val="72"/>
      <w:szCs w:val="20"/>
      <w:u w:val="double"/>
    </w:rPr>
  </w:style>
  <w:style w:type="paragraph" w:customStyle="1" w:styleId="174">
    <w:name w:val="Char111"/>
    <w:basedOn w:val="1"/>
    <w:qFormat/>
    <w:uiPriority w:val="0"/>
  </w:style>
  <w:style w:type="paragraph" w:customStyle="1" w:styleId="175">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7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177">
    <w:name w:val="Figure Description"/>
    <w:basedOn w:val="1"/>
    <w:next w:val="97"/>
    <w:qFormat/>
    <w:uiPriority w:val="0"/>
    <w:pPr>
      <w:keepNext/>
      <w:keepLines/>
      <w:spacing w:afterLines="100" w:line="360" w:lineRule="auto"/>
      <w:jc w:val="center"/>
    </w:pPr>
    <w:rPr>
      <w:rFonts w:ascii="Tahoma" w:hAnsi="Tahoma"/>
      <w:sz w:val="24"/>
    </w:rPr>
  </w:style>
  <w:style w:type="paragraph" w:customStyle="1" w:styleId="178">
    <w:name w:val="lgh排序1"/>
    <w:basedOn w:val="33"/>
    <w:qFormat/>
    <w:uiPriority w:val="0"/>
    <w:pPr>
      <w:tabs>
        <w:tab w:val="left" w:pos="360"/>
      </w:tabs>
      <w:spacing w:line="360" w:lineRule="auto"/>
      <w:ind w:firstLine="480" w:firstLineChars="200"/>
    </w:pPr>
    <w:rPr>
      <w:rFonts w:hAnsi="宋体"/>
      <w:sz w:val="24"/>
    </w:rPr>
  </w:style>
  <w:style w:type="paragraph" w:customStyle="1" w:styleId="179">
    <w:name w:val="Char21"/>
    <w:basedOn w:val="1"/>
    <w:qFormat/>
    <w:uiPriority w:val="0"/>
  </w:style>
  <w:style w:type="paragraph" w:customStyle="1" w:styleId="180">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8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18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5">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正文居中"/>
    <w:basedOn w:val="1"/>
    <w:next w:val="36"/>
    <w:qFormat/>
    <w:uiPriority w:val="0"/>
    <w:pPr>
      <w:adjustRightInd w:val="0"/>
      <w:snapToGrid w:val="0"/>
      <w:ind w:firstLine="480" w:firstLineChars="200"/>
    </w:pPr>
    <w:rPr>
      <w:rFonts w:ascii="宋体" w:hAnsi="宋体"/>
      <w:sz w:val="24"/>
    </w:rPr>
  </w:style>
  <w:style w:type="paragraph" w:customStyle="1" w:styleId="187">
    <w:name w:val="表格正文2"/>
    <w:basedOn w:val="1"/>
    <w:qFormat/>
    <w:uiPriority w:val="0"/>
    <w:pPr>
      <w:adjustRightInd w:val="0"/>
      <w:snapToGrid w:val="0"/>
      <w:spacing w:line="400" w:lineRule="atLeast"/>
      <w:jc w:val="left"/>
    </w:pPr>
    <w:rPr>
      <w:sz w:val="24"/>
      <w:szCs w:val="20"/>
    </w:rPr>
  </w:style>
  <w:style w:type="paragraph" w:customStyle="1" w:styleId="188">
    <w:name w:val="复选框1"/>
    <w:basedOn w:val="1"/>
    <w:qFormat/>
    <w:uiPriority w:val="0"/>
    <w:pPr>
      <w:widowControl/>
      <w:spacing w:before="360" w:after="360"/>
      <w:jc w:val="left"/>
    </w:pPr>
    <w:rPr>
      <w:kern w:val="0"/>
      <w:sz w:val="20"/>
      <w:szCs w:val="20"/>
    </w:rPr>
  </w:style>
  <w:style w:type="paragraph" w:customStyle="1" w:styleId="18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0">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191">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192">
    <w:name w:val="样式 标题 1 +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szCs w:val="20"/>
    </w:rPr>
  </w:style>
  <w:style w:type="paragraph" w:customStyle="1" w:styleId="193">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94">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19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19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97">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198">
    <w:name w:val="Body Text 21"/>
    <w:basedOn w:val="1"/>
    <w:qFormat/>
    <w:uiPriority w:val="0"/>
    <w:pPr>
      <w:adjustRightInd w:val="0"/>
      <w:spacing w:line="240" w:lineRule="exact"/>
      <w:textAlignment w:val="baseline"/>
    </w:pPr>
    <w:rPr>
      <w:rFonts w:ascii="宋体"/>
      <w:kern w:val="0"/>
      <w:sz w:val="18"/>
      <w:szCs w:val="20"/>
    </w:rPr>
  </w:style>
  <w:style w:type="paragraph" w:customStyle="1" w:styleId="19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00">
    <w:name w:val="样式 样式 标题 2 + 段前: 0.5 行 段后: 0.5 行2 + 段前: 0.5 行 段后: 0.5 行"/>
    <w:basedOn w:val="201"/>
    <w:qFormat/>
    <w:uiPriority w:val="0"/>
    <w:pPr>
      <w:tabs>
        <w:tab w:val="left" w:pos="1320"/>
      </w:tabs>
    </w:pPr>
    <w:rPr>
      <w:b w:val="0"/>
    </w:rPr>
  </w:style>
  <w:style w:type="paragraph" w:customStyle="1" w:styleId="201">
    <w:name w:val="样式 标题 2 + 段前: 0.5 行 段后: 0.5 行2"/>
    <w:basedOn w:val="4"/>
    <w:qFormat/>
    <w:uiPriority w:val="0"/>
    <w:pPr>
      <w:tabs>
        <w:tab w:val="left" w:pos="1320"/>
      </w:tabs>
      <w:spacing w:beforeLines="50" w:afterLines="50" w:line="360" w:lineRule="auto"/>
      <w:jc w:val="left"/>
    </w:pPr>
    <w:rPr>
      <w:rFonts w:cs="宋体"/>
      <w:sz w:val="36"/>
      <w:szCs w:val="20"/>
    </w:rPr>
  </w:style>
  <w:style w:type="paragraph" w:customStyle="1" w:styleId="202">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203">
    <w:name w:val="Char2"/>
    <w:basedOn w:val="1"/>
    <w:qFormat/>
    <w:uiPriority w:val="0"/>
    <w:pPr>
      <w:jc w:val="center"/>
    </w:pPr>
    <w:rPr>
      <w:rFonts w:ascii="宋体" w:hAnsi="宋体"/>
      <w:b/>
      <w:szCs w:val="21"/>
    </w:rPr>
  </w:style>
  <w:style w:type="paragraph" w:customStyle="1" w:styleId="2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5">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206">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07">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208">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样式 标题 3H3h3h31第二层条3Bold Headbh章标题1小标题level_3PIM 3Lev..."/>
    <w:basedOn w:val="5"/>
    <w:qFormat/>
    <w:uiPriority w:val="0"/>
    <w:pPr>
      <w:tabs>
        <w:tab w:val="left" w:pos="1931"/>
      </w:tabs>
      <w:spacing w:before="156" w:after="156" w:line="360" w:lineRule="auto"/>
      <w:ind w:left="1418" w:hanging="567"/>
    </w:pPr>
    <w:rPr>
      <w:rFonts w:eastAsia="楷体_GB2312" w:cs="宋体"/>
      <w:sz w:val="44"/>
      <w:szCs w:val="20"/>
    </w:rPr>
  </w:style>
  <w:style w:type="paragraph" w:customStyle="1" w:styleId="212">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eastAsia="仿宋_GB2312" w:cs="宋体"/>
      <w:sz w:val="30"/>
      <w:szCs w:val="20"/>
    </w:rPr>
  </w:style>
  <w:style w:type="paragraph" w:customStyle="1" w:styleId="2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15">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216">
    <w:name w:val="样式 标题 1H1Header1h1标题4L1bocLevel 1 Topic Heading标书1Secti..."/>
    <w:basedOn w:val="3"/>
    <w:qFormat/>
    <w:uiPriority w:val="0"/>
    <w:pPr>
      <w:pageBreakBefore/>
      <w:widowControl w:val="0"/>
      <w:tabs>
        <w:tab w:val="left" w:pos="425"/>
      </w:tabs>
      <w:spacing w:before="100" w:beforeAutospacing="1" w:afterLines="100" w:line="360" w:lineRule="auto"/>
      <w:ind w:left="425" w:hanging="425"/>
    </w:pPr>
    <w:rPr>
      <w:rFonts w:eastAsia="黑体" w:cs="宋体"/>
      <w:szCs w:val="20"/>
    </w:rPr>
  </w:style>
  <w:style w:type="paragraph" w:customStyle="1" w:styleId="217">
    <w:name w:val="Table Description"/>
    <w:next w:val="1"/>
    <w:qFormat/>
    <w:uiPriority w:val="0"/>
    <w:pPr>
      <w:keepNext/>
      <w:snapToGrid w:val="0"/>
      <w:spacing w:before="160" w:after="80"/>
      <w:ind w:left="1038"/>
      <w:jc w:val="center"/>
    </w:pPr>
    <w:rPr>
      <w:rFonts w:ascii="Arial" w:hAnsi="Arial" w:eastAsia="黑体" w:cs="Times New Roman"/>
      <w:sz w:val="18"/>
      <w:lang w:val="en-US" w:eastAsia="zh-CN" w:bidi="ar-SA"/>
    </w:rPr>
  </w:style>
  <w:style w:type="paragraph" w:customStyle="1" w:styleId="21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1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0">
    <w:name w:val="小四 段落 宋体 Char Char Char"/>
    <w:basedOn w:val="16"/>
    <w:qFormat/>
    <w:uiPriority w:val="0"/>
    <w:pPr>
      <w:tabs>
        <w:tab w:val="clear" w:pos="567"/>
      </w:tabs>
      <w:spacing w:line="360" w:lineRule="auto"/>
      <w:ind w:left="0" w:right="-33" w:firstLine="480" w:firstLineChars="200"/>
      <w:jc w:val="left"/>
    </w:pPr>
    <w:rPr>
      <w:rFonts w:ascii="Times New Roman" w:hAnsi="Times New Roman"/>
      <w:sz w:val="24"/>
      <w:szCs w:val="20"/>
    </w:rPr>
  </w:style>
  <w:style w:type="paragraph" w:customStyle="1" w:styleId="22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22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2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2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2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2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30">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231">
    <w:name w:val="样式 标题 2（x.x）节二级标题H2h2h212Header 2l2Level 2 HeadH2norm..."/>
    <w:basedOn w:val="4"/>
    <w:qFormat/>
    <w:uiPriority w:val="0"/>
    <w:pPr>
      <w:tabs>
        <w:tab w:val="left" w:pos="992"/>
      </w:tabs>
      <w:spacing w:before="100" w:beforeAutospacing="1"/>
      <w:ind w:left="992" w:hanging="567"/>
      <w:jc w:val="left"/>
    </w:pPr>
    <w:rPr>
      <w:rFonts w:eastAsia="楷体_GB2312" w:cs="宋体"/>
      <w:sz w:val="36"/>
      <w:szCs w:val="20"/>
    </w:rPr>
  </w:style>
  <w:style w:type="paragraph" w:customStyle="1" w:styleId="232">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3">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3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37">
    <w:name w:val="Absatz2AL"/>
    <w:basedOn w:val="26"/>
    <w:next w:val="1"/>
    <w:qFormat/>
    <w:uiPriority w:val="0"/>
    <w:pPr>
      <w:overflowPunct w:val="0"/>
      <w:autoSpaceDE w:val="0"/>
      <w:autoSpaceDN w:val="0"/>
      <w:adjustRightInd w:val="0"/>
      <w:jc w:val="both"/>
      <w:textAlignment w:val="baseline"/>
    </w:pPr>
    <w:rPr>
      <w:rFonts w:eastAsia="楷体_GB2312"/>
    </w:rPr>
  </w:style>
  <w:style w:type="paragraph" w:customStyle="1" w:styleId="238">
    <w:name w:val="Item Step in Table"/>
    <w:basedOn w:val="1"/>
    <w:qFormat/>
    <w:uiPriority w:val="0"/>
    <w:pPr>
      <w:tabs>
        <w:tab w:val="left" w:pos="420"/>
      </w:tabs>
      <w:ind w:left="420" w:hanging="420"/>
      <w:jc w:val="left"/>
    </w:pPr>
    <w:rPr>
      <w:rFonts w:ascii="Tahoma" w:hAnsi="Tahoma"/>
      <w:sz w:val="28"/>
      <w:szCs w:val="21"/>
    </w:rPr>
  </w:style>
  <w:style w:type="paragraph" w:customStyle="1" w:styleId="239">
    <w:name w:val="WPS Plain"/>
    <w:qFormat/>
    <w:uiPriority w:val="0"/>
    <w:rPr>
      <w:rFonts w:ascii="Times New Roman" w:hAnsi="Times New Roman" w:eastAsia="宋体" w:cs="Times New Roman"/>
      <w:lang w:val="en-US" w:eastAsia="zh-CN" w:bidi="ar-SA"/>
    </w:rPr>
  </w:style>
  <w:style w:type="paragraph" w:customStyle="1" w:styleId="2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241">
    <w:name w:val="Char Char Char Char1"/>
    <w:basedOn w:val="1"/>
    <w:qFormat/>
    <w:uiPriority w:val="0"/>
    <w:rPr>
      <w:rFonts w:ascii="仿宋_GB2312" w:eastAsia="仿宋_GB2312"/>
      <w:b/>
      <w:sz w:val="32"/>
      <w:szCs w:val="32"/>
    </w:rPr>
  </w:style>
  <w:style w:type="paragraph" w:customStyle="1" w:styleId="242">
    <w:name w:val="样式 标题 3 + 段前: 0.5 行 段后: 0.5 行"/>
    <w:basedOn w:val="5"/>
    <w:qFormat/>
    <w:uiPriority w:val="0"/>
    <w:pPr>
      <w:tabs>
        <w:tab w:val="left" w:pos="720"/>
      </w:tabs>
      <w:spacing w:before="100" w:beforeAutospacing="1" w:after="100" w:afterAutospacing="1" w:line="360" w:lineRule="auto"/>
    </w:pPr>
    <w:rPr>
      <w:rFonts w:ascii="Arial" w:hAnsi="Arial" w:eastAsia="黑体" w:cs="宋体"/>
      <w:b w:val="0"/>
      <w:sz w:val="28"/>
      <w:szCs w:val="20"/>
    </w:rPr>
  </w:style>
  <w:style w:type="paragraph" w:customStyle="1" w:styleId="24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44">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245">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46">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24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8">
    <w:name w:val="CM3"/>
    <w:basedOn w:val="88"/>
    <w:next w:val="88"/>
    <w:qFormat/>
    <w:uiPriority w:val="0"/>
    <w:pPr>
      <w:spacing w:line="626" w:lineRule="atLeast"/>
    </w:pPr>
    <w:rPr>
      <w:rFonts w:ascii=".a..DD.." w:hAnsi="Times New Roman" w:eastAsia=".a..DD.." w:cs="Times New Roman"/>
      <w:color w:val="auto"/>
    </w:rPr>
  </w:style>
  <w:style w:type="paragraph" w:customStyle="1" w:styleId="249">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50">
    <w:name w:val="Figure"/>
    <w:basedOn w:val="1"/>
    <w:next w:val="177"/>
    <w:qFormat/>
    <w:uiPriority w:val="0"/>
    <w:pPr>
      <w:keepNext/>
      <w:ind w:left="1701"/>
    </w:pPr>
  </w:style>
  <w:style w:type="paragraph" w:customStyle="1" w:styleId="251">
    <w:name w:val="项目编号一级"/>
    <w:basedOn w:val="1"/>
    <w:qFormat/>
    <w:uiPriority w:val="0"/>
    <w:pPr>
      <w:tabs>
        <w:tab w:val="left" w:pos="900"/>
      </w:tabs>
      <w:spacing w:line="360" w:lineRule="auto"/>
      <w:ind w:left="900" w:hanging="420"/>
    </w:pPr>
  </w:style>
  <w:style w:type="paragraph" w:customStyle="1" w:styleId="252">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53">
    <w:name w:val="四级条标题"/>
    <w:basedOn w:val="254"/>
    <w:next w:val="1"/>
    <w:qFormat/>
    <w:uiPriority w:val="0"/>
    <w:pPr>
      <w:outlineLvl w:val="5"/>
    </w:pPr>
  </w:style>
  <w:style w:type="paragraph" w:customStyle="1" w:styleId="254">
    <w:name w:val="三级条标题"/>
    <w:basedOn w:val="255"/>
    <w:next w:val="1"/>
    <w:qFormat/>
    <w:uiPriority w:val="0"/>
    <w:pPr>
      <w:outlineLvl w:val="4"/>
    </w:pPr>
  </w:style>
  <w:style w:type="paragraph" w:customStyle="1" w:styleId="255">
    <w:name w:val="二级条标题"/>
    <w:basedOn w:val="129"/>
    <w:next w:val="1"/>
    <w:qFormat/>
    <w:uiPriority w:val="0"/>
    <w:pPr>
      <w:outlineLvl w:val="3"/>
    </w:pPr>
  </w:style>
  <w:style w:type="paragraph" w:customStyle="1" w:styleId="256">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cs="宋体"/>
      <w:b w:val="0"/>
      <w:sz w:val="24"/>
      <w:szCs w:val="20"/>
    </w:rPr>
  </w:style>
  <w:style w:type="paragraph" w:customStyle="1" w:styleId="257">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258">
    <w:name w:val="正文(单倍行距)"/>
    <w:basedOn w:val="1"/>
    <w:qFormat/>
    <w:uiPriority w:val="0"/>
    <w:pPr>
      <w:adjustRightInd w:val="0"/>
      <w:snapToGrid w:val="0"/>
      <w:jc w:val="center"/>
    </w:pPr>
  </w:style>
  <w:style w:type="paragraph" w:customStyle="1" w:styleId="259">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0">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61">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62">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26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6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6">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67">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268">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26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0">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271">
    <w:name w:val="Char Char Char Char2"/>
    <w:basedOn w:val="1"/>
    <w:qFormat/>
    <w:uiPriority w:val="0"/>
    <w:pPr>
      <w:spacing w:line="360" w:lineRule="auto"/>
      <w:ind w:firstLine="200" w:firstLineChars="200"/>
      <w:jc w:val="left"/>
    </w:pPr>
    <w:rPr>
      <w:rFonts w:ascii="仿宋_GB2312" w:eastAsia="仿宋_GB2312"/>
      <w:b/>
      <w:sz w:val="32"/>
      <w:szCs w:val="32"/>
    </w:rPr>
  </w:style>
  <w:style w:type="paragraph" w:customStyle="1" w:styleId="272">
    <w:name w:val="Char11"/>
    <w:basedOn w:val="1"/>
    <w:qFormat/>
    <w:uiPriority w:val="0"/>
  </w:style>
  <w:style w:type="paragraph" w:customStyle="1" w:styleId="27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74">
    <w:name w:val="列表 21"/>
    <w:basedOn w:val="1"/>
    <w:qFormat/>
    <w:uiPriority w:val="0"/>
    <w:pPr>
      <w:ind w:left="100" w:leftChars="200" w:hanging="200" w:hangingChars="200"/>
    </w:pPr>
  </w:style>
  <w:style w:type="paragraph" w:customStyle="1" w:styleId="275">
    <w:name w:val="正文悬挂缩进6"/>
    <w:basedOn w:val="139"/>
    <w:qFormat/>
    <w:uiPriority w:val="0"/>
    <w:pPr>
      <w:tabs>
        <w:tab w:val="left" w:pos="1259"/>
      </w:tabs>
      <w:ind w:left="600" w:leftChars="600"/>
    </w:pPr>
  </w:style>
  <w:style w:type="paragraph" w:customStyle="1" w:styleId="2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7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8">
    <w:name w:val="1"/>
    <w:basedOn w:val="40"/>
    <w:qFormat/>
    <w:uiPriority w:val="0"/>
    <w:pPr>
      <w:pBdr>
        <w:bottom w:val="none" w:color="auto" w:sz="0" w:space="0"/>
      </w:pBdr>
    </w:pPr>
    <w:rPr>
      <w:rFonts w:ascii="Calibri" w:hAnsi="Calibri" w:eastAsia="华文新魏"/>
      <w:sz w:val="21"/>
      <w:szCs w:val="20"/>
    </w:rPr>
  </w:style>
  <w:style w:type="paragraph" w:customStyle="1" w:styleId="279">
    <w:name w:val="我的正文格式"/>
    <w:basedOn w:val="1"/>
    <w:next w:val="1"/>
    <w:qFormat/>
    <w:uiPriority w:val="0"/>
    <w:pPr>
      <w:snapToGrid w:val="0"/>
      <w:spacing w:line="288" w:lineRule="auto"/>
      <w:ind w:left="540" w:hanging="540" w:hangingChars="225"/>
    </w:pPr>
    <w:rPr>
      <w:sz w:val="24"/>
    </w:rPr>
  </w:style>
  <w:style w:type="paragraph" w:customStyle="1" w:styleId="280">
    <w:name w:val="版权所有"/>
    <w:basedOn w:val="1"/>
    <w:qFormat/>
    <w:uiPriority w:val="0"/>
    <w:pPr>
      <w:spacing w:beforeLines="100" w:afterLines="100" w:line="360" w:lineRule="auto"/>
    </w:pPr>
    <w:rPr>
      <w:rFonts w:ascii="Arial" w:hAnsi="Arial" w:eastAsia="黑体"/>
      <w:b/>
      <w:sz w:val="30"/>
      <w:u w:val="single"/>
    </w:rPr>
  </w:style>
  <w:style w:type="paragraph" w:customStyle="1" w:styleId="281">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82">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sz w:val="36"/>
      <w:szCs w:val="20"/>
    </w:rPr>
  </w:style>
  <w:style w:type="paragraph" w:customStyle="1" w:styleId="283">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5">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28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87">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CM20"/>
    <w:basedOn w:val="88"/>
    <w:next w:val="88"/>
    <w:qFormat/>
    <w:uiPriority w:val="0"/>
    <w:pPr>
      <w:spacing w:after="115"/>
    </w:pPr>
    <w:rPr>
      <w:rFonts w:ascii=".a..DD.." w:hAnsi="Times New Roman" w:eastAsia=".a..DD.." w:cs="Times New Roman"/>
      <w:color w:val="auto"/>
    </w:rPr>
  </w:style>
  <w:style w:type="paragraph" w:customStyle="1" w:styleId="289">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90">
    <w:name w:val="样式 样式 标题 2 + 段前: 0.5 行 段后: 0.5 行 + 段前: 0.5 行 段后: 0.5 行"/>
    <w:basedOn w:val="157"/>
    <w:qFormat/>
    <w:uiPriority w:val="0"/>
    <w:pPr>
      <w:spacing w:beforeLines="0" w:beforeAutospacing="1" w:afterLines="0" w:afterAutospacing="1"/>
      <w:ind w:left="576" w:hanging="576"/>
    </w:pPr>
    <w:rPr>
      <w:bCs w:val="0"/>
    </w:rPr>
  </w:style>
  <w:style w:type="paragraph" w:customStyle="1" w:styleId="291">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2">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293">
    <w:name w:val="表文"/>
    <w:basedOn w:val="1"/>
    <w:qFormat/>
    <w:uiPriority w:val="0"/>
    <w:pPr>
      <w:spacing w:line="300" w:lineRule="auto"/>
      <w:jc w:val="center"/>
      <w:textAlignment w:val="baseline"/>
    </w:pPr>
    <w:rPr>
      <w:kern w:val="0"/>
      <w:szCs w:val="20"/>
    </w:rPr>
  </w:style>
  <w:style w:type="paragraph" w:customStyle="1" w:styleId="294">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95">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296">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297">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样式 样式 标题 5 + 段前: 0.5 行 段后: 0.5 行 + 段前: 0.5 行 段后: 0.5 行"/>
    <w:basedOn w:val="112"/>
    <w:qFormat/>
    <w:uiPriority w:val="0"/>
    <w:rPr>
      <w:bCs w:val="0"/>
    </w:rPr>
  </w:style>
  <w:style w:type="paragraph" w:customStyle="1" w:styleId="299">
    <w:name w:val="样式 标题 3H3h3h31第二层条3Bold Headbh章标题1小标题level_3PIM 3Lev...1"/>
    <w:basedOn w:val="5"/>
    <w:qFormat/>
    <w:uiPriority w:val="0"/>
    <w:pPr>
      <w:tabs>
        <w:tab w:val="left" w:pos="1740"/>
      </w:tabs>
      <w:spacing w:beforeLines="50" w:afterLines="50" w:line="360" w:lineRule="auto"/>
      <w:ind w:left="1740" w:hanging="420"/>
    </w:pPr>
    <w:rPr>
      <w:rFonts w:ascii="Arial" w:hAnsi="Arial" w:eastAsia="黑体" w:cs="宋体"/>
      <w:b w:val="0"/>
      <w:szCs w:val="20"/>
    </w:rPr>
  </w:style>
  <w:style w:type="paragraph" w:customStyle="1" w:styleId="3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2">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04">
    <w:name w:val="表格2"/>
    <w:basedOn w:val="1"/>
    <w:qFormat/>
    <w:uiPriority w:val="0"/>
    <w:pPr>
      <w:snapToGrid w:val="0"/>
      <w:jc w:val="center"/>
    </w:pPr>
    <w:rPr>
      <w:rFonts w:ascii="Arial" w:hAnsi="Arial" w:cs="Arial"/>
      <w:snapToGrid w:val="0"/>
      <w:kern w:val="0"/>
      <w:sz w:val="24"/>
    </w:rPr>
  </w:style>
  <w:style w:type="paragraph" w:customStyle="1" w:styleId="305">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标题2"/>
    <w:basedOn w:val="1"/>
    <w:qFormat/>
    <w:uiPriority w:val="0"/>
    <w:pPr>
      <w:spacing w:beforeLines="50" w:afterLines="50" w:line="300" w:lineRule="exact"/>
    </w:pPr>
    <w:rPr>
      <w:b/>
      <w:bCs/>
    </w:rPr>
  </w:style>
  <w:style w:type="paragraph" w:customStyle="1" w:styleId="308">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0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31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12">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3">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14">
    <w:name w:val="小四 段落 宋体 Char Char"/>
    <w:basedOn w:val="220"/>
    <w:qFormat/>
    <w:uiPriority w:val="0"/>
    <w:pPr>
      <w:tabs>
        <w:tab w:val="clear" w:pos="360"/>
        <w:tab w:val="clear" w:pos="840"/>
      </w:tabs>
    </w:pPr>
  </w:style>
  <w:style w:type="paragraph" w:customStyle="1" w:styleId="315">
    <w:name w:val="标书正文"/>
    <w:basedOn w:val="1"/>
    <w:qFormat/>
    <w:uiPriority w:val="0"/>
    <w:pPr>
      <w:spacing w:line="360" w:lineRule="auto"/>
      <w:ind w:firstLine="497" w:firstLineChars="207"/>
    </w:pPr>
    <w:rPr>
      <w:sz w:val="24"/>
      <w:szCs w:val="20"/>
    </w:rPr>
  </w:style>
  <w:style w:type="paragraph" w:customStyle="1" w:styleId="316">
    <w:name w:val="_Style 20"/>
    <w:basedOn w:val="1"/>
    <w:qFormat/>
    <w:uiPriority w:val="0"/>
    <w:rPr>
      <w:rFonts w:ascii="Tahoma" w:hAnsi="Tahoma"/>
      <w:sz w:val="24"/>
      <w:szCs w:val="20"/>
    </w:rPr>
  </w:style>
  <w:style w:type="paragraph" w:customStyle="1" w:styleId="31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18">
    <w:name w:val="四级无"/>
    <w:basedOn w:val="253"/>
    <w:qFormat/>
    <w:uiPriority w:val="0"/>
    <w:pPr>
      <w:tabs>
        <w:tab w:val="left" w:pos="360"/>
      </w:tabs>
      <w:spacing w:beforeLines="0" w:afterLines="0"/>
    </w:pPr>
    <w:rPr>
      <w:rFonts w:ascii="宋体" w:eastAsia="宋体"/>
    </w:rPr>
  </w:style>
  <w:style w:type="paragraph" w:customStyle="1" w:styleId="3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0">
    <w:name w:val="Char3"/>
    <w:basedOn w:val="1"/>
    <w:qFormat/>
    <w:uiPriority w:val="0"/>
    <w:rPr>
      <w:rFonts w:ascii="Tahoma" w:hAnsi="Tahoma" w:cs="仿宋_GB2312"/>
      <w:sz w:val="24"/>
      <w:szCs w:val="28"/>
    </w:rPr>
  </w:style>
  <w:style w:type="paragraph" w:customStyle="1" w:styleId="32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2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24">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5">
    <w:name w:val="样式 首行缩进:  2 字符2 + 居中"/>
    <w:basedOn w:val="247"/>
    <w:qFormat/>
    <w:uiPriority w:val="0"/>
    <w:pPr>
      <w:adjustRightInd/>
      <w:snapToGrid/>
      <w:ind w:firstLine="0" w:firstLineChars="0"/>
      <w:jc w:val="center"/>
    </w:pPr>
    <w:rPr>
      <w:sz w:val="28"/>
      <w:szCs w:val="20"/>
    </w:rPr>
  </w:style>
  <w:style w:type="paragraph" w:customStyle="1" w:styleId="326">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27">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8">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9">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30">
    <w:name w:val="Char Char Char Char Char Char Char1"/>
    <w:basedOn w:val="1"/>
    <w:qFormat/>
    <w:uiPriority w:val="0"/>
  </w:style>
  <w:style w:type="paragraph" w:customStyle="1" w:styleId="331">
    <w:name w:val="pa-13"/>
    <w:basedOn w:val="1"/>
    <w:qFormat/>
    <w:uiPriority w:val="0"/>
    <w:pPr>
      <w:widowControl/>
      <w:spacing w:line="240" w:lineRule="atLeast"/>
    </w:pPr>
    <w:rPr>
      <w:rFonts w:ascii="宋体" w:hAnsi="宋体" w:cs="宋体"/>
      <w:kern w:val="0"/>
      <w:sz w:val="24"/>
    </w:rPr>
  </w:style>
  <w:style w:type="paragraph" w:customStyle="1" w:styleId="33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3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4">
    <w:name w:val="列出段落3"/>
    <w:basedOn w:val="1"/>
    <w:qFormat/>
    <w:uiPriority w:val="0"/>
    <w:pPr>
      <w:ind w:firstLine="420" w:firstLineChars="200"/>
    </w:pPr>
    <w:rPr>
      <w:szCs w:val="20"/>
    </w:rPr>
  </w:style>
  <w:style w:type="paragraph" w:customStyle="1" w:styleId="335">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336">
    <w:name w:val="目录"/>
    <w:basedOn w:val="1"/>
    <w:qFormat/>
    <w:uiPriority w:val="0"/>
    <w:pPr>
      <w:widowControl/>
      <w:jc w:val="center"/>
    </w:pPr>
    <w:rPr>
      <w:rFonts w:ascii="宋体"/>
      <w:b/>
      <w:kern w:val="0"/>
      <w:sz w:val="36"/>
      <w:szCs w:val="20"/>
    </w:rPr>
  </w:style>
  <w:style w:type="paragraph" w:customStyle="1" w:styleId="33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40">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1">
    <w:name w:val="三级无"/>
    <w:basedOn w:val="254"/>
    <w:qFormat/>
    <w:uiPriority w:val="0"/>
    <w:pPr>
      <w:spacing w:beforeLines="0" w:afterLines="0"/>
    </w:pPr>
    <w:rPr>
      <w:rFonts w:ascii="宋体" w:eastAsia="宋体"/>
    </w:rPr>
  </w:style>
  <w:style w:type="paragraph" w:customStyle="1" w:styleId="342">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3">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4">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348">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49">
    <w:name w:val="表格1"/>
    <w:basedOn w:val="1"/>
    <w:qFormat/>
    <w:uiPriority w:val="0"/>
    <w:pPr>
      <w:tabs>
        <w:tab w:val="left" w:pos="203"/>
      </w:tabs>
      <w:spacing w:before="40" w:after="40"/>
      <w:jc w:val="center"/>
    </w:pPr>
    <w:rPr>
      <w:b/>
      <w:sz w:val="28"/>
      <w:szCs w:val="20"/>
    </w:rPr>
  </w:style>
  <w:style w:type="paragraph" w:customStyle="1" w:styleId="3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351">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2">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353">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354">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55">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56">
    <w:name w:val="Char Char Char"/>
    <w:basedOn w:val="1"/>
    <w:qFormat/>
    <w:uiPriority w:val="0"/>
    <w:rPr>
      <w:rFonts w:ascii="Tahoma" w:hAnsi="Tahoma" w:cs="Angsana New"/>
      <w:sz w:val="24"/>
      <w:szCs w:val="20"/>
    </w:rPr>
  </w:style>
  <w:style w:type="paragraph" w:customStyle="1" w:styleId="357">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8">
    <w:name w:val="文档控制号等"/>
    <w:basedOn w:val="1"/>
    <w:qFormat/>
    <w:uiPriority w:val="0"/>
    <w:pPr>
      <w:spacing w:line="360" w:lineRule="auto"/>
      <w:jc w:val="left"/>
    </w:pPr>
  </w:style>
  <w:style w:type="paragraph" w:customStyle="1" w:styleId="35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0">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61">
    <w:name w:val="书目11"/>
    <w:basedOn w:val="1"/>
    <w:next w:val="1"/>
    <w:unhideWhenUsed/>
    <w:qFormat/>
    <w:uiPriority w:val="37"/>
    <w:pPr>
      <w:spacing w:line="360" w:lineRule="auto"/>
      <w:ind w:firstLine="200" w:firstLineChars="200"/>
      <w:jc w:val="left"/>
    </w:pPr>
    <w:rPr>
      <w:sz w:val="24"/>
    </w:rPr>
  </w:style>
  <w:style w:type="paragraph" w:customStyle="1" w:styleId="36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363">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64">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36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6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37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7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37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5">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7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7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79">
    <w:name w:val="标题1"/>
    <w:basedOn w:val="3"/>
    <w:qFormat/>
    <w:uiPriority w:val="0"/>
    <w:pPr>
      <w:widowControl w:val="0"/>
      <w:tabs>
        <w:tab w:val="left" w:pos="839"/>
      </w:tabs>
      <w:adjustRightInd w:val="0"/>
      <w:spacing w:before="0" w:after="0" w:line="360" w:lineRule="auto"/>
      <w:ind w:left="1276" w:hanging="425"/>
      <w:textAlignment w:val="baseline"/>
    </w:pPr>
    <w:rPr>
      <w:rFonts w:ascii="黑体" w:hAnsi="宋体" w:eastAsia="黑体"/>
      <w:bCs w:val="0"/>
      <w:kern w:val="11"/>
      <w:sz w:val="28"/>
      <w:szCs w:val="20"/>
    </w:rPr>
  </w:style>
  <w:style w:type="paragraph" w:customStyle="1" w:styleId="380">
    <w:name w:val="五级条标题"/>
    <w:basedOn w:val="253"/>
    <w:next w:val="1"/>
    <w:qFormat/>
    <w:uiPriority w:val="0"/>
    <w:pPr>
      <w:outlineLvl w:val="6"/>
    </w:pPr>
  </w:style>
  <w:style w:type="paragraph" w:customStyle="1" w:styleId="38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83">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4">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38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87">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389">
    <w:name w:val="pa-10"/>
    <w:basedOn w:val="1"/>
    <w:qFormat/>
    <w:uiPriority w:val="0"/>
    <w:pPr>
      <w:widowControl/>
      <w:spacing w:line="280" w:lineRule="atLeast"/>
    </w:pPr>
    <w:rPr>
      <w:rFonts w:ascii="宋体" w:hAnsi="宋体" w:cs="宋体"/>
      <w:kern w:val="0"/>
      <w:sz w:val="24"/>
    </w:rPr>
  </w:style>
  <w:style w:type="paragraph" w:customStyle="1" w:styleId="390">
    <w:name w:val="TOC 标题1"/>
    <w:basedOn w:val="3"/>
    <w:next w:val="1"/>
    <w:qFormat/>
    <w:uiPriority w:val="39"/>
    <w:pPr>
      <w:tabs>
        <w:tab w:val="left" w:pos="1320"/>
        <w:tab w:val="left" w:pos="1740"/>
      </w:tabs>
      <w:spacing w:before="480" w:after="0" w:line="276" w:lineRule="auto"/>
      <w:outlineLvl w:val="9"/>
    </w:pPr>
    <w:rPr>
      <w:rFonts w:ascii="Cambria" w:hAnsi="Cambria"/>
      <w:color w:val="365F91"/>
      <w:kern w:val="0"/>
      <w:sz w:val="28"/>
      <w:szCs w:val="28"/>
    </w:rPr>
  </w:style>
  <w:style w:type="paragraph" w:customStyle="1" w:styleId="391">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2">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93">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4">
    <w:name w:val="表格标题3"/>
    <w:basedOn w:val="292"/>
    <w:qFormat/>
    <w:uiPriority w:val="0"/>
    <w:pPr>
      <w:tabs>
        <w:tab w:val="left" w:pos="570"/>
        <w:tab w:val="left" w:pos="720"/>
        <w:tab w:val="clear" w:pos="1620"/>
      </w:tabs>
      <w:ind w:left="570" w:hanging="570"/>
    </w:pPr>
  </w:style>
  <w:style w:type="paragraph" w:customStyle="1" w:styleId="395">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9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8">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00">
    <w:name w:val="二级无"/>
    <w:basedOn w:val="255"/>
    <w:qFormat/>
    <w:uiPriority w:val="0"/>
    <w:pPr>
      <w:spacing w:beforeLines="0" w:afterLines="0"/>
    </w:pPr>
    <w:rPr>
      <w:rFonts w:ascii="宋体" w:eastAsia="宋体"/>
    </w:rPr>
  </w:style>
  <w:style w:type="paragraph" w:customStyle="1" w:styleId="401">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2">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6">
    <w:name w:val="节标题"/>
    <w:basedOn w:val="1"/>
    <w:qFormat/>
    <w:uiPriority w:val="0"/>
    <w:pPr>
      <w:widowControl/>
      <w:spacing w:line="289" w:lineRule="atLeast"/>
      <w:jc w:val="center"/>
      <w:textAlignment w:val="baseline"/>
    </w:pPr>
    <w:rPr>
      <w:color w:val="000000"/>
      <w:kern w:val="0"/>
      <w:sz w:val="28"/>
      <w:szCs w:val="20"/>
      <w:u w:val="none" w:color="000000"/>
    </w:rPr>
  </w:style>
  <w:style w:type="paragraph" w:customStyle="1" w:styleId="40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8">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09">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Char Char Char Char Char Char Char"/>
    <w:basedOn w:val="1"/>
    <w:qFormat/>
    <w:uiPriority w:val="0"/>
  </w:style>
  <w:style w:type="paragraph" w:customStyle="1" w:styleId="411">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412">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413">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14">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5">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16">
    <w:name w:val="正文3号仿宋"/>
    <w:basedOn w:val="1"/>
    <w:link w:val="519"/>
    <w:qFormat/>
    <w:uiPriority w:val="0"/>
    <w:pPr>
      <w:adjustRightInd w:val="0"/>
      <w:spacing w:line="360" w:lineRule="auto"/>
      <w:ind w:firstLine="480" w:firstLineChars="200"/>
      <w:textAlignment w:val="baseline"/>
    </w:pPr>
    <w:rPr>
      <w:rFonts w:ascii="宋体" w:hAnsi="宋体"/>
      <w:kern w:val="0"/>
      <w:sz w:val="24"/>
    </w:rPr>
  </w:style>
  <w:style w:type="paragraph" w:customStyle="1" w:styleId="417">
    <w:name w:val="段落小标题"/>
    <w:basedOn w:val="1"/>
    <w:link w:val="520"/>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418">
    <w:name w:val="正文（缩进）"/>
    <w:basedOn w:val="1"/>
    <w:link w:val="521"/>
    <w:qFormat/>
    <w:uiPriority w:val="0"/>
    <w:pPr>
      <w:widowControl/>
      <w:spacing w:beforeLines="50" w:afterLines="50" w:line="360" w:lineRule="auto"/>
      <w:ind w:firstLine="480" w:firstLineChars="200"/>
      <w:jc w:val="left"/>
    </w:pPr>
    <w:rPr>
      <w:rFonts w:ascii="宋体" w:hAnsi="宋体"/>
      <w:kern w:val="0"/>
      <w:sz w:val="24"/>
    </w:rPr>
  </w:style>
  <w:style w:type="paragraph" w:customStyle="1" w:styleId="419">
    <w:name w:val="正文3"/>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20">
    <w:name w:val="纯文本3"/>
    <w:basedOn w:val="1"/>
    <w:qFormat/>
    <w:uiPriority w:val="0"/>
    <w:rPr>
      <w:rFonts w:ascii="宋体" w:hAnsi="Courier New"/>
      <w:kern w:val="0"/>
      <w:sz w:val="20"/>
      <w:szCs w:val="20"/>
    </w:rPr>
  </w:style>
  <w:style w:type="paragraph" w:customStyle="1" w:styleId="421">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22">
    <w:name w:val="标题 1 字符"/>
    <w:link w:val="3"/>
    <w:qFormat/>
    <w:uiPriority w:val="0"/>
    <w:rPr>
      <w:rFonts w:ascii="Times New Roman" w:hAnsi="Times New Roman" w:eastAsia="宋体" w:cs="Times New Roman"/>
      <w:b/>
      <w:bCs/>
      <w:kern w:val="44"/>
      <w:sz w:val="44"/>
      <w:szCs w:val="44"/>
    </w:rPr>
  </w:style>
  <w:style w:type="character" w:customStyle="1" w:styleId="423">
    <w:name w:val="标题 2 字符"/>
    <w:link w:val="4"/>
    <w:qFormat/>
    <w:uiPriority w:val="0"/>
    <w:rPr>
      <w:rFonts w:ascii="Arial" w:hAnsi="Arial" w:eastAsia="黑体" w:cs="Times New Roman"/>
      <w:b/>
      <w:bCs/>
      <w:sz w:val="32"/>
      <w:szCs w:val="32"/>
    </w:rPr>
  </w:style>
  <w:style w:type="character" w:customStyle="1" w:styleId="424">
    <w:name w:val="标题 3 字符"/>
    <w:link w:val="5"/>
    <w:qFormat/>
    <w:uiPriority w:val="0"/>
    <w:rPr>
      <w:rFonts w:ascii="Times New Roman" w:hAnsi="Times New Roman" w:eastAsia="宋体" w:cs="Times New Roman"/>
      <w:b/>
      <w:bCs/>
      <w:sz w:val="32"/>
      <w:szCs w:val="32"/>
    </w:rPr>
  </w:style>
  <w:style w:type="character" w:customStyle="1" w:styleId="425">
    <w:name w:val="标题 4 字符"/>
    <w:link w:val="6"/>
    <w:qFormat/>
    <w:uiPriority w:val="0"/>
    <w:rPr>
      <w:rFonts w:ascii="Arial" w:hAnsi="Arial" w:eastAsia="黑体" w:cs="Times New Roman"/>
      <w:b/>
      <w:bCs/>
      <w:sz w:val="28"/>
      <w:szCs w:val="28"/>
    </w:rPr>
  </w:style>
  <w:style w:type="character" w:customStyle="1" w:styleId="426">
    <w:name w:val="标题 5 字符"/>
    <w:basedOn w:val="62"/>
    <w:link w:val="7"/>
    <w:qFormat/>
    <w:uiPriority w:val="0"/>
    <w:rPr>
      <w:rFonts w:ascii="Calibri" w:hAnsi="Calibri"/>
      <w:b/>
      <w:bCs/>
      <w:kern w:val="2"/>
      <w:sz w:val="28"/>
      <w:szCs w:val="28"/>
    </w:rPr>
  </w:style>
  <w:style w:type="character" w:customStyle="1" w:styleId="427">
    <w:name w:val="标题 6 字符"/>
    <w:basedOn w:val="62"/>
    <w:link w:val="8"/>
    <w:qFormat/>
    <w:uiPriority w:val="0"/>
    <w:rPr>
      <w:rFonts w:ascii="Arial" w:hAnsi="Arial" w:eastAsia="黑体"/>
      <w:b/>
      <w:bCs/>
      <w:sz w:val="24"/>
      <w:szCs w:val="24"/>
    </w:rPr>
  </w:style>
  <w:style w:type="character" w:customStyle="1" w:styleId="428">
    <w:name w:val="标题 7 字符"/>
    <w:basedOn w:val="62"/>
    <w:link w:val="9"/>
    <w:qFormat/>
    <w:uiPriority w:val="0"/>
    <w:rPr>
      <w:b/>
      <w:bCs/>
      <w:sz w:val="24"/>
      <w:szCs w:val="24"/>
    </w:rPr>
  </w:style>
  <w:style w:type="character" w:customStyle="1" w:styleId="429">
    <w:name w:val="标题 8 字符"/>
    <w:basedOn w:val="62"/>
    <w:link w:val="10"/>
    <w:qFormat/>
    <w:uiPriority w:val="0"/>
    <w:rPr>
      <w:rFonts w:ascii="Arial" w:hAnsi="Arial" w:eastAsia="黑体"/>
      <w:sz w:val="24"/>
      <w:szCs w:val="24"/>
    </w:rPr>
  </w:style>
  <w:style w:type="character" w:customStyle="1" w:styleId="430">
    <w:name w:val="标题 9 字符"/>
    <w:basedOn w:val="62"/>
    <w:link w:val="11"/>
    <w:qFormat/>
    <w:uiPriority w:val="0"/>
    <w:rPr>
      <w:rFonts w:ascii="Arial" w:hAnsi="Arial" w:eastAsia="黑体"/>
      <w:sz w:val="21"/>
      <w:szCs w:val="21"/>
    </w:rPr>
  </w:style>
  <w:style w:type="character" w:customStyle="1" w:styleId="431">
    <w:name w:val="称呼 字符"/>
    <w:link w:val="22"/>
    <w:qFormat/>
    <w:uiPriority w:val="0"/>
    <w:rPr>
      <w:rFonts w:ascii="Times New Roman" w:hAnsi="Times New Roman" w:eastAsia="宋体" w:cs="Times New Roman"/>
      <w:szCs w:val="24"/>
    </w:rPr>
  </w:style>
  <w:style w:type="character" w:customStyle="1" w:styleId="432">
    <w:name w:val="正文缩进 字符"/>
    <w:basedOn w:val="62"/>
    <w:link w:val="2"/>
    <w:qFormat/>
    <w:uiPriority w:val="0"/>
  </w:style>
  <w:style w:type="character" w:customStyle="1" w:styleId="433">
    <w:name w:val="纯文本 Char1"/>
    <w:qFormat/>
    <w:uiPriority w:val="0"/>
    <w:rPr>
      <w:rFonts w:ascii="宋体" w:hAnsi="Courier New" w:eastAsia="宋体" w:cs="Courier New"/>
      <w:szCs w:val="21"/>
    </w:rPr>
  </w:style>
  <w:style w:type="character" w:customStyle="1" w:styleId="434">
    <w:name w:val="页脚 字符"/>
    <w:link w:val="39"/>
    <w:qFormat/>
    <w:uiPriority w:val="0"/>
    <w:rPr>
      <w:sz w:val="18"/>
      <w:szCs w:val="18"/>
    </w:rPr>
  </w:style>
  <w:style w:type="character" w:customStyle="1" w:styleId="435">
    <w:name w:val="HTML 预设格式 字符"/>
    <w:link w:val="52"/>
    <w:qFormat/>
    <w:uiPriority w:val="99"/>
    <w:rPr>
      <w:rFonts w:ascii="宋体" w:hAnsi="宋体" w:eastAsia="宋体" w:cs="宋体"/>
      <w:kern w:val="0"/>
      <w:sz w:val="24"/>
      <w:szCs w:val="24"/>
    </w:rPr>
  </w:style>
  <w:style w:type="character" w:customStyle="1" w:styleId="436">
    <w:name w:val="正文文本 字符"/>
    <w:link w:val="26"/>
    <w:qFormat/>
    <w:uiPriority w:val="0"/>
    <w:rPr>
      <w:rFonts w:ascii="Times New Roman" w:hAnsi="Times New Roman" w:eastAsia="宋体" w:cs="Times New Roman"/>
      <w:kern w:val="0"/>
      <w:sz w:val="24"/>
      <w:szCs w:val="20"/>
    </w:rPr>
  </w:style>
  <w:style w:type="character" w:customStyle="1" w:styleId="437">
    <w:name w:val="日期 Char"/>
    <w:qFormat/>
    <w:uiPriority w:val="0"/>
    <w:rPr>
      <w:rFonts w:ascii="仿宋体" w:eastAsia="仿宋体"/>
      <w:kern w:val="2"/>
      <w:sz w:val="24"/>
      <w:szCs w:val="24"/>
    </w:rPr>
  </w:style>
  <w:style w:type="character" w:customStyle="1" w:styleId="438">
    <w:name w:val="正文文本缩进 Char1"/>
    <w:qFormat/>
    <w:uiPriority w:val="0"/>
    <w:rPr>
      <w:rFonts w:ascii="Times New Roman" w:hAnsi="Times New Roman" w:eastAsia="宋体" w:cs="Times New Roman"/>
      <w:szCs w:val="24"/>
    </w:rPr>
  </w:style>
  <w:style w:type="character" w:customStyle="1" w:styleId="439">
    <w:name w:val="批注框文本 字符"/>
    <w:link w:val="38"/>
    <w:qFormat/>
    <w:uiPriority w:val="0"/>
    <w:rPr>
      <w:rFonts w:ascii="Times New Roman" w:hAnsi="Times New Roman" w:eastAsia="宋体" w:cs="Times New Roman"/>
      <w:sz w:val="18"/>
      <w:szCs w:val="18"/>
    </w:rPr>
  </w:style>
  <w:style w:type="character" w:customStyle="1" w:styleId="440">
    <w:name w:val="font11"/>
    <w:qFormat/>
    <w:uiPriority w:val="0"/>
    <w:rPr>
      <w:rFonts w:hint="eastAsia" w:ascii="仿宋_GB2312" w:eastAsia="仿宋_GB2312" w:cs="仿宋_GB2312"/>
      <w:color w:val="000000"/>
      <w:sz w:val="22"/>
      <w:szCs w:val="22"/>
      <w:u w:val="none"/>
    </w:rPr>
  </w:style>
  <w:style w:type="character" w:customStyle="1" w:styleId="441">
    <w:name w:val="批注主题 字符"/>
    <w:link w:val="56"/>
    <w:qFormat/>
    <w:uiPriority w:val="0"/>
    <w:rPr>
      <w:b/>
      <w:bCs/>
      <w:kern w:val="2"/>
      <w:sz w:val="21"/>
      <w:szCs w:val="24"/>
    </w:rPr>
  </w:style>
  <w:style w:type="character" w:customStyle="1" w:styleId="442">
    <w:name w:val="批注文字 字符"/>
    <w:link w:val="21"/>
    <w:qFormat/>
    <w:uiPriority w:val="0"/>
    <w:rPr>
      <w:kern w:val="2"/>
      <w:sz w:val="21"/>
      <w:szCs w:val="24"/>
    </w:rPr>
  </w:style>
  <w:style w:type="character" w:customStyle="1" w:styleId="443">
    <w:name w:val="正文缩进 Char1"/>
    <w:qFormat/>
    <w:uiPriority w:val="0"/>
    <w:rPr>
      <w:rFonts w:eastAsia="宋体"/>
      <w:kern w:val="2"/>
      <w:sz w:val="21"/>
      <w:szCs w:val="24"/>
      <w:lang w:val="en-US" w:eastAsia="zh-CN" w:bidi="ar-SA"/>
    </w:rPr>
  </w:style>
  <w:style w:type="character" w:customStyle="1" w:styleId="444">
    <w:name w:val="p31"/>
    <w:qFormat/>
    <w:uiPriority w:val="0"/>
    <w:rPr>
      <w:sz w:val="20"/>
      <w:szCs w:val="20"/>
    </w:rPr>
  </w:style>
  <w:style w:type="character" w:customStyle="1" w:styleId="445">
    <w:name w:val="结束语 字符"/>
    <w:link w:val="24"/>
    <w:qFormat/>
    <w:uiPriority w:val="0"/>
    <w:rPr>
      <w:rFonts w:ascii="Times New Roman" w:hAnsi="Times New Roman" w:eastAsia="宋体" w:cs="Times New Roman"/>
      <w:szCs w:val="24"/>
    </w:rPr>
  </w:style>
  <w:style w:type="character" w:customStyle="1" w:styleId="446">
    <w:name w:val="日期 Char1"/>
    <w:semiHidden/>
    <w:qFormat/>
    <w:uiPriority w:val="99"/>
    <w:rPr>
      <w:rFonts w:ascii="Times New Roman" w:hAnsi="Times New Roman" w:eastAsia="宋体" w:cs="Times New Roman"/>
      <w:szCs w:val="24"/>
    </w:rPr>
  </w:style>
  <w:style w:type="character" w:customStyle="1" w:styleId="447">
    <w:name w:val="纯文本 字符"/>
    <w:link w:val="33"/>
    <w:qFormat/>
    <w:uiPriority w:val="0"/>
    <w:rPr>
      <w:rFonts w:ascii="宋体" w:hAnsi="Courier New"/>
    </w:rPr>
  </w:style>
  <w:style w:type="character" w:customStyle="1" w:styleId="448">
    <w:name w:val="apple-converted-space"/>
    <w:qFormat/>
    <w:uiPriority w:val="0"/>
  </w:style>
  <w:style w:type="character" w:customStyle="1" w:styleId="449">
    <w:name w:val="日期 字符"/>
    <w:link w:val="35"/>
    <w:qFormat/>
    <w:uiPriority w:val="0"/>
    <w:rPr>
      <w:szCs w:val="24"/>
    </w:rPr>
  </w:style>
  <w:style w:type="character" w:customStyle="1" w:styleId="450">
    <w:name w:val="纯文本 Char"/>
    <w:qFormat/>
    <w:uiPriority w:val="0"/>
    <w:rPr>
      <w:rFonts w:ascii="宋体" w:hAnsi="Courier New" w:eastAsia="宋体" w:cs="Courier New"/>
      <w:kern w:val="2"/>
      <w:sz w:val="21"/>
      <w:szCs w:val="21"/>
      <w:lang w:val="en-US" w:eastAsia="zh-CN" w:bidi="ar-SA"/>
    </w:rPr>
  </w:style>
  <w:style w:type="character" w:customStyle="1" w:styleId="451">
    <w:name w:val="页眉 字符"/>
    <w:link w:val="40"/>
    <w:qFormat/>
    <w:uiPriority w:val="99"/>
    <w:rPr>
      <w:sz w:val="18"/>
      <w:szCs w:val="18"/>
    </w:rPr>
  </w:style>
  <w:style w:type="character" w:customStyle="1" w:styleId="452">
    <w:name w:val="hei"/>
    <w:basedOn w:val="62"/>
    <w:qFormat/>
    <w:uiPriority w:val="0"/>
  </w:style>
  <w:style w:type="character" w:customStyle="1" w:styleId="453">
    <w:name w:val="正文文本缩进 2 字符"/>
    <w:link w:val="36"/>
    <w:qFormat/>
    <w:uiPriority w:val="0"/>
    <w:rPr>
      <w:rFonts w:ascii="Times New Roman" w:hAnsi="Times New Roman" w:eastAsia="宋体" w:cs="Times New Roman"/>
      <w:b/>
      <w:sz w:val="24"/>
      <w:szCs w:val="24"/>
    </w:rPr>
  </w:style>
  <w:style w:type="character" w:customStyle="1" w:styleId="454">
    <w:name w:val="正文文本缩进 字符"/>
    <w:link w:val="27"/>
    <w:qFormat/>
    <w:uiPriority w:val="99"/>
    <w:rPr>
      <w:szCs w:val="24"/>
    </w:rPr>
  </w:style>
  <w:style w:type="character" w:customStyle="1" w:styleId="455">
    <w:name w:val="列出段落 Char"/>
    <w:link w:val="72"/>
    <w:qFormat/>
    <w:locked/>
    <w:uiPriority w:val="34"/>
    <w:rPr>
      <w:kern w:val="2"/>
      <w:sz w:val="21"/>
      <w:szCs w:val="24"/>
    </w:rPr>
  </w:style>
  <w:style w:type="character" w:customStyle="1" w:styleId="456">
    <w:name w:val="普通(网站) 字符"/>
    <w:link w:val="53"/>
    <w:qFormat/>
    <w:uiPriority w:val="99"/>
    <w:rPr>
      <w:rFonts w:ascii="宋体" w:hAnsi="宋体" w:cs="宋体"/>
      <w:sz w:val="24"/>
      <w:szCs w:val="24"/>
    </w:rPr>
  </w:style>
  <w:style w:type="character" w:customStyle="1" w:styleId="457">
    <w:name w:val="line14pj"/>
    <w:basedOn w:val="62"/>
    <w:qFormat/>
    <w:uiPriority w:val="0"/>
  </w:style>
  <w:style w:type="character" w:customStyle="1" w:styleId="458">
    <w:name w:val="正文文本 2 Char"/>
    <w:qFormat/>
    <w:uiPriority w:val="0"/>
    <w:rPr>
      <w:rFonts w:ascii="宋体" w:hAnsi="宋体"/>
      <w:kern w:val="2"/>
      <w:sz w:val="24"/>
      <w:szCs w:val="24"/>
    </w:rPr>
  </w:style>
  <w:style w:type="character" w:customStyle="1" w:styleId="459">
    <w:name w:val="正文文本缩进 Char2"/>
    <w:qFormat/>
    <w:uiPriority w:val="0"/>
    <w:rPr>
      <w:rFonts w:ascii="宋体"/>
      <w:color w:val="000000"/>
      <w:sz w:val="32"/>
      <w:szCs w:val="32"/>
    </w:rPr>
  </w:style>
  <w:style w:type="character" w:customStyle="1" w:styleId="460">
    <w:name w:val="3zw1"/>
    <w:qFormat/>
    <w:uiPriority w:val="0"/>
    <w:rPr>
      <w:color w:val="000000"/>
      <w:sz w:val="21"/>
      <w:szCs w:val="21"/>
    </w:rPr>
  </w:style>
  <w:style w:type="character" w:customStyle="1" w:styleId="461">
    <w:name w:val="font101"/>
    <w:qFormat/>
    <w:uiPriority w:val="0"/>
    <w:rPr>
      <w:rFonts w:hint="eastAsia" w:ascii="宋体" w:hAnsi="宋体" w:eastAsia="宋体"/>
      <w:color w:val="000000"/>
      <w:sz w:val="20"/>
      <w:szCs w:val="20"/>
      <w:u w:val="none"/>
    </w:rPr>
  </w:style>
  <w:style w:type="character" w:customStyle="1" w:styleId="462">
    <w:name w:val="批注框文本 Char1"/>
    <w:qFormat/>
    <w:locked/>
    <w:uiPriority w:val="0"/>
    <w:rPr>
      <w:kern w:val="2"/>
      <w:sz w:val="18"/>
      <w:szCs w:val="18"/>
    </w:rPr>
  </w:style>
  <w:style w:type="character" w:customStyle="1" w:styleId="463">
    <w:name w:val="正文首行缩进 2 Char"/>
    <w:qFormat/>
    <w:uiPriority w:val="0"/>
    <w:rPr>
      <w:rFonts w:ascii="仿宋_GB2312" w:eastAsia="仿宋_GB2312"/>
      <w:color w:val="000000"/>
      <w:sz w:val="24"/>
      <w:szCs w:val="24"/>
    </w:rPr>
  </w:style>
  <w:style w:type="character" w:customStyle="1" w:styleId="464">
    <w:name w:val="hang1"/>
    <w:basedOn w:val="62"/>
    <w:qFormat/>
    <w:uiPriority w:val="0"/>
  </w:style>
  <w:style w:type="character" w:customStyle="1" w:styleId="465">
    <w:name w:val="param-name"/>
    <w:qFormat/>
    <w:uiPriority w:val="0"/>
  </w:style>
  <w:style w:type="character" w:customStyle="1" w:styleId="466">
    <w:name w:val="font21"/>
    <w:qFormat/>
    <w:uiPriority w:val="0"/>
    <w:rPr>
      <w:rFonts w:hint="eastAsia" w:ascii="宋体" w:hAnsi="宋体" w:eastAsia="宋体" w:cs="宋体"/>
      <w:color w:val="000000"/>
      <w:sz w:val="24"/>
      <w:szCs w:val="24"/>
      <w:u w:val="none"/>
    </w:rPr>
  </w:style>
  <w:style w:type="character" w:customStyle="1" w:styleId="467">
    <w:name w:val="正文文本 Char2"/>
    <w:qFormat/>
    <w:uiPriority w:val="0"/>
    <w:rPr>
      <w:rFonts w:ascii="宋体"/>
      <w:color w:val="000000"/>
      <w:sz w:val="28"/>
      <w:szCs w:val="32"/>
    </w:rPr>
  </w:style>
  <w:style w:type="character" w:customStyle="1" w:styleId="468">
    <w:name w:val="段 Char"/>
    <w:link w:val="94"/>
    <w:qFormat/>
    <w:locked/>
    <w:uiPriority w:val="0"/>
    <w:rPr>
      <w:rFonts w:ascii="宋体" w:hAnsi="宋体"/>
      <w:kern w:val="2"/>
      <w:sz w:val="21"/>
      <w:szCs w:val="22"/>
      <w:lang w:val="en-US" w:eastAsia="zh-CN" w:bidi="ar-SA"/>
    </w:rPr>
  </w:style>
  <w:style w:type="character" w:customStyle="1" w:styleId="469">
    <w:name w:val="正文首行缩进 2 Char1"/>
    <w:basedOn w:val="438"/>
    <w:qFormat/>
    <w:uiPriority w:val="0"/>
    <w:rPr>
      <w:rFonts w:ascii="楷体_GB2312" w:hAnsi="Times New Roman" w:eastAsia="楷体_GB2312" w:cs="Times New Roman"/>
      <w:kern w:val="2"/>
      <w:sz w:val="28"/>
      <w:szCs w:val="31"/>
    </w:rPr>
  </w:style>
  <w:style w:type="character" w:customStyle="1" w:styleId="470">
    <w:name w:val="正文文本 Char1"/>
    <w:qFormat/>
    <w:uiPriority w:val="0"/>
    <w:rPr>
      <w:rFonts w:ascii="楷体_GB2312" w:eastAsia="楷体_GB2312"/>
      <w:kern w:val="2"/>
      <w:sz w:val="28"/>
    </w:rPr>
  </w:style>
  <w:style w:type="character" w:customStyle="1" w:styleId="471">
    <w:name w:val="contentheaderrev1"/>
    <w:qFormat/>
    <w:uiPriority w:val="0"/>
    <w:rPr>
      <w:rFonts w:hint="default" w:ascii="Arial" w:hAnsi="Arial" w:cs="Arial"/>
      <w:b/>
      <w:bCs/>
      <w:color w:val="FFFFFF"/>
      <w:sz w:val="18"/>
      <w:szCs w:val="18"/>
      <w:u w:val="none"/>
    </w:rPr>
  </w:style>
  <w:style w:type="character" w:customStyle="1" w:styleId="472">
    <w:name w:val="text_12_black1"/>
    <w:qFormat/>
    <w:uiPriority w:val="0"/>
    <w:rPr>
      <w:rFonts w:hint="default" w:ascii="ˎ̥" w:hAnsi="ˎ̥"/>
      <w:color w:val="333333"/>
      <w:sz w:val="18"/>
      <w:szCs w:val="18"/>
      <w:u w:val="none"/>
    </w:rPr>
  </w:style>
  <w:style w:type="character" w:customStyle="1" w:styleId="473">
    <w:name w:val="font51"/>
    <w:qFormat/>
    <w:uiPriority w:val="0"/>
    <w:rPr>
      <w:rFonts w:hint="eastAsia" w:ascii="宋体" w:hAnsi="宋体" w:eastAsia="宋体"/>
      <w:b/>
      <w:bCs/>
      <w:color w:val="000000"/>
      <w:sz w:val="18"/>
      <w:szCs w:val="18"/>
      <w:u w:val="none"/>
    </w:rPr>
  </w:style>
  <w:style w:type="character" w:customStyle="1" w:styleId="474">
    <w:name w:val="副标题 Char1"/>
    <w:qFormat/>
    <w:uiPriority w:val="11"/>
    <w:rPr>
      <w:rFonts w:ascii="Cambria" w:hAnsi="Cambria" w:cs="Times New Roman"/>
      <w:b/>
      <w:bCs/>
      <w:kern w:val="28"/>
      <w:sz w:val="32"/>
      <w:szCs w:val="32"/>
    </w:rPr>
  </w:style>
  <w:style w:type="character" w:customStyle="1" w:styleId="475">
    <w:name w:val="unnamed11"/>
    <w:qFormat/>
    <w:uiPriority w:val="0"/>
    <w:rPr>
      <w:sz w:val="20"/>
      <w:szCs w:val="20"/>
    </w:rPr>
  </w:style>
  <w:style w:type="character" w:customStyle="1" w:styleId="476">
    <w:name w:val="ca-131"/>
    <w:qFormat/>
    <w:uiPriority w:val="0"/>
    <w:rPr>
      <w:rFonts w:hint="default" w:ascii="Times New Roman" w:hAnsi="Times New Roman" w:cs="Times New Roman"/>
      <w:sz w:val="21"/>
      <w:szCs w:val="21"/>
    </w:rPr>
  </w:style>
  <w:style w:type="character" w:customStyle="1" w:styleId="477">
    <w:name w:val="正文文本 3 Char"/>
    <w:qFormat/>
    <w:uiPriority w:val="0"/>
    <w:rPr>
      <w:sz w:val="16"/>
      <w:szCs w:val="16"/>
    </w:rPr>
  </w:style>
  <w:style w:type="character" w:customStyle="1" w:styleId="478">
    <w:name w:val="z71"/>
    <w:qFormat/>
    <w:uiPriority w:val="0"/>
    <w:rPr>
      <w:spacing w:val="300"/>
      <w:sz w:val="18"/>
      <w:szCs w:val="18"/>
    </w:rPr>
  </w:style>
  <w:style w:type="character" w:customStyle="1" w:styleId="479">
    <w:name w:val="副标题 Char"/>
    <w:qFormat/>
    <w:uiPriority w:val="0"/>
    <w:rPr>
      <w:rFonts w:ascii="Cambria" w:hAnsi="Cambria"/>
      <w:b/>
      <w:bCs/>
      <w:kern w:val="28"/>
      <w:sz w:val="32"/>
      <w:szCs w:val="32"/>
    </w:rPr>
  </w:style>
  <w:style w:type="character" w:customStyle="1" w:styleId="480">
    <w:name w:val="ca-231"/>
    <w:qFormat/>
    <w:uiPriority w:val="0"/>
    <w:rPr>
      <w:rFonts w:hint="eastAsia" w:ascii="宋体" w:hAnsi="宋体" w:eastAsia="宋体"/>
      <w:sz w:val="24"/>
      <w:szCs w:val="24"/>
    </w:rPr>
  </w:style>
  <w:style w:type="character" w:customStyle="1" w:styleId="481">
    <w:name w:val="ca-251"/>
    <w:qFormat/>
    <w:uiPriority w:val="0"/>
    <w:rPr>
      <w:rFonts w:hint="default" w:ascii="Times New Roman" w:hAnsi="Times New Roman" w:cs="Times New Roman"/>
      <w:sz w:val="24"/>
      <w:szCs w:val="24"/>
    </w:rPr>
  </w:style>
  <w:style w:type="character" w:customStyle="1" w:styleId="482">
    <w:name w:val="正文文本 3 Char1"/>
    <w:qFormat/>
    <w:uiPriority w:val="0"/>
    <w:rPr>
      <w:kern w:val="2"/>
      <w:sz w:val="16"/>
      <w:szCs w:val="16"/>
    </w:rPr>
  </w:style>
  <w:style w:type="character" w:customStyle="1" w:styleId="483">
    <w:name w:val="标题 3 Char1"/>
    <w:qFormat/>
    <w:uiPriority w:val="0"/>
    <w:rPr>
      <w:b/>
      <w:bCs/>
      <w:kern w:val="2"/>
      <w:sz w:val="32"/>
      <w:szCs w:val="32"/>
    </w:rPr>
  </w:style>
  <w:style w:type="character" w:customStyle="1" w:styleId="484">
    <w:name w:val="本级3 Char"/>
    <w:link w:val="95"/>
    <w:qFormat/>
    <w:uiPriority w:val="0"/>
    <w:rPr>
      <w:rFonts w:ascii="仿宋_GB2312" w:hAnsi="仿宋" w:eastAsia="仿宋_GB2312"/>
      <w:b/>
      <w:bCs/>
      <w:kern w:val="2"/>
      <w:sz w:val="32"/>
      <w:szCs w:val="24"/>
    </w:rPr>
  </w:style>
  <w:style w:type="character" w:customStyle="1" w:styleId="485">
    <w:name w:val="正文文本缩进 3 Char"/>
    <w:qFormat/>
    <w:locked/>
    <w:uiPriority w:val="0"/>
    <w:rPr>
      <w:rFonts w:ascii="幼圆" w:eastAsia="幼圆"/>
      <w:kern w:val="2"/>
      <w:sz w:val="24"/>
      <w:szCs w:val="32"/>
    </w:rPr>
  </w:style>
  <w:style w:type="character" w:customStyle="1" w:styleId="486">
    <w:name w:val="首行缩进 Char Char1"/>
    <w:link w:val="96"/>
    <w:qFormat/>
    <w:locked/>
    <w:uiPriority w:val="0"/>
    <w:rPr>
      <w:sz w:val="24"/>
      <w:szCs w:val="24"/>
    </w:rPr>
  </w:style>
  <w:style w:type="character" w:customStyle="1" w:styleId="487">
    <w:name w:val="text_12_subject1"/>
    <w:qFormat/>
    <w:uiPriority w:val="0"/>
    <w:rPr>
      <w:rFonts w:hint="default" w:ascii="ˎ̥" w:hAnsi="ˎ̥"/>
      <w:b/>
      <w:bCs/>
      <w:color w:val="006699"/>
      <w:sz w:val="18"/>
      <w:szCs w:val="18"/>
      <w:u w:val="none"/>
    </w:rPr>
  </w:style>
  <w:style w:type="character" w:customStyle="1" w:styleId="488">
    <w:name w:val="标题 Char1"/>
    <w:qFormat/>
    <w:uiPriority w:val="10"/>
    <w:rPr>
      <w:rFonts w:ascii="Cambria" w:hAnsi="Cambria" w:cs="Times New Roman"/>
      <w:b/>
      <w:bCs/>
      <w:kern w:val="2"/>
      <w:sz w:val="32"/>
      <w:szCs w:val="32"/>
    </w:rPr>
  </w:style>
  <w:style w:type="character" w:customStyle="1" w:styleId="489">
    <w:name w:val="常规 Char"/>
    <w:link w:val="97"/>
    <w:qFormat/>
    <w:uiPriority w:val="0"/>
    <w:rPr>
      <w:rFonts w:ascii="Tahoma" w:hAnsi="Tahoma"/>
      <w:color w:val="000000"/>
      <w:kern w:val="2"/>
      <w:sz w:val="28"/>
      <w:szCs w:val="21"/>
    </w:rPr>
  </w:style>
  <w:style w:type="character" w:customStyle="1" w:styleId="490">
    <w:name w:val="文档结构图 Char"/>
    <w:qFormat/>
    <w:uiPriority w:val="0"/>
    <w:rPr>
      <w:kern w:val="2"/>
      <w:sz w:val="21"/>
      <w:szCs w:val="24"/>
      <w:shd w:val="clear" w:color="auto" w:fill="000080"/>
    </w:rPr>
  </w:style>
  <w:style w:type="character" w:customStyle="1" w:styleId="491">
    <w:name w:val="正文新 Char"/>
    <w:link w:val="98"/>
    <w:qFormat/>
    <w:uiPriority w:val="0"/>
    <w:rPr>
      <w:rFonts w:ascii="宋体" w:hAnsi="宋体"/>
      <w:sz w:val="28"/>
    </w:rPr>
  </w:style>
  <w:style w:type="character" w:customStyle="1" w:styleId="492">
    <w:name w:val="font41"/>
    <w:qFormat/>
    <w:uiPriority w:val="0"/>
    <w:rPr>
      <w:rFonts w:hint="eastAsia" w:ascii="宋体" w:hAnsi="宋体" w:eastAsia="宋体"/>
      <w:b/>
      <w:bCs/>
      <w:color w:val="000000"/>
      <w:sz w:val="20"/>
      <w:szCs w:val="20"/>
      <w:u w:val="none"/>
    </w:rPr>
  </w:style>
  <w:style w:type="character" w:customStyle="1" w:styleId="493">
    <w:name w:val="myp1111"/>
    <w:qFormat/>
    <w:uiPriority w:val="0"/>
    <w:rPr>
      <w:rFonts w:hint="default" w:ascii="ˎ̥" w:hAnsi="ˎ̥"/>
      <w:color w:val="000000"/>
      <w:sz w:val="15"/>
      <w:szCs w:val="15"/>
      <w:u w:val="none"/>
    </w:rPr>
  </w:style>
  <w:style w:type="character" w:customStyle="1" w:styleId="494">
    <w:name w:val="尾注文本 Char1"/>
    <w:qFormat/>
    <w:uiPriority w:val="99"/>
    <w:rPr>
      <w:kern w:val="2"/>
      <w:sz w:val="21"/>
      <w:szCs w:val="24"/>
    </w:rPr>
  </w:style>
  <w:style w:type="character" w:customStyle="1" w:styleId="495">
    <w:name w:val="尾注文本 Char"/>
    <w:basedOn w:val="62"/>
    <w:qFormat/>
    <w:uiPriority w:val="0"/>
  </w:style>
  <w:style w:type="character" w:customStyle="1" w:styleId="496">
    <w:name w:val="font01"/>
    <w:qFormat/>
    <w:uiPriority w:val="0"/>
    <w:rPr>
      <w:rFonts w:hint="eastAsia" w:ascii="宋体" w:hAnsi="宋体" w:eastAsia="宋体" w:cs="宋体"/>
      <w:color w:val="000000"/>
      <w:sz w:val="24"/>
      <w:szCs w:val="24"/>
      <w:u w:val="none"/>
      <w:vertAlign w:val="superscript"/>
    </w:rPr>
  </w:style>
  <w:style w:type="character" w:customStyle="1" w:styleId="497">
    <w:name w:val="font61"/>
    <w:qFormat/>
    <w:uiPriority w:val="0"/>
    <w:rPr>
      <w:rFonts w:hint="eastAsia" w:ascii="宋体" w:hAnsi="宋体" w:eastAsia="宋体"/>
      <w:b/>
      <w:bCs/>
      <w:color w:val="000000"/>
      <w:sz w:val="20"/>
      <w:szCs w:val="20"/>
      <w:u w:val="none"/>
    </w:rPr>
  </w:style>
  <w:style w:type="character" w:customStyle="1" w:styleId="498">
    <w:name w:val="正文缩进2格 Char"/>
    <w:link w:val="99"/>
    <w:qFormat/>
    <w:uiPriority w:val="0"/>
    <w:rPr>
      <w:rFonts w:ascii="仿宋_GB2312" w:hAnsi="宋体" w:eastAsia="仿宋_GB2312"/>
      <w:kern w:val="2"/>
      <w:sz w:val="31"/>
    </w:rPr>
  </w:style>
  <w:style w:type="character" w:customStyle="1" w:styleId="499">
    <w:name w:val="word21"/>
    <w:qFormat/>
    <w:uiPriority w:val="0"/>
    <w:rPr>
      <w:b/>
      <w:bCs/>
      <w:color w:val="194D7C"/>
      <w:spacing w:val="400"/>
      <w:sz w:val="24"/>
      <w:szCs w:val="24"/>
    </w:rPr>
  </w:style>
  <w:style w:type="character" w:customStyle="1" w:styleId="500">
    <w:name w:val="content021"/>
    <w:qFormat/>
    <w:uiPriority w:val="0"/>
    <w:rPr>
      <w:color w:val="444444"/>
      <w:spacing w:val="330"/>
      <w:sz w:val="21"/>
      <w:szCs w:val="21"/>
      <w:u w:val="none"/>
    </w:rPr>
  </w:style>
  <w:style w:type="character" w:customStyle="1" w:styleId="501">
    <w:name w:val="Char Char5"/>
    <w:qFormat/>
    <w:uiPriority w:val="0"/>
    <w:rPr>
      <w:rFonts w:ascii="Times New Roman" w:hAnsi="Times New Roman" w:eastAsia="宋体"/>
      <w:sz w:val="18"/>
    </w:rPr>
  </w:style>
  <w:style w:type="character" w:customStyle="1" w:styleId="502">
    <w:name w:val="正文首行缩进 Char"/>
    <w:qFormat/>
    <w:uiPriority w:val="0"/>
    <w:rPr>
      <w:rFonts w:ascii="宋体"/>
      <w:color w:val="000000"/>
      <w:kern w:val="2"/>
      <w:sz w:val="21"/>
      <w:szCs w:val="32"/>
    </w:rPr>
  </w:style>
  <w:style w:type="character" w:customStyle="1" w:styleId="503">
    <w:name w:val="hei12"/>
    <w:basedOn w:val="62"/>
    <w:qFormat/>
    <w:uiPriority w:val="0"/>
  </w:style>
  <w:style w:type="character" w:customStyle="1" w:styleId="504">
    <w:name w:val="ca-121"/>
    <w:qFormat/>
    <w:uiPriority w:val="0"/>
    <w:rPr>
      <w:rFonts w:hint="eastAsia" w:ascii="宋体" w:hAnsi="宋体" w:eastAsia="宋体"/>
      <w:sz w:val="21"/>
      <w:szCs w:val="21"/>
    </w:rPr>
  </w:style>
  <w:style w:type="character" w:customStyle="1" w:styleId="505">
    <w:name w:val="font31"/>
    <w:qFormat/>
    <w:uiPriority w:val="0"/>
    <w:rPr>
      <w:rFonts w:hint="eastAsia" w:ascii="宋体" w:hAnsi="宋体" w:eastAsia="宋体"/>
      <w:color w:val="000000"/>
      <w:sz w:val="18"/>
      <w:szCs w:val="18"/>
      <w:u w:val="none"/>
    </w:rPr>
  </w:style>
  <w:style w:type="character" w:customStyle="1" w:styleId="506">
    <w:name w:val="z21"/>
    <w:qFormat/>
    <w:uiPriority w:val="0"/>
    <w:rPr>
      <w:color w:val="000000"/>
      <w:spacing w:val="255"/>
      <w:sz w:val="18"/>
      <w:szCs w:val="18"/>
    </w:rPr>
  </w:style>
  <w:style w:type="character" w:customStyle="1" w:styleId="507">
    <w:name w:val="标题 Char"/>
    <w:qFormat/>
    <w:uiPriority w:val="99"/>
    <w:rPr>
      <w:rFonts w:ascii="Arial" w:hAnsi="Arial"/>
      <w:b/>
      <w:bCs/>
      <w:sz w:val="32"/>
      <w:szCs w:val="32"/>
    </w:rPr>
  </w:style>
  <w:style w:type="character" w:customStyle="1" w:styleId="508">
    <w:name w:val="样式 目录 2 + 宋体 Char"/>
    <w:link w:val="100"/>
    <w:qFormat/>
    <w:uiPriority w:val="0"/>
    <w:rPr>
      <w:rFonts w:ascii="宋体" w:hAnsi="宋体"/>
      <w:sz w:val="28"/>
    </w:rPr>
  </w:style>
  <w:style w:type="character" w:customStyle="1" w:styleId="509">
    <w:name w:val="abcde1"/>
    <w:qFormat/>
    <w:uiPriority w:val="0"/>
    <w:rPr>
      <w:spacing w:val="400"/>
      <w:sz w:val="26"/>
      <w:szCs w:val="26"/>
    </w:rPr>
  </w:style>
  <w:style w:type="character" w:customStyle="1" w:styleId="510">
    <w:name w:val="标题 字符"/>
    <w:basedOn w:val="62"/>
    <w:link w:val="55"/>
    <w:qFormat/>
    <w:uiPriority w:val="10"/>
    <w:rPr>
      <w:rFonts w:ascii="Cambria" w:hAnsi="Cambria" w:cs="Times New Roman"/>
      <w:b/>
      <w:bCs/>
      <w:kern w:val="2"/>
      <w:sz w:val="32"/>
      <w:szCs w:val="32"/>
    </w:rPr>
  </w:style>
  <w:style w:type="character" w:customStyle="1" w:styleId="511">
    <w:name w:val="正文首行缩进 2 字符"/>
    <w:basedOn w:val="454"/>
    <w:link w:val="58"/>
    <w:semiHidden/>
    <w:qFormat/>
    <w:uiPriority w:val="0"/>
    <w:rPr>
      <w:kern w:val="2"/>
      <w:sz w:val="21"/>
      <w:szCs w:val="24"/>
    </w:rPr>
  </w:style>
  <w:style w:type="character" w:customStyle="1" w:styleId="512">
    <w:name w:val="正文首行缩进 字符"/>
    <w:basedOn w:val="436"/>
    <w:link w:val="57"/>
    <w:semiHidden/>
    <w:qFormat/>
    <w:uiPriority w:val="0"/>
    <w:rPr>
      <w:rFonts w:ascii="Times New Roman" w:hAnsi="Times New Roman" w:eastAsia="宋体" w:cs="Times New Roman"/>
      <w:kern w:val="2"/>
      <w:sz w:val="21"/>
      <w:szCs w:val="24"/>
    </w:rPr>
  </w:style>
  <w:style w:type="character" w:customStyle="1" w:styleId="513">
    <w:name w:val="正文文本 2 字符"/>
    <w:basedOn w:val="62"/>
    <w:link w:val="50"/>
    <w:semiHidden/>
    <w:qFormat/>
    <w:uiPriority w:val="0"/>
    <w:rPr>
      <w:kern w:val="2"/>
      <w:sz w:val="21"/>
      <w:szCs w:val="24"/>
    </w:rPr>
  </w:style>
  <w:style w:type="character" w:customStyle="1" w:styleId="514">
    <w:name w:val="副标题 字符"/>
    <w:basedOn w:val="62"/>
    <w:link w:val="43"/>
    <w:qFormat/>
    <w:uiPriority w:val="11"/>
    <w:rPr>
      <w:rFonts w:ascii="Cambria" w:hAnsi="Cambria" w:cs="Times New Roman"/>
      <w:b/>
      <w:bCs/>
      <w:kern w:val="28"/>
      <w:sz w:val="32"/>
      <w:szCs w:val="32"/>
    </w:rPr>
  </w:style>
  <w:style w:type="character" w:customStyle="1" w:styleId="515">
    <w:name w:val="尾注文本 字符"/>
    <w:basedOn w:val="62"/>
    <w:link w:val="37"/>
    <w:semiHidden/>
    <w:qFormat/>
    <w:uiPriority w:val="0"/>
    <w:rPr>
      <w:kern w:val="2"/>
      <w:sz w:val="21"/>
      <w:szCs w:val="24"/>
    </w:rPr>
  </w:style>
  <w:style w:type="character" w:customStyle="1" w:styleId="516">
    <w:name w:val="正文文本缩进 3 字符"/>
    <w:basedOn w:val="62"/>
    <w:link w:val="46"/>
    <w:semiHidden/>
    <w:qFormat/>
    <w:uiPriority w:val="0"/>
    <w:rPr>
      <w:kern w:val="2"/>
      <w:sz w:val="16"/>
      <w:szCs w:val="16"/>
    </w:rPr>
  </w:style>
  <w:style w:type="character" w:customStyle="1" w:styleId="517">
    <w:name w:val="文档结构图 字符"/>
    <w:basedOn w:val="62"/>
    <w:link w:val="20"/>
    <w:semiHidden/>
    <w:qFormat/>
    <w:uiPriority w:val="0"/>
    <w:rPr>
      <w:rFonts w:ascii="宋体"/>
      <w:kern w:val="2"/>
      <w:sz w:val="18"/>
      <w:szCs w:val="18"/>
    </w:rPr>
  </w:style>
  <w:style w:type="character" w:customStyle="1" w:styleId="518">
    <w:name w:val="正文文本 3 字符"/>
    <w:basedOn w:val="62"/>
    <w:link w:val="23"/>
    <w:semiHidden/>
    <w:qFormat/>
    <w:uiPriority w:val="0"/>
    <w:rPr>
      <w:kern w:val="2"/>
      <w:sz w:val="16"/>
      <w:szCs w:val="16"/>
    </w:rPr>
  </w:style>
  <w:style w:type="character" w:customStyle="1" w:styleId="519">
    <w:name w:val="正文3号仿宋 Char"/>
    <w:link w:val="416"/>
    <w:qFormat/>
    <w:uiPriority w:val="0"/>
    <w:rPr>
      <w:rFonts w:ascii="宋体" w:hAnsi="宋体"/>
      <w:sz w:val="24"/>
      <w:szCs w:val="24"/>
    </w:rPr>
  </w:style>
  <w:style w:type="character" w:customStyle="1" w:styleId="520">
    <w:name w:val="段落小标题 Char"/>
    <w:link w:val="417"/>
    <w:qFormat/>
    <w:uiPriority w:val="0"/>
    <w:rPr>
      <w:rFonts w:ascii="仿宋" w:hAnsi="仿宋" w:eastAsia="仿宋"/>
      <w:b/>
      <w:sz w:val="32"/>
      <w:szCs w:val="32"/>
    </w:rPr>
  </w:style>
  <w:style w:type="character" w:customStyle="1" w:styleId="521">
    <w:name w:val="正文（缩进） Char"/>
    <w:link w:val="418"/>
    <w:qFormat/>
    <w:uiPriority w:val="0"/>
    <w:rPr>
      <w:rFonts w:ascii="宋体" w:hAnsi="宋体" w:cs="宋体"/>
      <w:sz w:val="24"/>
      <w:szCs w:val="24"/>
    </w:rPr>
  </w:style>
  <w:style w:type="character" w:customStyle="1" w:styleId="522">
    <w:name w:val="font81"/>
    <w:basedOn w:val="62"/>
    <w:qFormat/>
    <w:uiPriority w:val="0"/>
    <w:rPr>
      <w:rFonts w:hint="default" w:ascii="楷体" w:hAnsi="楷体" w:eastAsia="楷体" w:cs="楷体"/>
      <w:color w:val="000000"/>
      <w:sz w:val="20"/>
      <w:szCs w:val="20"/>
      <w:u w:val="none"/>
      <w:vertAlign w:val="subscript"/>
    </w:rPr>
  </w:style>
  <w:style w:type="character" w:customStyle="1" w:styleId="523">
    <w:name w:val="font111"/>
    <w:basedOn w:val="62"/>
    <w:qFormat/>
    <w:uiPriority w:val="0"/>
    <w:rPr>
      <w:rFonts w:hint="default" w:ascii="楷体" w:hAnsi="楷体" w:eastAsia="楷体" w:cs="楷体"/>
      <w:color w:val="000000"/>
      <w:sz w:val="20"/>
      <w:szCs w:val="20"/>
      <w:u w:val="none"/>
    </w:rPr>
  </w:style>
  <w:style w:type="character" w:customStyle="1" w:styleId="524">
    <w:name w:val="font91"/>
    <w:basedOn w:val="62"/>
    <w:qFormat/>
    <w:uiPriority w:val="0"/>
    <w:rPr>
      <w:rFonts w:hint="eastAsia" w:ascii="宋体" w:hAnsi="宋体" w:eastAsia="宋体" w:cs="宋体"/>
      <w:color w:val="000000"/>
      <w:sz w:val="20"/>
      <w:szCs w:val="20"/>
      <w:u w:val="none"/>
    </w:rPr>
  </w:style>
  <w:style w:type="character" w:customStyle="1" w:styleId="525">
    <w:name w:val="font71"/>
    <w:basedOn w:val="62"/>
    <w:qFormat/>
    <w:uiPriority w:val="0"/>
    <w:rPr>
      <w:rFonts w:hint="default" w:ascii="楷体" w:hAnsi="楷体" w:eastAsia="楷体" w:cs="楷体"/>
      <w:color w:val="000000"/>
      <w:sz w:val="20"/>
      <w:szCs w:val="20"/>
      <w:u w:val="none"/>
    </w:rPr>
  </w:style>
  <w:style w:type="character" w:customStyle="1" w:styleId="526">
    <w:name w:val="font131"/>
    <w:basedOn w:val="62"/>
    <w:qFormat/>
    <w:uiPriority w:val="0"/>
    <w:rPr>
      <w:rFonts w:hint="default" w:ascii="楷体" w:hAnsi="楷体" w:eastAsia="楷体" w:cs="楷体"/>
      <w:color w:val="000000"/>
      <w:sz w:val="20"/>
      <w:szCs w:val="20"/>
      <w:u w:val="none"/>
    </w:rPr>
  </w:style>
  <w:style w:type="character" w:customStyle="1" w:styleId="527">
    <w:name w:val="font121"/>
    <w:basedOn w:val="62"/>
    <w:qFormat/>
    <w:uiPriority w:val="0"/>
    <w:rPr>
      <w:rFonts w:hint="default" w:ascii="楷体" w:hAnsi="楷体" w:eastAsia="楷体" w:cs="楷体"/>
      <w:color w:val="000000"/>
      <w:sz w:val="18"/>
      <w:szCs w:val="18"/>
      <w:u w:val="none"/>
    </w:rPr>
  </w:style>
  <w:style w:type="character" w:customStyle="1" w:styleId="528">
    <w:name w:val="font141"/>
    <w:basedOn w:val="62"/>
    <w:qFormat/>
    <w:uiPriority w:val="0"/>
    <w:rPr>
      <w:rFonts w:hint="default" w:ascii="楷体" w:hAnsi="楷体" w:eastAsia="楷体" w:cs="楷体"/>
      <w:color w:val="000000"/>
      <w:sz w:val="18"/>
      <w:szCs w:val="18"/>
      <w:u w:val="none"/>
    </w:rPr>
  </w:style>
  <w:style w:type="character" w:customStyle="1" w:styleId="529">
    <w:name w:val="font151"/>
    <w:basedOn w:val="62"/>
    <w:qFormat/>
    <w:uiPriority w:val="0"/>
    <w:rPr>
      <w:rFonts w:hint="eastAsia" w:ascii="宋体" w:hAnsi="宋体" w:eastAsia="宋体" w:cs="宋体"/>
      <w:color w:val="000000"/>
      <w:sz w:val="20"/>
      <w:szCs w:val="20"/>
      <w:u w:val="none"/>
    </w:rPr>
  </w:style>
  <w:style w:type="paragraph" w:customStyle="1" w:styleId="530">
    <w:name w:val="Body text|1"/>
    <w:basedOn w:val="1"/>
    <w:qFormat/>
    <w:uiPriority w:val="0"/>
    <w:pPr>
      <w:spacing w:line="420" w:lineRule="auto"/>
      <w:ind w:firstLine="400"/>
    </w:pPr>
    <w:rPr>
      <w:rFonts w:ascii="宋体" w:hAnsi="宋体" w:eastAsia="宋体" w:cs="宋体"/>
      <w:sz w:val="22"/>
      <w:lang w:val="zh-TW" w:eastAsia="zh-TW" w:bidi="zh-TW"/>
    </w:rPr>
  </w:style>
  <w:style w:type="paragraph" w:customStyle="1" w:styleId="531">
    <w:name w:val="*正文"/>
    <w:basedOn w:val="1"/>
    <w:qFormat/>
    <w:uiPriority w:val="0"/>
    <w:pPr>
      <w:widowControl/>
      <w:ind w:firstLine="200" w:firstLineChars="200"/>
      <w:jc w:val="left"/>
    </w:pPr>
    <w:rPr>
      <w:rFonts w:ascii="宋体" w:hAnsi="宋体"/>
      <w:kern w:val="0"/>
      <w:sz w:val="20"/>
      <w:szCs w:val="24"/>
    </w:rPr>
  </w:style>
  <w:style w:type="character" w:customStyle="1" w:styleId="532">
    <w:name w:val="名称2 Char"/>
    <w:qFormat/>
    <w:uiPriority w:val="0"/>
    <w:rPr>
      <w:rFonts w:hint="eastAsia" w:ascii="宋体" w:hAnsi="宋体" w:eastAsia="宋体"/>
      <w:b/>
      <w:kern w:val="2"/>
      <w:sz w:val="28"/>
      <w:szCs w:val="28"/>
      <w:lang w:val="en-US" w:eastAsia="zh-CN" w:bidi="ar-SA"/>
    </w:rPr>
  </w:style>
  <w:style w:type="paragraph" w:customStyle="1" w:styleId="533">
    <w:name w:val="MsoNormal"/>
    <w:basedOn w:val="1"/>
    <w:qFormat/>
    <w:uiPriority w:val="0"/>
  </w:style>
  <w:style w:type="table" w:customStyle="1" w:styleId="534">
    <w:name w:val="MsoNormalTable"/>
    <w:basedOn w:val="59"/>
    <w:qFormat/>
    <w:uiPriority w:val="0"/>
  </w:style>
  <w:style w:type="paragraph" w:customStyle="1" w:styleId="535">
    <w:name w:val="15"/>
    <w:basedOn w:val="1"/>
    <w:qFormat/>
    <w:uiPriority w:val="0"/>
  </w:style>
  <w:style w:type="paragraph" w:customStyle="1" w:styleId="536">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537">
    <w:name w:val="_正文"/>
    <w:basedOn w:val="1"/>
    <w:qFormat/>
    <w:uiPriority w:val="0"/>
    <w:pPr>
      <w:adjustRightInd w:val="0"/>
      <w:snapToGrid w:val="0"/>
      <w:spacing w:line="360" w:lineRule="auto"/>
      <w:ind w:firstLine="200" w:firstLineChars="200"/>
    </w:pPr>
    <w:rPr>
      <w:rFonts w:ascii="Calibri" w:hAnsi="Calibri" w:eastAsia="宋体" w:cs="Times New Roman"/>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注册单位=China</Company>
  <Pages>63</Pages>
  <Words>16826</Words>
  <Characters>17772</Characters>
  <Lines>188</Lines>
  <Paragraphs>53</Paragraphs>
  <TotalTime>1</TotalTime>
  <ScaleCrop>false</ScaleCrop>
  <LinksUpToDate>false</LinksUpToDate>
  <CharactersWithSpaces>18116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2018-01-31T02:45:00Z</dcterms:created>
  <dc:creator>微软用户</dc:creator>
  <cp:lastModifiedBy>Yyk</cp:lastModifiedBy>
  <cp:lastPrinted>2024-01-03T02:52:00Z</cp:lastPrinted>
  <dcterms:modified xsi:type="dcterms:W3CDTF">2025-12-03T05:17:42Z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46ADABF5F7944D1EAEAA3E103328ABDD</vt:lpwstr>
  </property>
  <property fmtid="{D5CDD505-2E9C-101B-9397-08002B2CF9AE}" pid="4" name="KSOTemplateDocerSaveRecord">
    <vt:lpwstr>eyJoZGlkIjoiMjA0ZDc2YWEwZmU5ZWQ5ZGNkZDI4NjQ4Zjk2ZTQzYjMiLCJ1c2VySWQiOiIxMTQ3MTkzOTE1In0=</vt:lpwstr>
  </property>
</Properties>
</file>