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EA9DC6">
      <w:pPr>
        <w:spacing w:line="360" w:lineRule="auto"/>
        <w:jc w:val="right"/>
        <w:rPr>
          <w:rFonts w:hint="eastAsia" w:ascii="宋体" w:hAnsi="宋体" w:eastAsia="宋体" w:cs="宋体"/>
          <w:b/>
          <w:color w:val="auto"/>
          <w:sz w:val="24"/>
          <w:highlight w:val="none"/>
        </w:rPr>
      </w:pPr>
      <w:r>
        <w:rPr>
          <w:rFonts w:hint="eastAsia" w:ascii="宋体" w:hAnsi="宋体" w:eastAsia="宋体" w:cs="宋体"/>
          <w:color w:val="auto"/>
          <w:kern w:val="2"/>
          <w:sz w:val="24"/>
          <w:szCs w:val="24"/>
          <w:highlight w:val="none"/>
          <w:lang w:val="en-US" w:eastAsia="zh-CN" w:bidi="ar-SA"/>
        </w:rPr>
        <w:object>
          <v:shape id="_x0000_i1025" o:spt="75" type="#_x0000_t75" style="height:33pt;width:54.75pt;" o:ole="t" filled="f" o:preferrelative="t" stroked="f" coordsize="21600,21600">
            <v:path/>
            <v:fill on="f" focussize="0,0"/>
            <v:stroke on="f"/>
            <v:imagedata r:id="rId13" blacklevel="0f" o:title=""/>
            <o:lock v:ext="edit" aspectratio="t"/>
            <w10:wrap type="none"/>
            <w10:anchorlock/>
          </v:shape>
          <o:OLEObject Type="Embed" ProgID="" ShapeID="_x0000_i1025" DrawAspect="Content" ObjectID="_1468075725" r:id="rId12">
            <o:LockedField>false</o:LockedField>
          </o:OLEObject>
        </w:object>
      </w:r>
    </w:p>
    <w:p w14:paraId="402F9822">
      <w:pPr>
        <w:spacing w:line="360" w:lineRule="auto"/>
        <w:jc w:val="center"/>
        <w:rPr>
          <w:rFonts w:hint="eastAsia" w:ascii="宋体" w:hAnsi="宋体" w:eastAsia="宋体" w:cs="宋体"/>
          <w:b/>
          <w:color w:val="auto"/>
          <w:highlight w:val="none"/>
        </w:rPr>
      </w:pPr>
      <w:r>
        <w:rPr>
          <w:rFonts w:hint="eastAsia" w:ascii="宋体" w:hAnsi="宋体" w:eastAsia="宋体" w:cs="宋体"/>
          <w:b/>
          <w:color w:val="auto"/>
          <w:highlight w:val="none"/>
        </w:rPr>
        <w:t xml:space="preserve">                                                                             新疆天麒</w:t>
      </w:r>
    </w:p>
    <w:p w14:paraId="3162B4B8">
      <w:pPr>
        <w:spacing w:line="360" w:lineRule="auto"/>
        <w:jc w:val="center"/>
        <w:rPr>
          <w:rFonts w:hint="eastAsia" w:ascii="宋体" w:hAnsi="宋体" w:eastAsia="宋体" w:cs="宋体"/>
          <w:b/>
          <w:color w:val="auto"/>
          <w:sz w:val="72"/>
          <w:szCs w:val="72"/>
          <w:highlight w:val="none"/>
          <w:lang w:val="en-US" w:eastAsia="zh-CN"/>
        </w:rPr>
      </w:pPr>
      <w:r>
        <w:rPr>
          <w:rFonts w:hint="eastAsia" w:ascii="宋体" w:hAnsi="宋体" w:cs="宋体"/>
          <w:b/>
          <w:color w:val="auto"/>
          <w:sz w:val="72"/>
          <w:szCs w:val="72"/>
          <w:highlight w:val="none"/>
          <w:lang w:val="en-US" w:eastAsia="zh-CN"/>
        </w:rPr>
        <w:t>国家税务总局克拉玛依市克拉玛依区税务局安保服务</w:t>
      </w:r>
    </w:p>
    <w:p w14:paraId="573CD402">
      <w:pPr>
        <w:spacing w:line="360" w:lineRule="auto"/>
        <w:jc w:val="center"/>
        <w:rPr>
          <w:rFonts w:hint="eastAsia" w:ascii="宋体" w:hAnsi="宋体" w:eastAsia="宋体" w:cs="宋体"/>
          <w:b/>
          <w:color w:val="auto"/>
          <w:sz w:val="56"/>
          <w:szCs w:val="56"/>
          <w:highlight w:val="none"/>
        </w:rPr>
      </w:pPr>
      <w:r>
        <w:rPr>
          <w:rFonts w:hint="eastAsia" w:ascii="宋体" w:hAnsi="宋体" w:eastAsia="宋体" w:cs="宋体"/>
          <w:b/>
          <w:color w:val="auto"/>
          <w:sz w:val="48"/>
          <w:szCs w:val="48"/>
          <w:highlight w:val="none"/>
        </w:rPr>
        <w:br w:type="textWrapping"/>
      </w:r>
      <w:bookmarkStart w:id="0" w:name="_Toc225166185"/>
    </w:p>
    <w:p w14:paraId="22294F01">
      <w:pPr>
        <w:spacing w:line="360" w:lineRule="auto"/>
        <w:jc w:val="center"/>
        <w:rPr>
          <w:rFonts w:hint="eastAsia" w:ascii="宋体" w:hAnsi="宋体" w:eastAsia="宋体" w:cs="宋体"/>
          <w:b/>
          <w:color w:val="auto"/>
          <w:sz w:val="72"/>
          <w:szCs w:val="72"/>
          <w:highlight w:val="none"/>
        </w:rPr>
      </w:pPr>
      <w:r>
        <w:rPr>
          <w:rFonts w:hint="eastAsia" w:ascii="宋体" w:hAnsi="宋体" w:cs="宋体"/>
          <w:b/>
          <w:color w:val="auto"/>
          <w:sz w:val="72"/>
          <w:szCs w:val="72"/>
          <w:highlight w:val="none"/>
          <w:lang w:val="en-US" w:eastAsia="zh-CN"/>
        </w:rPr>
        <w:t>简易</w:t>
      </w:r>
      <w:r>
        <w:rPr>
          <w:rFonts w:hint="eastAsia" w:ascii="宋体" w:hAnsi="宋体" w:eastAsia="宋体" w:cs="宋体"/>
          <w:b/>
          <w:color w:val="auto"/>
          <w:sz w:val="72"/>
          <w:szCs w:val="72"/>
          <w:highlight w:val="none"/>
          <w:lang w:val="en-US" w:eastAsia="zh-CN"/>
        </w:rPr>
        <w:t>磋商</w:t>
      </w:r>
      <w:r>
        <w:rPr>
          <w:rFonts w:hint="eastAsia" w:ascii="宋体" w:hAnsi="宋体" w:eastAsia="宋体" w:cs="宋体"/>
          <w:b/>
          <w:color w:val="auto"/>
          <w:sz w:val="72"/>
          <w:szCs w:val="72"/>
          <w:highlight w:val="none"/>
        </w:rPr>
        <w:t>文件</w:t>
      </w:r>
      <w:bookmarkEnd w:id="0"/>
    </w:p>
    <w:p w14:paraId="47052BC9">
      <w:pPr>
        <w:spacing w:line="360" w:lineRule="auto"/>
        <w:jc w:val="cente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采购文件编号：KQSWJ（ZC）2025-0</w:t>
      </w:r>
      <w:r>
        <w:rPr>
          <w:rFonts w:hint="eastAsia" w:ascii="宋体" w:hAnsi="宋体" w:cs="宋体"/>
          <w:b/>
          <w:color w:val="auto"/>
          <w:sz w:val="28"/>
          <w:szCs w:val="28"/>
          <w:highlight w:val="none"/>
          <w:lang w:val="en-US" w:eastAsia="zh-CN"/>
        </w:rPr>
        <w:t>2</w:t>
      </w:r>
    </w:p>
    <w:p w14:paraId="13EB028D">
      <w:pPr>
        <w:pStyle w:val="58"/>
        <w:rPr>
          <w:rFonts w:hint="eastAsia" w:ascii="宋体" w:hAnsi="宋体" w:eastAsia="宋体" w:cs="宋体"/>
          <w:b/>
          <w:color w:val="auto"/>
          <w:sz w:val="30"/>
          <w:szCs w:val="30"/>
          <w:highlight w:val="none"/>
          <w:lang w:val="en-US" w:eastAsia="zh-CN"/>
        </w:rPr>
      </w:pPr>
    </w:p>
    <w:p w14:paraId="795A1E88">
      <w:pPr>
        <w:pStyle w:val="58"/>
        <w:rPr>
          <w:rFonts w:hint="eastAsia" w:ascii="宋体" w:hAnsi="宋体" w:eastAsia="宋体" w:cs="宋体"/>
          <w:b/>
          <w:color w:val="auto"/>
          <w:sz w:val="30"/>
          <w:szCs w:val="30"/>
          <w:highlight w:val="none"/>
        </w:rPr>
      </w:pPr>
    </w:p>
    <w:p w14:paraId="6EB02932">
      <w:pPr>
        <w:spacing w:line="360" w:lineRule="auto"/>
        <w:ind w:firstLine="602" w:firstLineChars="200"/>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rPr>
        <w:t>采购人：</w:t>
      </w:r>
      <w:r>
        <w:rPr>
          <w:rFonts w:hint="eastAsia" w:ascii="宋体" w:hAnsi="宋体" w:cs="宋体"/>
          <w:b/>
          <w:color w:val="auto"/>
          <w:sz w:val="30"/>
          <w:szCs w:val="30"/>
          <w:highlight w:val="none"/>
          <w:lang w:eastAsia="zh-CN"/>
        </w:rPr>
        <w:t>国家税务总局克拉玛依市克拉玛依区税务局</w:t>
      </w:r>
    </w:p>
    <w:p w14:paraId="356A6FBF">
      <w:pPr>
        <w:spacing w:line="360" w:lineRule="auto"/>
        <w:rPr>
          <w:rFonts w:hint="eastAsia" w:ascii="宋体" w:hAnsi="宋体" w:eastAsia="宋体" w:cs="宋体"/>
          <w:b/>
          <w:color w:val="auto"/>
          <w:sz w:val="30"/>
          <w:szCs w:val="30"/>
          <w:highlight w:val="none"/>
        </w:rPr>
      </w:pPr>
    </w:p>
    <w:p w14:paraId="390B6831">
      <w:pPr>
        <w:spacing w:line="360" w:lineRule="auto"/>
        <w:ind w:firstLine="602" w:firstLineChars="200"/>
        <w:rPr>
          <w:rFonts w:hint="eastAsia" w:ascii="宋体" w:hAnsi="宋体" w:eastAsia="宋体" w:cs="宋体"/>
          <w:b/>
          <w:color w:val="auto"/>
          <w:sz w:val="30"/>
          <w:szCs w:val="30"/>
          <w:highlight w:val="none"/>
        </w:rPr>
      </w:pPr>
    </w:p>
    <w:p w14:paraId="4185F0E5">
      <w:pPr>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采购代理机构：新疆天麒工程项目管理咨询有限责任公司</w:t>
      </w:r>
    </w:p>
    <w:p w14:paraId="6393A240">
      <w:pPr>
        <w:spacing w:line="360" w:lineRule="auto"/>
        <w:ind w:firstLine="602" w:firstLineChars="200"/>
        <w:jc w:val="center"/>
        <w:rPr>
          <w:rFonts w:hint="eastAsia" w:ascii="宋体" w:hAnsi="宋体" w:eastAsia="宋体" w:cs="宋体"/>
          <w:b/>
          <w:color w:val="auto"/>
          <w:sz w:val="30"/>
          <w:szCs w:val="30"/>
          <w:highlight w:val="none"/>
        </w:rPr>
      </w:pPr>
    </w:p>
    <w:p w14:paraId="666B0C52">
      <w:pPr>
        <w:spacing w:line="360" w:lineRule="auto"/>
        <w:ind w:firstLine="602" w:firstLineChars="200"/>
        <w:jc w:val="center"/>
        <w:rPr>
          <w:rFonts w:hint="eastAsia" w:ascii="宋体" w:hAnsi="宋体" w:eastAsia="宋体" w:cs="宋体"/>
          <w:b/>
          <w:color w:val="auto"/>
          <w:sz w:val="30"/>
          <w:szCs w:val="30"/>
          <w:highlight w:val="none"/>
        </w:rPr>
      </w:pPr>
    </w:p>
    <w:p w14:paraId="6A940E1B">
      <w:pPr>
        <w:spacing w:line="360" w:lineRule="auto"/>
        <w:ind w:firstLine="602" w:firstLineChars="200"/>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二</w:t>
      </w:r>
      <w:r>
        <w:rPr>
          <w:rFonts w:hint="eastAsia" w:ascii="宋体" w:hAnsi="宋体" w:cs="宋体"/>
          <w:b/>
          <w:color w:val="auto"/>
          <w:sz w:val="30"/>
          <w:szCs w:val="30"/>
          <w:highlight w:val="none"/>
          <w:lang w:eastAsia="zh-CN"/>
        </w:rPr>
        <w:t>〇</w:t>
      </w:r>
      <w:r>
        <w:rPr>
          <w:rFonts w:hint="eastAsia" w:ascii="宋体" w:hAnsi="宋体" w:eastAsia="宋体" w:cs="宋体"/>
          <w:b/>
          <w:color w:val="auto"/>
          <w:sz w:val="30"/>
          <w:szCs w:val="30"/>
          <w:highlight w:val="none"/>
          <w:lang w:eastAsia="zh-CN"/>
        </w:rPr>
        <w:t>二</w:t>
      </w:r>
      <w:r>
        <w:rPr>
          <w:rFonts w:hint="eastAsia" w:ascii="宋体" w:hAnsi="宋体" w:cs="宋体"/>
          <w:b/>
          <w:color w:val="auto"/>
          <w:sz w:val="30"/>
          <w:szCs w:val="30"/>
          <w:highlight w:val="none"/>
          <w:lang w:val="en-US" w:eastAsia="zh-CN"/>
        </w:rPr>
        <w:t>五</w:t>
      </w:r>
      <w:r>
        <w:rPr>
          <w:rFonts w:hint="eastAsia" w:ascii="宋体" w:hAnsi="宋体" w:eastAsia="宋体" w:cs="宋体"/>
          <w:b/>
          <w:color w:val="auto"/>
          <w:sz w:val="30"/>
          <w:szCs w:val="30"/>
          <w:highlight w:val="none"/>
        </w:rPr>
        <w:t>年</w:t>
      </w:r>
      <w:r>
        <w:rPr>
          <w:rFonts w:hint="eastAsia" w:ascii="宋体" w:hAnsi="宋体" w:cs="宋体"/>
          <w:b/>
          <w:color w:val="auto"/>
          <w:sz w:val="30"/>
          <w:szCs w:val="30"/>
          <w:highlight w:val="none"/>
          <w:lang w:eastAsia="zh-CN"/>
        </w:rPr>
        <w:t>十二</w:t>
      </w:r>
      <w:r>
        <w:rPr>
          <w:rFonts w:hint="eastAsia" w:ascii="宋体" w:hAnsi="宋体" w:eastAsia="宋体" w:cs="宋体"/>
          <w:b/>
          <w:color w:val="auto"/>
          <w:sz w:val="30"/>
          <w:szCs w:val="30"/>
          <w:highlight w:val="none"/>
        </w:rPr>
        <w:t>月</w:t>
      </w:r>
    </w:p>
    <w:p w14:paraId="07BE200E">
      <w:pPr>
        <w:spacing w:line="360" w:lineRule="auto"/>
        <w:jc w:val="center"/>
        <w:rPr>
          <w:rFonts w:hint="eastAsia" w:ascii="宋体" w:hAnsi="宋体" w:eastAsia="宋体" w:cs="宋体"/>
          <w:b/>
          <w:color w:val="auto"/>
          <w:sz w:val="44"/>
          <w:szCs w:val="44"/>
          <w:highlight w:val="none"/>
        </w:rPr>
      </w:pPr>
    </w:p>
    <w:p w14:paraId="28773B8D">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总目录</w:t>
      </w:r>
    </w:p>
    <w:p w14:paraId="5434BD36">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第一章</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t>采购公告--------------------------------------第1页</w:t>
      </w:r>
    </w:p>
    <w:p w14:paraId="3A52194A">
      <w:pPr>
        <w:spacing w:line="360" w:lineRule="auto"/>
        <w:ind w:firstLine="560" w:firstLineChars="200"/>
        <w:rPr>
          <w:rFonts w:hint="eastAsia" w:ascii="宋体" w:hAnsi="宋体" w:eastAsia="宋体" w:cs="宋体"/>
          <w:color w:val="auto"/>
          <w:sz w:val="28"/>
          <w:szCs w:val="28"/>
          <w:highlight w:val="none"/>
        </w:rPr>
      </w:pPr>
    </w:p>
    <w:p w14:paraId="582078B2">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第二章  供应商须知------------------------------------第</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页</w:t>
      </w:r>
    </w:p>
    <w:p w14:paraId="4EAB2F1F">
      <w:pPr>
        <w:spacing w:line="360" w:lineRule="auto"/>
        <w:ind w:firstLine="560" w:firstLineChars="200"/>
        <w:rPr>
          <w:rFonts w:hint="eastAsia" w:ascii="宋体" w:hAnsi="宋体" w:eastAsia="宋体" w:cs="宋体"/>
          <w:color w:val="auto"/>
          <w:sz w:val="28"/>
          <w:szCs w:val="28"/>
          <w:highlight w:val="none"/>
        </w:rPr>
      </w:pPr>
    </w:p>
    <w:p w14:paraId="05B60A09">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第三章  </w:t>
      </w:r>
      <w:r>
        <w:rPr>
          <w:rFonts w:hint="eastAsia" w:ascii="宋体" w:hAnsi="宋体" w:eastAsia="宋体" w:cs="宋体"/>
          <w:bCs/>
          <w:color w:val="auto"/>
          <w:sz w:val="28"/>
          <w:szCs w:val="28"/>
          <w:highlight w:val="none"/>
        </w:rPr>
        <w:t>项目采购需求及合同主要条款</w:t>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2</w:t>
      </w:r>
      <w:r>
        <w:rPr>
          <w:rFonts w:hint="eastAsia" w:ascii="宋体" w:hAnsi="宋体" w:cs="宋体"/>
          <w:color w:val="auto"/>
          <w:sz w:val="28"/>
          <w:szCs w:val="28"/>
          <w:highlight w:val="none"/>
          <w:lang w:val="en-US" w:eastAsia="zh-CN"/>
        </w:rPr>
        <w:t>0</w:t>
      </w:r>
      <w:r>
        <w:rPr>
          <w:rFonts w:hint="eastAsia" w:ascii="宋体" w:hAnsi="宋体" w:eastAsia="宋体" w:cs="宋体"/>
          <w:color w:val="auto"/>
          <w:sz w:val="28"/>
          <w:szCs w:val="28"/>
          <w:highlight w:val="none"/>
        </w:rPr>
        <w:t>页</w:t>
      </w:r>
    </w:p>
    <w:p w14:paraId="4CAC5AE7">
      <w:pPr>
        <w:spacing w:line="360" w:lineRule="auto"/>
        <w:ind w:firstLine="560" w:firstLineChars="200"/>
        <w:rPr>
          <w:rFonts w:hint="eastAsia" w:ascii="宋体" w:hAnsi="宋体" w:eastAsia="宋体" w:cs="宋体"/>
          <w:color w:val="auto"/>
          <w:sz w:val="28"/>
          <w:szCs w:val="28"/>
          <w:highlight w:val="none"/>
        </w:rPr>
      </w:pPr>
    </w:p>
    <w:p w14:paraId="41415CC9">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第四章  响应文件格式-----------------------------------第</w:t>
      </w:r>
      <w:r>
        <w:rPr>
          <w:rFonts w:hint="eastAsia" w:ascii="宋体" w:hAnsi="宋体" w:cs="宋体"/>
          <w:color w:val="auto"/>
          <w:sz w:val="28"/>
          <w:szCs w:val="28"/>
          <w:highlight w:val="none"/>
          <w:lang w:val="en-US" w:eastAsia="zh-CN"/>
        </w:rPr>
        <w:t>53</w:t>
      </w:r>
      <w:r>
        <w:rPr>
          <w:rFonts w:hint="eastAsia" w:ascii="宋体" w:hAnsi="宋体" w:eastAsia="宋体" w:cs="宋体"/>
          <w:color w:val="auto"/>
          <w:sz w:val="28"/>
          <w:szCs w:val="28"/>
          <w:highlight w:val="none"/>
        </w:rPr>
        <w:t>页</w:t>
      </w:r>
    </w:p>
    <w:p w14:paraId="546F21C3">
      <w:pPr>
        <w:spacing w:line="360" w:lineRule="auto"/>
        <w:ind w:firstLine="560" w:firstLineChars="200"/>
        <w:rPr>
          <w:rFonts w:hint="eastAsia" w:ascii="宋体" w:hAnsi="宋体" w:eastAsia="宋体" w:cs="宋体"/>
          <w:color w:val="auto"/>
          <w:sz w:val="28"/>
          <w:szCs w:val="28"/>
          <w:highlight w:val="none"/>
        </w:rPr>
      </w:pPr>
    </w:p>
    <w:p w14:paraId="1F7544C1">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第五章  </w:t>
      </w:r>
      <w:r>
        <w:rPr>
          <w:rFonts w:hint="eastAsia" w:ascii="宋体" w:hAnsi="宋体" w:eastAsia="宋体" w:cs="宋体"/>
          <w:color w:val="auto"/>
          <w:sz w:val="28"/>
          <w:szCs w:val="28"/>
          <w:highlight w:val="none"/>
          <w:lang w:eastAsia="zh-CN"/>
        </w:rPr>
        <w:t>评审标准</w:t>
      </w:r>
      <w:r>
        <w:rPr>
          <w:rFonts w:hint="eastAsia" w:ascii="宋体" w:hAnsi="宋体" w:eastAsia="宋体" w:cs="宋体"/>
          <w:color w:val="auto"/>
          <w:sz w:val="28"/>
          <w:szCs w:val="28"/>
          <w:highlight w:val="none"/>
        </w:rPr>
        <w:t>（综合评分法）-------------------------第</w:t>
      </w:r>
      <w:r>
        <w:rPr>
          <w:rFonts w:hint="eastAsia" w:ascii="宋体" w:hAnsi="宋体" w:cs="宋体"/>
          <w:color w:val="auto"/>
          <w:sz w:val="28"/>
          <w:szCs w:val="28"/>
          <w:highlight w:val="none"/>
          <w:lang w:val="en-US" w:eastAsia="zh-CN"/>
        </w:rPr>
        <w:t>67</w:t>
      </w:r>
      <w:r>
        <w:rPr>
          <w:rFonts w:hint="eastAsia" w:ascii="宋体" w:hAnsi="宋体" w:eastAsia="宋体" w:cs="宋体"/>
          <w:color w:val="auto"/>
          <w:sz w:val="28"/>
          <w:szCs w:val="28"/>
          <w:highlight w:val="none"/>
        </w:rPr>
        <w:t>页</w:t>
      </w:r>
    </w:p>
    <w:p w14:paraId="1632EDCD">
      <w:pPr>
        <w:spacing w:line="360" w:lineRule="auto"/>
        <w:rPr>
          <w:rFonts w:hint="eastAsia" w:ascii="宋体" w:hAnsi="宋体" w:eastAsia="宋体" w:cs="宋体"/>
          <w:color w:val="auto"/>
          <w:sz w:val="32"/>
          <w:szCs w:val="32"/>
          <w:highlight w:val="none"/>
        </w:rPr>
      </w:pPr>
    </w:p>
    <w:p w14:paraId="46074D3A">
      <w:pPr>
        <w:spacing w:line="360" w:lineRule="auto"/>
        <w:rPr>
          <w:rFonts w:hint="eastAsia" w:ascii="宋体" w:hAnsi="宋体" w:eastAsia="宋体" w:cs="宋体"/>
          <w:color w:val="auto"/>
          <w:sz w:val="32"/>
          <w:szCs w:val="32"/>
          <w:highlight w:val="none"/>
        </w:rPr>
      </w:pPr>
    </w:p>
    <w:p w14:paraId="3C81C3A7">
      <w:pPr>
        <w:spacing w:line="360" w:lineRule="auto"/>
        <w:rPr>
          <w:rFonts w:hint="eastAsia" w:ascii="宋体" w:hAnsi="宋体" w:eastAsia="宋体" w:cs="宋体"/>
          <w:color w:val="auto"/>
          <w:sz w:val="32"/>
          <w:szCs w:val="32"/>
          <w:highlight w:val="none"/>
        </w:rPr>
      </w:pPr>
    </w:p>
    <w:p w14:paraId="1109E6CC">
      <w:pPr>
        <w:spacing w:line="360" w:lineRule="auto"/>
        <w:rPr>
          <w:rFonts w:hint="eastAsia" w:ascii="宋体" w:hAnsi="宋体" w:eastAsia="宋体" w:cs="宋体"/>
          <w:color w:val="auto"/>
          <w:sz w:val="32"/>
          <w:szCs w:val="32"/>
          <w:highlight w:val="none"/>
        </w:rPr>
      </w:pPr>
    </w:p>
    <w:p w14:paraId="5F25CA56">
      <w:pPr>
        <w:spacing w:line="360" w:lineRule="auto"/>
        <w:rPr>
          <w:rFonts w:hint="eastAsia" w:ascii="宋体" w:hAnsi="宋体" w:eastAsia="宋体" w:cs="宋体"/>
          <w:color w:val="auto"/>
          <w:sz w:val="32"/>
          <w:szCs w:val="32"/>
          <w:highlight w:val="none"/>
        </w:rPr>
      </w:pPr>
    </w:p>
    <w:p w14:paraId="37F62EF3">
      <w:pPr>
        <w:spacing w:line="360" w:lineRule="auto"/>
        <w:rPr>
          <w:rFonts w:hint="eastAsia" w:ascii="宋体" w:hAnsi="宋体" w:eastAsia="宋体" w:cs="宋体"/>
          <w:color w:val="auto"/>
          <w:sz w:val="32"/>
          <w:szCs w:val="32"/>
          <w:highlight w:val="none"/>
        </w:rPr>
      </w:pPr>
    </w:p>
    <w:p w14:paraId="0B0651EC">
      <w:pPr>
        <w:spacing w:line="360" w:lineRule="auto"/>
        <w:rPr>
          <w:rFonts w:hint="eastAsia" w:ascii="宋体" w:hAnsi="宋体" w:eastAsia="宋体" w:cs="宋体"/>
          <w:color w:val="auto"/>
          <w:sz w:val="32"/>
          <w:szCs w:val="32"/>
          <w:highlight w:val="none"/>
        </w:rPr>
      </w:pPr>
    </w:p>
    <w:p w14:paraId="6DFC4822">
      <w:pPr>
        <w:spacing w:line="360" w:lineRule="auto"/>
        <w:rPr>
          <w:rFonts w:hint="eastAsia" w:ascii="宋体" w:hAnsi="宋体" w:eastAsia="宋体" w:cs="宋体"/>
          <w:color w:val="auto"/>
          <w:sz w:val="32"/>
          <w:szCs w:val="32"/>
          <w:highlight w:val="none"/>
        </w:rPr>
      </w:pPr>
    </w:p>
    <w:p w14:paraId="1DBED25C">
      <w:pPr>
        <w:spacing w:line="360" w:lineRule="auto"/>
        <w:rPr>
          <w:rFonts w:hint="eastAsia" w:ascii="宋体" w:hAnsi="宋体" w:eastAsia="宋体" w:cs="宋体"/>
          <w:color w:val="auto"/>
          <w:sz w:val="32"/>
          <w:szCs w:val="32"/>
          <w:highlight w:val="none"/>
        </w:rPr>
      </w:pPr>
    </w:p>
    <w:p w14:paraId="795F81E1">
      <w:pPr>
        <w:spacing w:line="360" w:lineRule="auto"/>
        <w:rPr>
          <w:rFonts w:hint="eastAsia" w:ascii="宋体" w:hAnsi="宋体" w:eastAsia="宋体" w:cs="宋体"/>
          <w:color w:val="auto"/>
          <w:sz w:val="32"/>
          <w:szCs w:val="32"/>
          <w:highlight w:val="none"/>
        </w:rPr>
      </w:pPr>
    </w:p>
    <w:p w14:paraId="6B81057C">
      <w:pPr>
        <w:pStyle w:val="3"/>
        <w:numPr>
          <w:ilvl w:val="0"/>
          <w:numId w:val="1"/>
        </w:numPr>
        <w:spacing w:line="280" w:lineRule="exact"/>
        <w:jc w:val="center"/>
        <w:rPr>
          <w:rFonts w:hint="eastAsia" w:ascii="宋体" w:hAnsi="宋体" w:eastAsia="宋体" w:cs="宋体"/>
          <w:bCs w:val="0"/>
          <w:color w:val="auto"/>
          <w:sz w:val="28"/>
          <w:szCs w:val="28"/>
          <w:highlight w:val="none"/>
        </w:rPr>
        <w:sectPr>
          <w:headerReference r:id="rId3" w:type="first"/>
          <w:footerReference r:id="rId5" w:type="first"/>
          <w:footerReference r:id="rId4" w:type="default"/>
          <w:pgSz w:w="11905" w:h="16838"/>
          <w:pgMar w:top="1440" w:right="1080" w:bottom="1440" w:left="1080" w:header="850" w:footer="850" w:gutter="0"/>
          <w:pgNumType w:start="1"/>
          <w:cols w:space="0" w:num="1"/>
          <w:rtlGutter w:val="0"/>
          <w:docGrid w:linePitch="354" w:charSpace="0"/>
        </w:sectPr>
      </w:pPr>
    </w:p>
    <w:p w14:paraId="0470A28B">
      <w:pPr>
        <w:pStyle w:val="3"/>
        <w:numPr>
          <w:ilvl w:val="0"/>
          <w:numId w:val="1"/>
        </w:numPr>
        <w:spacing w:line="280" w:lineRule="exact"/>
        <w:jc w:val="center"/>
        <w:rPr>
          <w:rFonts w:hint="eastAsia" w:ascii="宋体" w:hAnsi="宋体" w:eastAsia="宋体" w:cs="宋体"/>
          <w:bCs w:val="0"/>
          <w:color w:val="auto"/>
          <w:sz w:val="28"/>
          <w:szCs w:val="28"/>
          <w:highlight w:val="none"/>
        </w:rPr>
      </w:pPr>
      <w:bookmarkStart w:id="1" w:name="_Toc154996575"/>
      <w:r>
        <w:rPr>
          <w:rFonts w:hint="eastAsia" w:ascii="宋体" w:hAnsi="宋体" w:eastAsia="宋体" w:cs="宋体"/>
          <w:bCs w:val="0"/>
          <w:color w:val="auto"/>
          <w:sz w:val="28"/>
          <w:szCs w:val="28"/>
          <w:highlight w:val="none"/>
        </w:rPr>
        <w:t>采购公告</w:t>
      </w:r>
    </w:p>
    <w:tbl>
      <w:tblPr>
        <w:tblStyle w:val="59"/>
        <w:tblW w:w="9492" w:type="dxa"/>
        <w:tblInd w:w="2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2"/>
      </w:tblGrid>
      <w:tr w14:paraId="54AB6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2" w:type="dxa"/>
            <w:vAlign w:val="top"/>
          </w:tcPr>
          <w:p w14:paraId="033CEA40">
            <w:pPr>
              <w:pStyle w:val="53"/>
              <w:widowControl/>
              <w:wordWrap/>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                                      </w:t>
            </w:r>
          </w:p>
          <w:p w14:paraId="28A37D48">
            <w:pPr>
              <w:pStyle w:val="53"/>
              <w:widowControl/>
              <w:wordWrap/>
              <w:adjustRightInd/>
              <w:snapToGrid/>
              <w:spacing w:before="0" w:beforeAutospacing="0" w:after="0" w:afterAutospacing="0" w:line="360" w:lineRule="auto"/>
              <w:ind w:left="0" w:leftChars="0" w:right="0" w:firstLine="480" w:firstLineChars="200"/>
              <w:jc w:val="both"/>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国家税务总局克拉玛依市克拉玛依区税务局安保服务</w:t>
            </w:r>
            <w:r>
              <w:rPr>
                <w:rFonts w:hint="eastAsia" w:ascii="宋体" w:hAnsi="宋体" w:eastAsia="宋体" w:cs="宋体"/>
                <w:color w:val="auto"/>
                <w:sz w:val="24"/>
                <w:szCs w:val="24"/>
                <w:highlight w:val="none"/>
              </w:rPr>
              <w:t>的潜在供应商应在</w:t>
            </w:r>
            <w:r>
              <w:rPr>
                <w:rFonts w:hint="eastAsia" w:cs="宋体"/>
                <w:color w:val="auto"/>
                <w:highlight w:val="none"/>
                <w:lang w:eastAsia="zh-CN"/>
              </w:rPr>
              <w:t>国家税务总局克拉玛依市税务局门户网站</w:t>
            </w:r>
            <w:r>
              <w:rPr>
                <w:rFonts w:hint="eastAsia" w:ascii="宋体" w:hAnsi="宋体" w:eastAsia="宋体" w:cs="宋体"/>
                <w:color w:val="auto"/>
                <w:sz w:val="24"/>
                <w:szCs w:val="24"/>
                <w:highlight w:val="none"/>
              </w:rPr>
              <w:t>获取采购文件，并于</w:t>
            </w:r>
            <w:r>
              <w:rPr>
                <w:rFonts w:hint="eastAsia" w:cs="宋体"/>
                <w:color w:val="auto"/>
                <w:sz w:val="24"/>
                <w:szCs w:val="24"/>
                <w:highlight w:val="none"/>
                <w:lang w:eastAsia="zh-CN"/>
              </w:rPr>
              <w:t>2025年</w:t>
            </w:r>
            <w:r>
              <w:rPr>
                <w:rFonts w:hint="eastAsia"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9</w:t>
            </w:r>
            <w:r>
              <w:rPr>
                <w:rFonts w:hint="eastAsia" w:ascii="宋体" w:hAnsi="宋体" w:eastAsia="宋体" w:cs="宋体"/>
                <w:color w:val="auto"/>
                <w:sz w:val="24"/>
                <w:szCs w:val="24"/>
                <w:highlight w:val="none"/>
              </w:rPr>
              <w:t>日 1</w:t>
            </w: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0</w:t>
            </w:r>
            <w:r>
              <w:rPr>
                <w:rFonts w:hint="eastAsia" w:ascii="宋体" w:hAnsi="宋体" w:eastAsia="宋体" w:cs="宋体"/>
                <w:color w:val="auto"/>
                <w:sz w:val="24"/>
                <w:szCs w:val="24"/>
                <w:highlight w:val="none"/>
              </w:rPr>
              <w:t>0（北京时间）前提交响应文件。</w:t>
            </w:r>
          </w:p>
        </w:tc>
      </w:tr>
    </w:tbl>
    <w:p w14:paraId="426917D9">
      <w:pPr>
        <w:pStyle w:val="53"/>
        <w:widowControl/>
        <w:wordWrap/>
        <w:adjustRightInd/>
        <w:snapToGrid/>
        <w:spacing w:before="0" w:beforeAutospacing="0" w:after="0" w:afterAutospacing="0" w:line="360" w:lineRule="auto"/>
        <w:ind w:left="0" w:leftChars="0" w:right="0" w:firstLine="482" w:firstLineChars="200"/>
        <w:jc w:val="left"/>
        <w:textAlignment w:val="auto"/>
        <w:rPr>
          <w:rFonts w:hint="eastAsia" w:ascii="宋体" w:hAnsi="宋体" w:eastAsia="宋体" w:cs="宋体"/>
          <w:color w:val="auto"/>
          <w:sz w:val="24"/>
          <w:szCs w:val="24"/>
          <w:highlight w:val="none"/>
        </w:rPr>
      </w:pPr>
      <w:r>
        <w:rPr>
          <w:rStyle w:val="63"/>
          <w:rFonts w:hint="eastAsia" w:ascii="宋体" w:hAnsi="宋体" w:eastAsia="宋体" w:cs="宋体"/>
          <w:color w:val="auto"/>
          <w:sz w:val="24"/>
          <w:szCs w:val="24"/>
          <w:highlight w:val="none"/>
        </w:rPr>
        <w:t>一、项目基本情况</w:t>
      </w:r>
    </w:p>
    <w:p w14:paraId="329603F7">
      <w:pPr>
        <w:pStyle w:val="53"/>
        <w:widowControl/>
        <w:wordWrap/>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r>
        <w:rPr>
          <w:rFonts w:hint="eastAsia" w:cs="宋体"/>
          <w:color w:val="auto"/>
          <w:sz w:val="24"/>
          <w:szCs w:val="24"/>
          <w:highlight w:val="none"/>
          <w:lang w:eastAsia="zh-CN"/>
        </w:rPr>
        <w:t>KQSWJ（ZC）2025-02</w:t>
      </w:r>
      <w:r>
        <w:rPr>
          <w:rFonts w:hint="eastAsia" w:ascii="宋体" w:hAnsi="宋体" w:eastAsia="宋体" w:cs="宋体"/>
          <w:color w:val="auto"/>
          <w:sz w:val="24"/>
          <w:szCs w:val="24"/>
          <w:highlight w:val="none"/>
        </w:rPr>
        <w:t> </w:t>
      </w:r>
    </w:p>
    <w:p w14:paraId="54963782">
      <w:pPr>
        <w:pStyle w:val="53"/>
        <w:widowControl/>
        <w:wordWrap/>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cs="宋体"/>
          <w:color w:val="auto"/>
          <w:sz w:val="24"/>
          <w:szCs w:val="24"/>
          <w:highlight w:val="none"/>
          <w:lang w:eastAsia="zh-CN"/>
        </w:rPr>
        <w:t>国家税务总局克拉玛依市克拉玛依区税务局安保服务</w:t>
      </w:r>
      <w:r>
        <w:rPr>
          <w:rFonts w:hint="eastAsia" w:ascii="宋体" w:hAnsi="宋体" w:eastAsia="宋体" w:cs="宋体"/>
          <w:color w:val="auto"/>
          <w:sz w:val="24"/>
          <w:szCs w:val="24"/>
          <w:highlight w:val="none"/>
        </w:rPr>
        <w:t> </w:t>
      </w:r>
    </w:p>
    <w:p w14:paraId="166FAA95">
      <w:pPr>
        <w:pStyle w:val="53"/>
        <w:widowControl/>
        <w:wordWrap/>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采购方式：</w:t>
      </w:r>
      <w:r>
        <w:rPr>
          <w:rFonts w:hint="eastAsia" w:cs="宋体"/>
          <w:color w:val="auto"/>
          <w:sz w:val="24"/>
          <w:szCs w:val="24"/>
          <w:highlight w:val="none"/>
          <w:lang w:val="en-US" w:eastAsia="zh-CN"/>
        </w:rPr>
        <w:t>简易磋商</w:t>
      </w:r>
      <w:r>
        <w:rPr>
          <w:rFonts w:hint="eastAsia" w:ascii="宋体" w:hAnsi="宋体" w:eastAsia="宋体" w:cs="宋体"/>
          <w:color w:val="auto"/>
          <w:sz w:val="24"/>
          <w:szCs w:val="24"/>
          <w:highlight w:val="none"/>
        </w:rPr>
        <w:t> </w:t>
      </w:r>
    </w:p>
    <w:p w14:paraId="10608B9A">
      <w:pPr>
        <w:widowControl/>
        <w:wordWrap/>
        <w:adjustRightInd/>
        <w:snapToGrid/>
        <w:spacing w:line="360" w:lineRule="auto"/>
        <w:ind w:left="0" w:leftChars="0" w:right="0" w:firstLine="480" w:firstLineChars="200"/>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rPr>
        <w:t>预算金额（元）：</w:t>
      </w:r>
      <w:r>
        <w:rPr>
          <w:rFonts w:hint="eastAsia" w:ascii="宋体" w:hAnsi="宋体" w:cs="宋体"/>
          <w:color w:val="auto"/>
          <w:sz w:val="24"/>
          <w:szCs w:val="24"/>
          <w:highlight w:val="none"/>
          <w:lang w:val="en-US" w:eastAsia="zh-CN"/>
        </w:rPr>
        <w:t>720000</w:t>
      </w:r>
    </w:p>
    <w:p w14:paraId="212A0318">
      <w:pPr>
        <w:pStyle w:val="53"/>
        <w:widowControl/>
        <w:wordWrap/>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最高限价（元）：</w:t>
      </w:r>
      <w:r>
        <w:rPr>
          <w:rFonts w:hint="eastAsia" w:cs="宋体"/>
          <w:color w:val="auto"/>
          <w:sz w:val="24"/>
          <w:szCs w:val="24"/>
          <w:highlight w:val="none"/>
          <w:lang w:val="en-US" w:eastAsia="zh-CN"/>
        </w:rPr>
        <w:t>720000</w:t>
      </w:r>
      <w:r>
        <w:rPr>
          <w:rFonts w:hint="eastAsia" w:ascii="宋体" w:hAnsi="宋体" w:eastAsia="宋体" w:cs="宋体"/>
          <w:color w:val="auto"/>
          <w:sz w:val="24"/>
          <w:szCs w:val="24"/>
          <w:highlight w:val="none"/>
        </w:rPr>
        <w:t>  </w:t>
      </w:r>
    </w:p>
    <w:p w14:paraId="3EBE3B11">
      <w:pPr>
        <w:pStyle w:val="53"/>
        <w:widowControl/>
        <w:wordWrap/>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r>
        <w:rPr>
          <w:rFonts w:ascii="宋体" w:hAnsi="宋体" w:eastAsia="宋体" w:cs="宋体"/>
          <w:sz w:val="24"/>
          <w:szCs w:val="24"/>
        </w:rPr>
        <w:t>详见采购文件</w:t>
      </w:r>
      <w:r>
        <w:rPr>
          <w:rFonts w:hint="eastAsia" w:ascii="宋体" w:hAnsi="宋体" w:cs="宋体"/>
          <w:sz w:val="24"/>
          <w:szCs w:val="24"/>
          <w:lang w:eastAsia="zh-CN"/>
        </w:rPr>
        <w:t>。</w:t>
      </w:r>
    </w:p>
    <w:p w14:paraId="2D7C5FF8">
      <w:pPr>
        <w:widowControl/>
        <w:wordWrap/>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数量：</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w:t>
      </w:r>
    </w:p>
    <w:p w14:paraId="11D67BF1">
      <w:pPr>
        <w:pStyle w:val="53"/>
        <w:widowControl/>
        <w:wordWrap/>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r>
        <w:rPr>
          <w:rFonts w:hint="eastAsia" w:cs="宋体"/>
          <w:color w:val="auto"/>
          <w:sz w:val="24"/>
          <w:szCs w:val="24"/>
          <w:highlight w:val="none"/>
          <w:lang w:val="en-US" w:eastAsia="zh-CN"/>
        </w:rPr>
        <w:t>1项</w:t>
      </w:r>
      <w:r>
        <w:rPr>
          <w:rFonts w:hint="eastAsia" w:ascii="宋体" w:hAnsi="宋体" w:eastAsia="宋体" w:cs="宋体"/>
          <w:color w:val="auto"/>
          <w:sz w:val="24"/>
          <w:szCs w:val="24"/>
          <w:highlight w:val="none"/>
        </w:rPr>
        <w:t> </w:t>
      </w:r>
    </w:p>
    <w:p w14:paraId="3CC6081B">
      <w:pPr>
        <w:pStyle w:val="53"/>
        <w:widowControl/>
        <w:wordWrap/>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简要规格描述：</w:t>
      </w:r>
      <w:r>
        <w:rPr>
          <w:rFonts w:hint="eastAsia" w:ascii="宋体" w:hAnsi="宋体" w:eastAsia="宋体" w:cs="宋体"/>
          <w:color w:val="auto"/>
          <w:sz w:val="24"/>
          <w:szCs w:val="24"/>
          <w:highlight w:val="none"/>
          <w:lang w:eastAsia="zh-CN"/>
        </w:rPr>
        <w:t>安保服务</w:t>
      </w:r>
      <w:r>
        <w:rPr>
          <w:rFonts w:hint="eastAsia" w:ascii="宋体" w:hAnsi="宋体" w:eastAsia="宋体" w:cs="宋体"/>
          <w:color w:val="auto"/>
          <w:sz w:val="24"/>
          <w:szCs w:val="24"/>
          <w:highlight w:val="none"/>
        </w:rPr>
        <w:t>包括</w:t>
      </w:r>
      <w:r>
        <w:rPr>
          <w:rFonts w:hint="eastAsia" w:ascii="宋体" w:hAnsi="宋体" w:eastAsia="宋体" w:cs="宋体"/>
          <w:color w:val="auto"/>
          <w:sz w:val="24"/>
          <w:szCs w:val="24"/>
          <w:highlight w:val="none"/>
          <w:lang w:val="en-US" w:eastAsia="zh-CN"/>
        </w:rPr>
        <w:t>基本服务、安保服务、</w:t>
      </w:r>
      <w:r>
        <w:rPr>
          <w:rFonts w:hint="eastAsia" w:cs="宋体"/>
          <w:color w:val="auto"/>
          <w:sz w:val="24"/>
          <w:szCs w:val="24"/>
          <w:highlight w:val="none"/>
          <w:lang w:val="en-US" w:eastAsia="zh-CN"/>
        </w:rPr>
        <w:t>建筑消防设施日常运行维保服务</w:t>
      </w:r>
      <w:r>
        <w:rPr>
          <w:rFonts w:hint="eastAsia" w:ascii="宋体" w:hAnsi="宋体" w:eastAsia="宋体" w:cs="宋体"/>
          <w:color w:val="auto"/>
          <w:sz w:val="24"/>
          <w:szCs w:val="24"/>
          <w:highlight w:val="none"/>
        </w:rPr>
        <w:t>等 </w:t>
      </w:r>
    </w:p>
    <w:p w14:paraId="7D9B76D5">
      <w:pPr>
        <w:pStyle w:val="53"/>
        <w:widowControl/>
        <w:wordWrap/>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r>
        <w:rPr>
          <w:rFonts w:hint="eastAsia" w:cs="宋体"/>
          <w:color w:val="auto"/>
          <w:sz w:val="24"/>
          <w:szCs w:val="24"/>
          <w:highlight w:val="none"/>
          <w:lang w:val="en-US" w:eastAsia="zh-CN"/>
        </w:rPr>
        <w:t>本预算为一年的预算。</w:t>
      </w:r>
      <w:r>
        <w:rPr>
          <w:rFonts w:hint="eastAsia" w:ascii="宋体" w:hAnsi="宋体" w:eastAsia="宋体" w:cs="宋体"/>
          <w:color w:val="auto"/>
          <w:sz w:val="24"/>
          <w:szCs w:val="24"/>
          <w:highlight w:val="none"/>
        </w:rPr>
        <w:t> </w:t>
      </w:r>
    </w:p>
    <w:p w14:paraId="04088D4E">
      <w:pPr>
        <w:pStyle w:val="53"/>
        <w:widowControl/>
        <w:wordWrap/>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合同履约期限：</w:t>
      </w:r>
      <w:r>
        <w:rPr>
          <w:rFonts w:hint="eastAsia" w:ascii="宋体" w:hAnsi="宋体" w:eastAsia="宋体" w:cs="宋体"/>
          <w:color w:val="auto"/>
          <w:sz w:val="24"/>
          <w:szCs w:val="24"/>
          <w:highlight w:val="none"/>
          <w:lang w:val="en-US" w:eastAsia="zh-CN"/>
        </w:rPr>
        <w:t>详见采购文件</w:t>
      </w:r>
      <w:r>
        <w:rPr>
          <w:rFonts w:hint="eastAsia" w:ascii="宋体" w:hAnsi="宋体" w:cs="宋体"/>
          <w:sz w:val="24"/>
          <w:szCs w:val="24"/>
          <w:lang w:eastAsia="zh-CN"/>
        </w:rPr>
        <w:t>。</w:t>
      </w:r>
      <w:r>
        <w:rPr>
          <w:rFonts w:hint="eastAsia" w:ascii="宋体" w:hAnsi="宋体" w:eastAsia="宋体" w:cs="宋体"/>
          <w:color w:val="auto"/>
          <w:sz w:val="24"/>
          <w:szCs w:val="24"/>
          <w:highlight w:val="none"/>
        </w:rPr>
        <w:t> </w:t>
      </w:r>
    </w:p>
    <w:p w14:paraId="4118FCFE">
      <w:pPr>
        <w:pStyle w:val="53"/>
        <w:widowControl/>
        <w:wordWrap/>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24"/>
          <w:szCs w:val="24"/>
          <w:highlight w:val="none"/>
        </w:rPr>
        <w:t>本项目</w:t>
      </w:r>
      <w:r>
        <w:rPr>
          <w:rFonts w:hint="eastAsia" w:cs="宋体"/>
          <w:color w:val="auto"/>
          <w:sz w:val="24"/>
          <w:szCs w:val="24"/>
          <w:highlight w:val="none"/>
          <w:lang w:val="en-US" w:eastAsia="zh-CN"/>
        </w:rPr>
        <w:t>不</w:t>
      </w:r>
      <w:r>
        <w:rPr>
          <w:rFonts w:hint="eastAsia" w:ascii="宋体" w:hAnsi="宋体" w:eastAsia="宋体" w:cs="宋体"/>
          <w:color w:val="auto"/>
          <w:sz w:val="24"/>
          <w:szCs w:val="24"/>
          <w:highlight w:val="none"/>
        </w:rPr>
        <w:t>接受联合体投标。  </w:t>
      </w:r>
    </w:p>
    <w:p w14:paraId="5BFC3E20">
      <w:pPr>
        <w:pStyle w:val="53"/>
        <w:widowControl/>
        <w:wordWrap/>
        <w:adjustRightInd/>
        <w:snapToGrid/>
        <w:spacing w:before="0" w:beforeAutospacing="0" w:after="0" w:afterAutospacing="0" w:line="360" w:lineRule="auto"/>
        <w:ind w:left="0" w:leftChars="0" w:right="0" w:firstLine="482" w:firstLineChars="200"/>
        <w:jc w:val="left"/>
        <w:textAlignment w:val="auto"/>
        <w:rPr>
          <w:rFonts w:hint="eastAsia" w:ascii="宋体" w:hAnsi="宋体" w:eastAsia="宋体" w:cs="宋体"/>
          <w:color w:val="auto"/>
          <w:sz w:val="24"/>
          <w:szCs w:val="24"/>
          <w:highlight w:val="none"/>
        </w:rPr>
      </w:pPr>
      <w:r>
        <w:rPr>
          <w:rStyle w:val="63"/>
          <w:rFonts w:hint="eastAsia" w:ascii="宋体" w:hAnsi="宋体" w:eastAsia="宋体" w:cs="宋体"/>
          <w:color w:val="auto"/>
          <w:sz w:val="24"/>
          <w:szCs w:val="24"/>
          <w:highlight w:val="none"/>
        </w:rPr>
        <w:t>二、申请人的资格要求：</w:t>
      </w:r>
    </w:p>
    <w:p w14:paraId="2BF75BFA">
      <w:pPr>
        <w:pStyle w:val="53"/>
        <w:widowControl/>
        <w:wordWrap/>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2B131421">
      <w:pPr>
        <w:pStyle w:val="53"/>
        <w:widowControl/>
        <w:wordWrap/>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2.落实政府采购政策需满足的资格要求：</w:t>
      </w:r>
      <w:r>
        <w:rPr>
          <w:rFonts w:hint="eastAsia" w:cs="宋体"/>
          <w:color w:val="auto"/>
          <w:sz w:val="24"/>
          <w:szCs w:val="24"/>
          <w:highlight w:val="none"/>
          <w:lang w:val="en-US" w:eastAsia="zh-CN"/>
        </w:rPr>
        <w:t>本项目专门面向中小企业</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 </w:t>
      </w:r>
    </w:p>
    <w:p w14:paraId="0EACA451">
      <w:pPr>
        <w:pStyle w:val="53"/>
        <w:widowControl/>
        <w:wordWrap/>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w:t>
      </w:r>
      <w:r>
        <w:rPr>
          <w:rFonts w:hint="eastAsia" w:cs="宋体"/>
          <w:color w:val="auto"/>
          <w:sz w:val="24"/>
          <w:highlight w:val="none"/>
          <w:lang w:val="en-US" w:eastAsia="zh-CN"/>
        </w:rPr>
        <w:t>无</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 </w:t>
      </w:r>
    </w:p>
    <w:p w14:paraId="146B7C96">
      <w:pPr>
        <w:pStyle w:val="53"/>
        <w:widowControl/>
        <w:wordWrap/>
        <w:adjustRightInd/>
        <w:snapToGrid/>
        <w:spacing w:before="0" w:beforeAutospacing="0" w:after="0" w:afterAutospacing="0" w:line="360" w:lineRule="auto"/>
        <w:ind w:left="0" w:leftChars="0" w:right="0" w:firstLine="482" w:firstLineChars="200"/>
        <w:jc w:val="left"/>
        <w:textAlignment w:val="auto"/>
        <w:rPr>
          <w:rFonts w:hint="eastAsia" w:ascii="宋体" w:hAnsi="宋体" w:eastAsia="宋体" w:cs="宋体"/>
          <w:color w:val="auto"/>
          <w:sz w:val="24"/>
          <w:szCs w:val="24"/>
          <w:highlight w:val="none"/>
        </w:rPr>
      </w:pPr>
      <w:r>
        <w:rPr>
          <w:rStyle w:val="63"/>
          <w:rFonts w:hint="eastAsia" w:ascii="宋体" w:hAnsi="宋体" w:eastAsia="宋体" w:cs="宋体"/>
          <w:color w:val="auto"/>
          <w:sz w:val="24"/>
          <w:szCs w:val="24"/>
          <w:highlight w:val="none"/>
        </w:rPr>
        <w:t>三、获取采购文件</w:t>
      </w:r>
    </w:p>
    <w:p w14:paraId="407ED147">
      <w:pPr>
        <w:pStyle w:val="53"/>
        <w:widowControl/>
        <w:wordWrap/>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cs="宋体"/>
          <w:color w:val="auto"/>
          <w:sz w:val="24"/>
          <w:szCs w:val="24"/>
          <w:highlight w:val="none"/>
          <w:lang w:eastAsia="zh-CN"/>
        </w:rPr>
        <w:t>2025年</w:t>
      </w:r>
      <w:r>
        <w:rPr>
          <w:rFonts w:hint="eastAsia"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日至</w:t>
      </w:r>
      <w:r>
        <w:rPr>
          <w:rFonts w:hint="eastAsia" w:cs="宋体"/>
          <w:color w:val="auto"/>
          <w:sz w:val="24"/>
          <w:szCs w:val="24"/>
          <w:highlight w:val="none"/>
          <w:lang w:eastAsia="zh-CN"/>
        </w:rPr>
        <w:t>2025年</w:t>
      </w:r>
      <w:r>
        <w:rPr>
          <w:rFonts w:hint="eastAsia" w:ascii="宋体" w:hAnsi="宋体" w:eastAsia="宋体" w:cs="宋体"/>
          <w:color w:val="auto"/>
          <w:sz w:val="24"/>
          <w:szCs w:val="24"/>
          <w:highlight w:val="none"/>
          <w:lang w:val="en-US" w:eastAsia="zh-CN"/>
        </w:rPr>
        <w:t>1</w:t>
      </w: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日，每天上午10:</w:t>
      </w:r>
      <w:r>
        <w:rPr>
          <w:rFonts w:hint="eastAsia"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0至1</w:t>
      </w:r>
      <w:r>
        <w:rPr>
          <w:rFonts w:hint="eastAsia"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0，下午1</w:t>
      </w:r>
      <w:r>
        <w:rPr>
          <w:rFonts w:hint="eastAsia"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0至19:</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0（北京时间，法定节假日除外）</w:t>
      </w:r>
    </w:p>
    <w:p w14:paraId="7F60DACA">
      <w:pPr>
        <w:pStyle w:val="53"/>
        <w:widowControl/>
        <w:wordWrap/>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cs="宋体"/>
          <w:color w:val="auto"/>
          <w:highlight w:val="none"/>
          <w:lang w:eastAsia="zh-CN"/>
        </w:rPr>
        <w:t>国家税务总局克拉玛依市税务局门户网站</w:t>
      </w:r>
      <w:r>
        <w:rPr>
          <w:rFonts w:hint="eastAsia" w:ascii="宋体" w:hAnsi="宋体" w:eastAsia="宋体" w:cs="宋体"/>
          <w:color w:val="auto"/>
          <w:sz w:val="24"/>
          <w:szCs w:val="24"/>
          <w:highlight w:val="none"/>
        </w:rPr>
        <w:t> </w:t>
      </w:r>
    </w:p>
    <w:p w14:paraId="4446A002">
      <w:pPr>
        <w:pStyle w:val="53"/>
        <w:widowControl/>
        <w:wordWrap/>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方式：线</w:t>
      </w:r>
      <w:r>
        <w:rPr>
          <w:rFonts w:hint="eastAsia" w:cs="宋体"/>
          <w:color w:val="auto"/>
          <w:sz w:val="24"/>
          <w:szCs w:val="24"/>
          <w:highlight w:val="none"/>
          <w:lang w:val="en-US" w:eastAsia="zh-CN"/>
        </w:rPr>
        <w:t>上</w:t>
      </w:r>
      <w:r>
        <w:rPr>
          <w:rFonts w:hint="eastAsia" w:ascii="宋体" w:hAnsi="宋体" w:eastAsia="宋体" w:cs="宋体"/>
          <w:color w:val="auto"/>
          <w:sz w:val="24"/>
          <w:szCs w:val="24"/>
          <w:highlight w:val="none"/>
        </w:rPr>
        <w:t>获取 </w:t>
      </w:r>
    </w:p>
    <w:p w14:paraId="2EB70EE7">
      <w:pPr>
        <w:pStyle w:val="53"/>
        <w:widowControl/>
        <w:wordWrap/>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售价（元）：</w:t>
      </w:r>
      <w:r>
        <w:rPr>
          <w:rFonts w:hint="eastAsia" w:ascii="宋体" w:hAnsi="宋体" w:eastAsia="宋体" w:cs="宋体"/>
          <w:color w:val="auto"/>
          <w:sz w:val="24"/>
          <w:szCs w:val="24"/>
          <w:highlight w:val="none"/>
          <w:lang w:val="en-US" w:eastAsia="zh-CN"/>
        </w:rPr>
        <w:t xml:space="preserve">0 </w:t>
      </w:r>
      <w:r>
        <w:rPr>
          <w:rFonts w:hint="eastAsia" w:ascii="宋体" w:hAnsi="宋体" w:eastAsia="宋体" w:cs="宋体"/>
          <w:color w:val="auto"/>
          <w:sz w:val="24"/>
          <w:szCs w:val="24"/>
          <w:highlight w:val="none"/>
        </w:rPr>
        <w:t> </w:t>
      </w:r>
    </w:p>
    <w:p w14:paraId="5FA03293">
      <w:pPr>
        <w:pStyle w:val="53"/>
        <w:widowControl/>
        <w:wordWrap/>
        <w:adjustRightInd/>
        <w:snapToGrid/>
        <w:spacing w:before="0" w:beforeAutospacing="0" w:after="0" w:afterAutospacing="0" w:line="360" w:lineRule="auto"/>
        <w:ind w:left="0" w:leftChars="0" w:right="0" w:firstLine="482" w:firstLineChars="200"/>
        <w:jc w:val="left"/>
        <w:textAlignment w:val="auto"/>
        <w:rPr>
          <w:rFonts w:hint="eastAsia" w:ascii="宋体" w:hAnsi="宋体" w:eastAsia="宋体" w:cs="宋体"/>
          <w:color w:val="auto"/>
          <w:sz w:val="24"/>
          <w:szCs w:val="24"/>
          <w:highlight w:val="none"/>
        </w:rPr>
      </w:pPr>
      <w:r>
        <w:rPr>
          <w:rStyle w:val="63"/>
          <w:rFonts w:hint="eastAsia" w:ascii="宋体" w:hAnsi="宋体" w:eastAsia="宋体" w:cs="宋体"/>
          <w:color w:val="auto"/>
          <w:sz w:val="24"/>
          <w:szCs w:val="24"/>
          <w:highlight w:val="none"/>
        </w:rPr>
        <w:t>四、响应文件提交</w:t>
      </w:r>
      <w:r>
        <w:rPr>
          <w:rFonts w:hint="eastAsia" w:ascii="宋体" w:hAnsi="宋体" w:eastAsia="宋体" w:cs="宋体"/>
          <w:color w:val="auto"/>
          <w:sz w:val="24"/>
          <w:szCs w:val="24"/>
          <w:highlight w:val="none"/>
        </w:rPr>
        <w:t> </w:t>
      </w:r>
    </w:p>
    <w:p w14:paraId="1A3DD30D">
      <w:pPr>
        <w:pStyle w:val="53"/>
        <w:widowControl/>
        <w:wordWrap/>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截止时间：</w:t>
      </w:r>
      <w:r>
        <w:rPr>
          <w:rFonts w:hint="eastAsia" w:cs="宋体"/>
          <w:color w:val="auto"/>
          <w:sz w:val="24"/>
          <w:szCs w:val="24"/>
          <w:highlight w:val="none"/>
          <w:lang w:eastAsia="zh-CN"/>
        </w:rPr>
        <w:t>2025年</w:t>
      </w:r>
      <w:r>
        <w:rPr>
          <w:rFonts w:hint="eastAsia"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9</w:t>
      </w:r>
      <w:r>
        <w:rPr>
          <w:rFonts w:hint="eastAsia" w:ascii="宋体" w:hAnsi="宋体" w:eastAsia="宋体" w:cs="宋体"/>
          <w:color w:val="auto"/>
          <w:sz w:val="24"/>
          <w:szCs w:val="24"/>
          <w:highlight w:val="none"/>
        </w:rPr>
        <w:t>日 1</w:t>
      </w: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0</w:t>
      </w:r>
      <w:r>
        <w:rPr>
          <w:rFonts w:hint="eastAsia" w:ascii="宋体" w:hAnsi="宋体" w:eastAsia="宋体" w:cs="宋体"/>
          <w:color w:val="auto"/>
          <w:sz w:val="24"/>
          <w:szCs w:val="24"/>
          <w:highlight w:val="none"/>
        </w:rPr>
        <w:t>0（北京时间）</w:t>
      </w:r>
    </w:p>
    <w:p w14:paraId="7FC9DCBF">
      <w:pPr>
        <w:pStyle w:val="53"/>
        <w:widowControl/>
        <w:wordWrap/>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地点：新疆天麒工程项目管理咨询有限责任公司一楼</w:t>
      </w:r>
      <w:r>
        <w:rPr>
          <w:rFonts w:hint="eastAsia" w:cs="宋体"/>
          <w:color w:val="auto"/>
          <w:sz w:val="24"/>
          <w:szCs w:val="24"/>
          <w:highlight w:val="none"/>
          <w:lang w:val="en-US" w:eastAsia="zh-CN"/>
        </w:rPr>
        <w:t>开</w:t>
      </w:r>
      <w:r>
        <w:rPr>
          <w:rFonts w:hint="eastAsia" w:ascii="宋体" w:hAnsi="宋体" w:eastAsia="宋体" w:cs="宋体"/>
          <w:color w:val="auto"/>
          <w:sz w:val="24"/>
          <w:szCs w:val="24"/>
          <w:highlight w:val="none"/>
        </w:rPr>
        <w:t>标室（克拉玛依市通讯路44号） </w:t>
      </w:r>
    </w:p>
    <w:p w14:paraId="38C88D6C">
      <w:pPr>
        <w:pStyle w:val="53"/>
        <w:widowControl/>
        <w:wordWrap/>
        <w:adjustRightInd/>
        <w:snapToGrid/>
        <w:spacing w:before="0" w:beforeAutospacing="0" w:after="0" w:afterAutospacing="0" w:line="360" w:lineRule="auto"/>
        <w:ind w:left="0" w:leftChars="0" w:right="0" w:firstLine="482" w:firstLineChars="200"/>
        <w:jc w:val="left"/>
        <w:textAlignment w:val="auto"/>
        <w:rPr>
          <w:rFonts w:hint="eastAsia" w:ascii="宋体" w:hAnsi="宋体" w:eastAsia="宋体" w:cs="宋体"/>
          <w:color w:val="auto"/>
          <w:sz w:val="24"/>
          <w:szCs w:val="24"/>
          <w:highlight w:val="none"/>
        </w:rPr>
      </w:pPr>
      <w:r>
        <w:rPr>
          <w:rStyle w:val="63"/>
          <w:rFonts w:hint="eastAsia" w:ascii="宋体" w:hAnsi="宋体" w:eastAsia="宋体" w:cs="宋体"/>
          <w:color w:val="auto"/>
          <w:sz w:val="24"/>
          <w:szCs w:val="24"/>
          <w:highlight w:val="none"/>
        </w:rPr>
        <w:t>五、响应文件开启</w:t>
      </w:r>
      <w:r>
        <w:rPr>
          <w:rFonts w:hint="eastAsia" w:ascii="宋体" w:hAnsi="宋体" w:eastAsia="宋体" w:cs="宋体"/>
          <w:color w:val="auto"/>
          <w:sz w:val="24"/>
          <w:szCs w:val="24"/>
          <w:highlight w:val="none"/>
        </w:rPr>
        <w:t> </w:t>
      </w:r>
    </w:p>
    <w:p w14:paraId="6FE35914">
      <w:pPr>
        <w:pStyle w:val="53"/>
        <w:widowControl/>
        <w:wordWrap/>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开启时间：</w:t>
      </w:r>
      <w:r>
        <w:rPr>
          <w:rFonts w:hint="eastAsia" w:cs="宋体"/>
          <w:color w:val="auto"/>
          <w:sz w:val="24"/>
          <w:szCs w:val="24"/>
          <w:highlight w:val="none"/>
          <w:lang w:eastAsia="zh-CN"/>
        </w:rPr>
        <w:t>2025年</w:t>
      </w:r>
      <w:r>
        <w:rPr>
          <w:rFonts w:hint="eastAsia"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9</w:t>
      </w:r>
      <w:r>
        <w:rPr>
          <w:rFonts w:hint="eastAsia" w:ascii="宋体" w:hAnsi="宋体" w:eastAsia="宋体" w:cs="宋体"/>
          <w:color w:val="auto"/>
          <w:sz w:val="24"/>
          <w:szCs w:val="24"/>
          <w:highlight w:val="none"/>
        </w:rPr>
        <w:t>日 1</w:t>
      </w: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0</w:t>
      </w:r>
      <w:r>
        <w:rPr>
          <w:rFonts w:hint="eastAsia" w:ascii="宋体" w:hAnsi="宋体" w:eastAsia="宋体" w:cs="宋体"/>
          <w:color w:val="auto"/>
          <w:sz w:val="24"/>
          <w:szCs w:val="24"/>
          <w:highlight w:val="none"/>
        </w:rPr>
        <w:t>0（北京时间）</w:t>
      </w:r>
    </w:p>
    <w:p w14:paraId="2CAE4193">
      <w:pPr>
        <w:pStyle w:val="53"/>
        <w:widowControl/>
        <w:wordWrap/>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地点：新疆天麒工程项目管理咨询有限责任公司一楼评标室（克拉玛依市通讯路44号） </w:t>
      </w:r>
    </w:p>
    <w:p w14:paraId="08D8262B">
      <w:pPr>
        <w:pStyle w:val="53"/>
        <w:widowControl/>
        <w:wordWrap/>
        <w:adjustRightInd/>
        <w:snapToGrid/>
        <w:spacing w:before="0" w:beforeAutospacing="0" w:after="0" w:afterAutospacing="0" w:line="360" w:lineRule="auto"/>
        <w:ind w:left="0" w:leftChars="0" w:right="0" w:firstLine="482" w:firstLineChars="200"/>
        <w:jc w:val="left"/>
        <w:textAlignment w:val="auto"/>
        <w:rPr>
          <w:rFonts w:hint="eastAsia" w:ascii="宋体" w:hAnsi="宋体" w:eastAsia="宋体" w:cs="宋体"/>
          <w:color w:val="auto"/>
          <w:sz w:val="24"/>
          <w:szCs w:val="24"/>
          <w:highlight w:val="none"/>
        </w:rPr>
      </w:pPr>
      <w:r>
        <w:rPr>
          <w:rStyle w:val="63"/>
          <w:rFonts w:hint="eastAsia" w:ascii="宋体" w:hAnsi="宋体" w:eastAsia="宋体" w:cs="宋体"/>
          <w:color w:val="auto"/>
          <w:sz w:val="24"/>
          <w:szCs w:val="24"/>
          <w:highlight w:val="none"/>
        </w:rPr>
        <w:t>六、公告期限</w:t>
      </w:r>
    </w:p>
    <w:p w14:paraId="76C0AA2B">
      <w:pPr>
        <w:pStyle w:val="53"/>
        <w:widowControl/>
        <w:wordWrap/>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个工作日。</w:t>
      </w:r>
    </w:p>
    <w:p w14:paraId="23D748A2">
      <w:pPr>
        <w:pStyle w:val="53"/>
        <w:widowControl/>
        <w:wordWrap/>
        <w:adjustRightInd/>
        <w:snapToGrid/>
        <w:spacing w:before="0" w:beforeAutospacing="0" w:after="0" w:afterAutospacing="0" w:line="360" w:lineRule="auto"/>
        <w:ind w:left="0" w:leftChars="0" w:right="0" w:firstLine="482" w:firstLineChars="200"/>
        <w:jc w:val="left"/>
        <w:textAlignment w:val="auto"/>
        <w:rPr>
          <w:rFonts w:hint="eastAsia" w:ascii="宋体" w:hAnsi="宋体" w:eastAsia="宋体" w:cs="宋体"/>
          <w:color w:val="auto"/>
          <w:sz w:val="24"/>
          <w:szCs w:val="24"/>
          <w:highlight w:val="none"/>
        </w:rPr>
      </w:pPr>
      <w:r>
        <w:rPr>
          <w:rStyle w:val="63"/>
          <w:rFonts w:hint="eastAsia" w:ascii="宋体" w:hAnsi="宋体" w:eastAsia="宋体" w:cs="宋体"/>
          <w:color w:val="auto"/>
          <w:sz w:val="24"/>
          <w:szCs w:val="24"/>
          <w:highlight w:val="none"/>
        </w:rPr>
        <w:t>七、其他补充事宜</w:t>
      </w:r>
      <w:r>
        <w:rPr>
          <w:rFonts w:hint="eastAsia" w:ascii="宋体" w:hAnsi="宋体" w:eastAsia="宋体" w:cs="宋体"/>
          <w:color w:val="auto"/>
          <w:sz w:val="24"/>
          <w:szCs w:val="24"/>
          <w:highlight w:val="none"/>
        </w:rPr>
        <w:t> </w:t>
      </w:r>
    </w:p>
    <w:p w14:paraId="4FEB8543">
      <w:pPr>
        <w:pStyle w:val="53"/>
        <w:widowControl/>
        <w:wordWrap/>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需将所投项目名称、项目编号、单位名称、地址、联系人、联系方式和电子邮箱号写在一张 A4 纸上并加盖公章，扫描件发送至邮箱：603781401@qq.com，邮件名称必须为：项目名称+项目编号+供应商名称</w:t>
      </w:r>
      <w:r>
        <w:rPr>
          <w:rFonts w:hint="eastAsia" w:ascii="宋体" w:hAnsi="宋体" w:eastAsia="宋体" w:cs="宋体"/>
          <w:color w:val="auto"/>
          <w:sz w:val="24"/>
          <w:szCs w:val="24"/>
          <w:highlight w:val="none"/>
          <w:lang w:eastAsia="zh-CN"/>
        </w:rPr>
        <w:t>。</w:t>
      </w:r>
    </w:p>
    <w:p w14:paraId="761C0D83">
      <w:pPr>
        <w:pStyle w:val="53"/>
        <w:widowControl/>
        <w:wordWrap/>
        <w:adjustRightInd/>
        <w:snapToGrid/>
        <w:spacing w:before="0" w:beforeAutospacing="0" w:after="0" w:afterAutospacing="0" w:line="360" w:lineRule="auto"/>
        <w:ind w:left="0" w:leftChars="0" w:right="0" w:firstLine="482" w:firstLineChars="200"/>
        <w:jc w:val="left"/>
        <w:textAlignment w:val="auto"/>
        <w:rPr>
          <w:rFonts w:hint="eastAsia" w:ascii="宋体" w:hAnsi="宋体" w:eastAsia="宋体" w:cs="宋体"/>
          <w:color w:val="auto"/>
          <w:sz w:val="24"/>
          <w:szCs w:val="24"/>
          <w:highlight w:val="none"/>
        </w:rPr>
      </w:pPr>
      <w:r>
        <w:rPr>
          <w:rStyle w:val="63"/>
          <w:rFonts w:hint="eastAsia" w:ascii="宋体" w:hAnsi="宋体" w:eastAsia="宋体" w:cs="宋体"/>
          <w:color w:val="auto"/>
          <w:sz w:val="24"/>
          <w:szCs w:val="24"/>
          <w:highlight w:val="none"/>
        </w:rPr>
        <w:t>八、凡对本次招标提出询问，请按以下方式联系</w:t>
      </w:r>
    </w:p>
    <w:p w14:paraId="3621E449">
      <w:pPr>
        <w:pStyle w:val="53"/>
        <w:widowControl/>
        <w:wordWrap/>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651F6BAA">
      <w:pPr>
        <w:pStyle w:val="53"/>
        <w:widowControl/>
        <w:wordWrap/>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称：国家税务总局克拉玛依市克拉玛依区税务局</w:t>
      </w:r>
    </w:p>
    <w:p w14:paraId="3C995D5A">
      <w:pPr>
        <w:pStyle w:val="53"/>
        <w:widowControl/>
        <w:wordWrap/>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    址：克拉玛依市迎宾路46号 </w:t>
      </w:r>
    </w:p>
    <w:p w14:paraId="5D1458BA">
      <w:pPr>
        <w:pStyle w:val="53"/>
        <w:widowControl/>
        <w:wordWrap/>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bookmarkStart w:id="2" w:name="OLE_LINK2"/>
      <w:r>
        <w:rPr>
          <w:rFonts w:hint="eastAsia" w:ascii="宋体" w:hAnsi="宋体" w:eastAsia="宋体" w:cs="宋体"/>
          <w:color w:val="auto"/>
          <w:sz w:val="24"/>
          <w:szCs w:val="24"/>
          <w:highlight w:val="none"/>
        </w:rPr>
        <w:t>19609900371</w:t>
      </w:r>
      <w:bookmarkEnd w:id="2"/>
      <w:r>
        <w:rPr>
          <w:rFonts w:hint="eastAsia" w:ascii="宋体" w:hAnsi="宋体" w:eastAsia="宋体" w:cs="宋体"/>
          <w:color w:val="auto"/>
          <w:sz w:val="24"/>
          <w:szCs w:val="24"/>
          <w:highlight w:val="none"/>
        </w:rPr>
        <w:t xml:space="preserve">  </w:t>
      </w:r>
    </w:p>
    <w:p w14:paraId="360F51F4">
      <w:pPr>
        <w:pStyle w:val="53"/>
        <w:widowControl/>
        <w:wordWrap/>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color w:val="auto"/>
          <w:sz w:val="24"/>
          <w:szCs w:val="24"/>
          <w:highlight w:val="none"/>
        </w:rPr>
      </w:pPr>
      <w:bookmarkStart w:id="3" w:name="_Toc35393807"/>
      <w:bookmarkStart w:id="4" w:name="_Toc28359020"/>
      <w:bookmarkStart w:id="5" w:name="_Toc35393638"/>
      <w:bookmarkStart w:id="6" w:name="_Toc28359097"/>
      <w:r>
        <w:rPr>
          <w:rFonts w:hint="eastAsia" w:ascii="宋体" w:hAnsi="宋体" w:eastAsia="宋体" w:cs="宋体"/>
          <w:color w:val="auto"/>
          <w:sz w:val="24"/>
          <w:szCs w:val="24"/>
          <w:highlight w:val="none"/>
        </w:rPr>
        <w:t>2.采购代理机构信息</w:t>
      </w:r>
      <w:bookmarkEnd w:id="3"/>
      <w:bookmarkEnd w:id="4"/>
      <w:bookmarkEnd w:id="5"/>
      <w:bookmarkEnd w:id="6"/>
    </w:p>
    <w:p w14:paraId="1998D3C3">
      <w:pPr>
        <w:pStyle w:val="53"/>
        <w:widowControl/>
        <w:wordWrap/>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称：新疆天麒工程项目管理咨询有限责任公司</w:t>
      </w:r>
    </w:p>
    <w:p w14:paraId="673336A0">
      <w:pPr>
        <w:pStyle w:val="53"/>
        <w:widowControl/>
        <w:wordWrap/>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址：新疆克拉玛依市通讯路44号</w:t>
      </w:r>
    </w:p>
    <w:p w14:paraId="2D4C26A5">
      <w:pPr>
        <w:pStyle w:val="53"/>
        <w:widowControl/>
        <w:wordWrap/>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联系方式：0990-6230002</w:t>
      </w:r>
    </w:p>
    <w:p w14:paraId="3958464A">
      <w:pPr>
        <w:pStyle w:val="53"/>
        <w:widowControl/>
        <w:wordWrap/>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color w:val="auto"/>
          <w:sz w:val="24"/>
          <w:szCs w:val="24"/>
          <w:highlight w:val="none"/>
        </w:rPr>
      </w:pPr>
      <w:bookmarkStart w:id="7" w:name="_Toc28359098"/>
      <w:bookmarkStart w:id="8" w:name="_Toc28359021"/>
      <w:bookmarkStart w:id="9" w:name="_Toc35393808"/>
      <w:bookmarkStart w:id="10" w:name="_Toc35393639"/>
      <w:r>
        <w:rPr>
          <w:rFonts w:hint="eastAsia" w:ascii="宋体" w:hAnsi="宋体" w:eastAsia="宋体" w:cs="宋体"/>
          <w:color w:val="auto"/>
          <w:sz w:val="24"/>
          <w:szCs w:val="24"/>
          <w:highlight w:val="none"/>
        </w:rPr>
        <w:t>3.项目联系方式</w:t>
      </w:r>
      <w:bookmarkEnd w:id="7"/>
      <w:bookmarkEnd w:id="8"/>
      <w:bookmarkEnd w:id="9"/>
      <w:bookmarkEnd w:id="10"/>
    </w:p>
    <w:p w14:paraId="42D2A3BD">
      <w:pPr>
        <w:pStyle w:val="53"/>
        <w:widowControl/>
        <w:wordWrap/>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w:t>
      </w:r>
      <w:bookmarkStart w:id="11" w:name="OLE_LINK3"/>
      <w:r>
        <w:rPr>
          <w:rFonts w:hint="eastAsia" w:ascii="宋体" w:hAnsi="宋体" w:eastAsia="宋体" w:cs="宋体"/>
          <w:color w:val="auto"/>
          <w:sz w:val="24"/>
          <w:szCs w:val="24"/>
          <w:highlight w:val="none"/>
        </w:rPr>
        <w:t>金政浩</w:t>
      </w:r>
      <w:bookmarkEnd w:id="11"/>
      <w:r>
        <w:rPr>
          <w:rFonts w:hint="eastAsia" w:ascii="宋体" w:hAnsi="宋体" w:eastAsia="宋体" w:cs="宋体"/>
          <w:color w:val="auto"/>
          <w:sz w:val="24"/>
          <w:szCs w:val="24"/>
          <w:highlight w:val="none"/>
        </w:rPr>
        <w:t>（采购人）、姚磊  于秀（采购代理机构）</w:t>
      </w:r>
    </w:p>
    <w:p w14:paraId="4793C844">
      <w:pPr>
        <w:pStyle w:val="53"/>
        <w:widowControl/>
        <w:wordWrap/>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话：19609900371、0990-6230002</w:t>
      </w:r>
    </w:p>
    <w:p w14:paraId="2D003C2C">
      <w:pPr>
        <w:wordWrap/>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rPr>
      </w:pPr>
    </w:p>
    <w:p w14:paraId="2D22AB55">
      <w:pPr>
        <w:wordWrap/>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rPr>
      </w:pPr>
    </w:p>
    <w:p w14:paraId="7BC38DF1">
      <w:pPr>
        <w:wordWrap/>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rPr>
      </w:pPr>
    </w:p>
    <w:p w14:paraId="11B39D54">
      <w:pPr>
        <w:wordWrap/>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rPr>
      </w:pPr>
    </w:p>
    <w:p w14:paraId="71B0B09A">
      <w:pPr>
        <w:wordWrap/>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rPr>
      </w:pPr>
    </w:p>
    <w:p w14:paraId="79929DBF">
      <w:pPr>
        <w:wordWrap/>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rPr>
      </w:pPr>
    </w:p>
    <w:p w14:paraId="598E2A11">
      <w:pPr>
        <w:pStyle w:val="2"/>
        <w:rPr>
          <w:rFonts w:hint="eastAsia"/>
        </w:rPr>
      </w:pPr>
    </w:p>
    <w:p w14:paraId="6C879879">
      <w:pPr>
        <w:spacing w:line="30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第二章  供应商须知</w:t>
      </w:r>
    </w:p>
    <w:p w14:paraId="24C5A431">
      <w:pPr>
        <w:widowControl w:val="0"/>
        <w:wordWrap/>
        <w:adjustRightInd/>
        <w:snapToGrid/>
        <w:spacing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前  附  表</w:t>
      </w:r>
    </w:p>
    <w:tbl>
      <w:tblPr>
        <w:tblStyle w:val="59"/>
        <w:tblW w:w="10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9382"/>
      </w:tblGrid>
      <w:tr w14:paraId="0FE30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58" w:type="dxa"/>
            <w:tcBorders>
              <w:top w:val="single" w:color="auto" w:sz="4" w:space="0"/>
              <w:left w:val="single" w:color="auto" w:sz="4" w:space="0"/>
              <w:bottom w:val="single" w:color="auto" w:sz="4" w:space="0"/>
              <w:right w:val="single" w:color="auto" w:sz="4" w:space="0"/>
            </w:tcBorders>
            <w:vAlign w:val="center"/>
          </w:tcPr>
          <w:p w14:paraId="705F0F9A">
            <w:pPr>
              <w:widowControl w:val="0"/>
              <w:wordWrap/>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9382" w:type="dxa"/>
            <w:tcBorders>
              <w:top w:val="single" w:color="auto" w:sz="4" w:space="0"/>
              <w:left w:val="single" w:color="auto" w:sz="4" w:space="0"/>
              <w:bottom w:val="single" w:color="auto" w:sz="4" w:space="0"/>
              <w:right w:val="single" w:color="auto" w:sz="4" w:space="0"/>
            </w:tcBorders>
            <w:vAlign w:val="center"/>
          </w:tcPr>
          <w:p w14:paraId="1167DE33">
            <w:pPr>
              <w:widowControl w:val="0"/>
              <w:wordWrap/>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       容</w:t>
            </w:r>
          </w:p>
        </w:tc>
      </w:tr>
      <w:tr w14:paraId="12E67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trPr>
        <w:tc>
          <w:tcPr>
            <w:tcW w:w="758" w:type="dxa"/>
            <w:tcBorders>
              <w:top w:val="single" w:color="auto" w:sz="4" w:space="0"/>
              <w:left w:val="single" w:color="auto" w:sz="4" w:space="0"/>
              <w:bottom w:val="single" w:color="auto" w:sz="4" w:space="0"/>
              <w:right w:val="single" w:color="auto" w:sz="4" w:space="0"/>
            </w:tcBorders>
            <w:vAlign w:val="center"/>
          </w:tcPr>
          <w:p w14:paraId="06EDFF24">
            <w:pPr>
              <w:pStyle w:val="35"/>
              <w:widowControl w:val="0"/>
              <w:wordWrap/>
              <w:adjustRightInd/>
              <w:snapToGrid/>
              <w:spacing w:line="360" w:lineRule="auto"/>
              <w:ind w:left="0" w:lef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382" w:type="dxa"/>
            <w:tcBorders>
              <w:top w:val="single" w:color="auto" w:sz="4" w:space="0"/>
              <w:left w:val="single" w:color="auto" w:sz="4" w:space="0"/>
              <w:bottom w:val="single" w:color="auto" w:sz="4" w:space="0"/>
              <w:right w:val="single" w:color="auto" w:sz="4" w:space="0"/>
            </w:tcBorders>
            <w:vAlign w:val="center"/>
          </w:tcPr>
          <w:p w14:paraId="273B3E64">
            <w:pPr>
              <w:pStyle w:val="33"/>
              <w:widowControl w:val="0"/>
              <w:wordWrap/>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hAnsi="宋体" w:cs="宋体"/>
                <w:color w:val="auto"/>
                <w:sz w:val="24"/>
                <w:szCs w:val="24"/>
                <w:highlight w:val="none"/>
                <w:lang w:eastAsia="zh-CN"/>
              </w:rPr>
              <w:t>国家税务总局克拉玛依市克拉玛依区税务局安保服务</w:t>
            </w:r>
          </w:p>
          <w:p w14:paraId="72C4B26A">
            <w:pPr>
              <w:pStyle w:val="33"/>
              <w:widowControl w:val="0"/>
              <w:wordWrap/>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采购文件编号：</w:t>
            </w:r>
            <w:r>
              <w:rPr>
                <w:rFonts w:hint="eastAsia" w:hAnsi="宋体" w:cs="宋体"/>
                <w:color w:val="auto"/>
                <w:sz w:val="24"/>
                <w:szCs w:val="24"/>
                <w:highlight w:val="none"/>
                <w:lang w:eastAsia="zh-CN"/>
              </w:rPr>
              <w:t>KQSWJ（ZC）2025-02</w:t>
            </w:r>
          </w:p>
        </w:tc>
      </w:tr>
      <w:tr w14:paraId="67A01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9" w:hRule="atLeast"/>
        </w:trPr>
        <w:tc>
          <w:tcPr>
            <w:tcW w:w="758" w:type="dxa"/>
            <w:tcBorders>
              <w:top w:val="single" w:color="auto" w:sz="4" w:space="0"/>
              <w:left w:val="single" w:color="auto" w:sz="4" w:space="0"/>
              <w:bottom w:val="single" w:color="auto" w:sz="4" w:space="0"/>
              <w:right w:val="single" w:color="auto" w:sz="4" w:space="0"/>
            </w:tcBorders>
            <w:vAlign w:val="center"/>
          </w:tcPr>
          <w:p w14:paraId="13BA34A6">
            <w:pPr>
              <w:pStyle w:val="35"/>
              <w:widowControl w:val="0"/>
              <w:wordWrap/>
              <w:adjustRightInd/>
              <w:snapToGrid/>
              <w:spacing w:line="360" w:lineRule="auto"/>
              <w:ind w:left="0" w:lef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9382" w:type="dxa"/>
            <w:tcBorders>
              <w:top w:val="single" w:color="auto" w:sz="4" w:space="0"/>
              <w:left w:val="single" w:color="auto" w:sz="4" w:space="0"/>
              <w:bottom w:val="single" w:color="auto" w:sz="4" w:space="0"/>
              <w:right w:val="single" w:color="auto" w:sz="4" w:space="0"/>
            </w:tcBorders>
            <w:vAlign w:val="center"/>
          </w:tcPr>
          <w:p w14:paraId="6E70EB95">
            <w:pPr>
              <w:pStyle w:val="33"/>
              <w:spacing w:line="360" w:lineRule="auto"/>
              <w:rPr>
                <w:rFonts w:hint="eastAsia" w:hAnsi="宋体" w:cs="宋体"/>
                <w:color w:val="auto"/>
                <w:sz w:val="24"/>
                <w:szCs w:val="24"/>
                <w:highlight w:val="none"/>
              </w:rPr>
            </w:pPr>
            <w:r>
              <w:rPr>
                <w:rFonts w:hint="eastAsia" w:hAnsi="宋体" w:cs="宋体"/>
                <w:color w:val="auto"/>
                <w:sz w:val="24"/>
                <w:szCs w:val="24"/>
                <w:highlight w:val="none"/>
              </w:rPr>
              <w:t>采购人：国家税务总局克拉玛依市克拉玛依区税务局</w:t>
            </w:r>
          </w:p>
          <w:p w14:paraId="79E5FE1E">
            <w:pPr>
              <w:pStyle w:val="33"/>
              <w:spacing w:line="360" w:lineRule="auto"/>
              <w:rPr>
                <w:rFonts w:hAnsi="宋体" w:cs="宋体"/>
                <w:color w:val="auto"/>
                <w:sz w:val="24"/>
                <w:szCs w:val="24"/>
                <w:highlight w:val="none"/>
              </w:rPr>
            </w:pPr>
            <w:r>
              <w:rPr>
                <w:rFonts w:hint="eastAsia" w:hAnsi="宋体" w:cs="宋体"/>
                <w:color w:val="auto"/>
                <w:sz w:val="24"/>
                <w:szCs w:val="24"/>
                <w:highlight w:val="none"/>
              </w:rPr>
              <w:t xml:space="preserve">地  址：克拉玛依市迎宾路46号     邮政编码：834000   </w:t>
            </w:r>
          </w:p>
          <w:p w14:paraId="6DB970F4">
            <w:pPr>
              <w:pStyle w:val="33"/>
              <w:widowControl w:val="0"/>
              <w:wordWrap/>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rPr>
              <w:t>联系人：</w:t>
            </w:r>
            <w:r>
              <w:rPr>
                <w:rFonts w:hint="eastAsia" w:hAnsi="宋体" w:cs="宋体"/>
                <w:color w:val="auto"/>
                <w:sz w:val="24"/>
                <w:highlight w:val="none"/>
              </w:rPr>
              <w:t>金政浩</w:t>
            </w:r>
            <w:r>
              <w:rPr>
                <w:rFonts w:hint="eastAsia" w:hAnsi="宋体" w:cs="宋体"/>
                <w:color w:val="auto"/>
                <w:sz w:val="24"/>
                <w:szCs w:val="24"/>
                <w:highlight w:val="none"/>
              </w:rPr>
              <w:t xml:space="preserve">                    联系电话：</w:t>
            </w:r>
            <w:r>
              <w:rPr>
                <w:rFonts w:hint="eastAsia" w:hAnsi="宋体" w:cs="宋体"/>
                <w:color w:val="auto"/>
                <w:sz w:val="24"/>
                <w:highlight w:val="none"/>
              </w:rPr>
              <w:t>19609900371</w:t>
            </w:r>
            <w:r>
              <w:rPr>
                <w:rFonts w:hint="eastAsia" w:hAnsi="宋体" w:cs="宋体"/>
                <w:color w:val="auto"/>
                <w:sz w:val="24"/>
                <w:szCs w:val="24"/>
                <w:highlight w:val="none"/>
              </w:rPr>
              <w:t xml:space="preserve"> </w:t>
            </w:r>
            <w:r>
              <w:rPr>
                <w:rFonts w:hint="eastAsia" w:ascii="宋体" w:hAnsi="宋体" w:eastAsia="宋体" w:cs="宋体"/>
                <w:color w:val="auto"/>
                <w:sz w:val="24"/>
                <w:highlight w:val="none"/>
                <w:lang w:val="en-US" w:eastAsia="zh-CN"/>
              </w:rPr>
              <w:t xml:space="preserve"> </w:t>
            </w:r>
          </w:p>
        </w:tc>
      </w:tr>
      <w:tr w14:paraId="327E6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0" w:hRule="atLeast"/>
        </w:trPr>
        <w:tc>
          <w:tcPr>
            <w:tcW w:w="758" w:type="dxa"/>
            <w:tcBorders>
              <w:top w:val="single" w:color="auto" w:sz="4" w:space="0"/>
              <w:left w:val="single" w:color="auto" w:sz="4" w:space="0"/>
              <w:bottom w:val="single" w:color="auto" w:sz="4" w:space="0"/>
              <w:right w:val="single" w:color="auto" w:sz="4" w:space="0"/>
            </w:tcBorders>
            <w:vAlign w:val="center"/>
          </w:tcPr>
          <w:p w14:paraId="7F93CAB9">
            <w:pPr>
              <w:pStyle w:val="35"/>
              <w:widowControl w:val="0"/>
              <w:wordWrap/>
              <w:adjustRightInd/>
              <w:snapToGrid/>
              <w:spacing w:line="360" w:lineRule="auto"/>
              <w:ind w:left="0" w:lef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9382" w:type="dxa"/>
            <w:tcBorders>
              <w:top w:val="single" w:color="auto" w:sz="4" w:space="0"/>
              <w:left w:val="single" w:color="auto" w:sz="4" w:space="0"/>
              <w:bottom w:val="single" w:color="auto" w:sz="4" w:space="0"/>
              <w:right w:val="single" w:color="auto" w:sz="4" w:space="0"/>
            </w:tcBorders>
            <w:vAlign w:val="center"/>
          </w:tcPr>
          <w:p w14:paraId="42A65614">
            <w:pPr>
              <w:pStyle w:val="33"/>
              <w:widowControl w:val="0"/>
              <w:wordWrap/>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采购代理机构：新疆天麒工程项目管理咨询有限责任公司</w:t>
            </w:r>
          </w:p>
          <w:p w14:paraId="19512BB3">
            <w:pPr>
              <w:pStyle w:val="33"/>
              <w:widowControl w:val="0"/>
              <w:wordWrap/>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地址：克拉玛依市通讯路44号     邮政编码：834000</w:t>
            </w:r>
          </w:p>
          <w:p w14:paraId="49C690AC">
            <w:pPr>
              <w:pStyle w:val="33"/>
              <w:widowControl w:val="0"/>
              <w:wordWrap/>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 xml:space="preserve">姚磊  </w:t>
            </w:r>
            <w:r>
              <w:rPr>
                <w:rFonts w:hint="eastAsia" w:hAnsi="宋体" w:cs="宋体"/>
                <w:color w:val="auto"/>
                <w:sz w:val="24"/>
                <w:szCs w:val="24"/>
                <w:highlight w:val="none"/>
                <w:lang w:val="en-US" w:eastAsia="zh-CN"/>
              </w:rPr>
              <w:t>于秀</w:t>
            </w:r>
            <w:r>
              <w:rPr>
                <w:rFonts w:hint="eastAsia" w:ascii="宋体" w:hAnsi="宋体" w:eastAsia="宋体" w:cs="宋体"/>
                <w:color w:val="auto"/>
                <w:sz w:val="24"/>
                <w:szCs w:val="24"/>
                <w:highlight w:val="none"/>
              </w:rPr>
              <w:t xml:space="preserve">            联系电话：0990-</w:t>
            </w:r>
            <w:r>
              <w:rPr>
                <w:rFonts w:hint="eastAsia" w:ascii="宋体" w:hAnsi="宋体" w:eastAsia="宋体" w:cs="宋体"/>
                <w:color w:val="auto"/>
                <w:sz w:val="24"/>
                <w:szCs w:val="24"/>
                <w:highlight w:val="none"/>
                <w:lang w:val="en-US" w:eastAsia="zh-CN"/>
              </w:rPr>
              <w:t>6230002</w:t>
            </w:r>
          </w:p>
        </w:tc>
      </w:tr>
      <w:tr w14:paraId="67ECE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758" w:type="dxa"/>
            <w:tcBorders>
              <w:top w:val="single" w:color="auto" w:sz="4" w:space="0"/>
              <w:left w:val="single" w:color="auto" w:sz="4" w:space="0"/>
              <w:bottom w:val="single" w:color="auto" w:sz="4" w:space="0"/>
              <w:right w:val="single" w:color="auto" w:sz="4" w:space="0"/>
            </w:tcBorders>
            <w:vAlign w:val="center"/>
          </w:tcPr>
          <w:p w14:paraId="29936CB0">
            <w:pPr>
              <w:widowControl w:val="0"/>
              <w:wordWrap/>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9382" w:type="dxa"/>
            <w:tcBorders>
              <w:top w:val="single" w:color="auto" w:sz="4" w:space="0"/>
              <w:left w:val="single" w:color="auto" w:sz="4" w:space="0"/>
              <w:bottom w:val="single" w:color="auto" w:sz="4" w:space="0"/>
              <w:right w:val="single" w:color="auto" w:sz="4" w:space="0"/>
            </w:tcBorders>
            <w:vAlign w:val="center"/>
          </w:tcPr>
          <w:p w14:paraId="33B1E45E">
            <w:pPr>
              <w:widowControl w:val="0"/>
              <w:wordWrap/>
              <w:adjustRightInd/>
              <w:snapToGrid/>
              <w:spacing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磋商有效期：递交响应文件截止日起90天（日历日）</w:t>
            </w:r>
          </w:p>
        </w:tc>
      </w:tr>
      <w:tr w14:paraId="60311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758" w:type="dxa"/>
            <w:tcBorders>
              <w:top w:val="single" w:color="auto" w:sz="4" w:space="0"/>
              <w:left w:val="single" w:color="auto" w:sz="4" w:space="0"/>
              <w:bottom w:val="single" w:color="auto" w:sz="4" w:space="0"/>
              <w:right w:val="single" w:color="auto" w:sz="4" w:space="0"/>
            </w:tcBorders>
            <w:vAlign w:val="center"/>
          </w:tcPr>
          <w:p w14:paraId="2BA3E796">
            <w:pPr>
              <w:pStyle w:val="33"/>
              <w:widowControl w:val="0"/>
              <w:wordWrap/>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5</w:t>
            </w:r>
          </w:p>
        </w:tc>
        <w:tc>
          <w:tcPr>
            <w:tcW w:w="9382" w:type="dxa"/>
            <w:tcBorders>
              <w:top w:val="single" w:color="auto" w:sz="4" w:space="0"/>
              <w:left w:val="single" w:color="auto" w:sz="4" w:space="0"/>
              <w:bottom w:val="single" w:color="auto" w:sz="4" w:space="0"/>
              <w:right w:val="single" w:color="auto" w:sz="4" w:space="0"/>
            </w:tcBorders>
            <w:vAlign w:val="center"/>
          </w:tcPr>
          <w:p w14:paraId="43BAB5D0">
            <w:pPr>
              <w:pStyle w:val="33"/>
              <w:widowControl w:val="0"/>
              <w:wordWrap/>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w w:val="100"/>
                <w:sz w:val="24"/>
                <w:highlight w:val="none"/>
              </w:rPr>
              <w:t>响应文件的份数：</w:t>
            </w:r>
            <w:r>
              <w:rPr>
                <w:rFonts w:hint="eastAsia" w:ascii="宋体" w:hAnsi="宋体" w:eastAsia="宋体" w:cs="宋体"/>
                <w:b/>
                <w:color w:val="auto"/>
                <w:w w:val="100"/>
                <w:sz w:val="24"/>
                <w:highlight w:val="none"/>
                <w:lang w:eastAsia="zh-CN"/>
              </w:rPr>
              <w:t>一式肆份</w:t>
            </w:r>
            <w:r>
              <w:rPr>
                <w:rFonts w:hint="eastAsia" w:ascii="宋体" w:hAnsi="宋体" w:eastAsia="宋体" w:cs="宋体"/>
                <w:b/>
                <w:color w:val="auto"/>
                <w:w w:val="100"/>
                <w:sz w:val="24"/>
                <w:highlight w:val="none"/>
              </w:rPr>
              <w:t>，其中正本</w:t>
            </w:r>
            <w:r>
              <w:rPr>
                <w:rFonts w:hint="eastAsia" w:ascii="宋体" w:hAnsi="宋体" w:eastAsia="宋体" w:cs="宋体"/>
                <w:b/>
                <w:color w:val="auto"/>
                <w:w w:val="100"/>
                <w:sz w:val="24"/>
                <w:highlight w:val="none"/>
                <w:u w:val="single"/>
              </w:rPr>
              <w:t>壹</w:t>
            </w:r>
            <w:r>
              <w:rPr>
                <w:rFonts w:hint="eastAsia" w:ascii="宋体" w:hAnsi="宋体" w:eastAsia="宋体" w:cs="宋体"/>
                <w:b/>
                <w:color w:val="auto"/>
                <w:w w:val="100"/>
                <w:sz w:val="24"/>
                <w:highlight w:val="none"/>
              </w:rPr>
              <w:t>份，副本</w:t>
            </w:r>
            <w:r>
              <w:rPr>
                <w:rFonts w:hint="eastAsia" w:ascii="宋体" w:hAnsi="宋体" w:eastAsia="宋体" w:cs="宋体"/>
                <w:b/>
                <w:color w:val="auto"/>
                <w:w w:val="100"/>
                <w:sz w:val="24"/>
                <w:highlight w:val="none"/>
                <w:u w:val="single"/>
              </w:rPr>
              <w:t>叁</w:t>
            </w:r>
            <w:r>
              <w:rPr>
                <w:rFonts w:hint="eastAsia" w:ascii="宋体" w:hAnsi="宋体" w:eastAsia="宋体" w:cs="宋体"/>
                <w:b/>
                <w:color w:val="auto"/>
                <w:w w:val="100"/>
                <w:sz w:val="24"/>
                <w:highlight w:val="none"/>
              </w:rPr>
              <w:t>份</w:t>
            </w:r>
            <w:r>
              <w:rPr>
                <w:rFonts w:hint="eastAsia" w:hAnsi="宋体" w:cs="宋体"/>
                <w:b/>
                <w:color w:val="auto"/>
                <w:w w:val="100"/>
                <w:sz w:val="24"/>
                <w:highlight w:val="none"/>
                <w:lang w:eastAsia="zh-CN"/>
              </w:rPr>
              <w:t>，</w:t>
            </w:r>
            <w:r>
              <w:rPr>
                <w:rFonts w:hint="eastAsia" w:hAnsi="宋体" w:cs="宋体"/>
                <w:b/>
                <w:color w:val="auto"/>
                <w:w w:val="100"/>
                <w:sz w:val="24"/>
                <w:highlight w:val="none"/>
                <w:lang w:val="en-US" w:eastAsia="zh-CN"/>
              </w:rPr>
              <w:t>电子版壹份</w:t>
            </w:r>
            <w:r>
              <w:rPr>
                <w:rFonts w:hint="eastAsia" w:ascii="宋体" w:hAnsi="宋体" w:eastAsia="宋体" w:cs="宋体"/>
                <w:b/>
                <w:color w:val="auto"/>
                <w:w w:val="100"/>
                <w:sz w:val="24"/>
                <w:highlight w:val="none"/>
              </w:rPr>
              <w:t>。</w:t>
            </w:r>
          </w:p>
        </w:tc>
      </w:tr>
      <w:tr w14:paraId="33D4A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trPr>
        <w:tc>
          <w:tcPr>
            <w:tcW w:w="758" w:type="dxa"/>
            <w:tcBorders>
              <w:top w:val="single" w:color="auto" w:sz="4" w:space="0"/>
              <w:left w:val="single" w:color="auto" w:sz="4" w:space="0"/>
              <w:bottom w:val="single" w:color="auto" w:sz="4" w:space="0"/>
              <w:right w:val="single" w:color="auto" w:sz="4" w:space="0"/>
            </w:tcBorders>
            <w:vAlign w:val="center"/>
          </w:tcPr>
          <w:p w14:paraId="4492DFBC">
            <w:pPr>
              <w:widowControl w:val="0"/>
              <w:wordWrap/>
              <w:adjustRightInd/>
              <w:snapToGrid/>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6</w:t>
            </w:r>
          </w:p>
        </w:tc>
        <w:tc>
          <w:tcPr>
            <w:tcW w:w="9382" w:type="dxa"/>
            <w:tcBorders>
              <w:top w:val="single" w:color="auto" w:sz="4" w:space="0"/>
              <w:left w:val="single" w:color="auto" w:sz="4" w:space="0"/>
              <w:bottom w:val="single" w:color="auto" w:sz="4" w:space="0"/>
              <w:right w:val="single" w:color="auto" w:sz="4" w:space="0"/>
            </w:tcBorders>
            <w:vAlign w:val="center"/>
          </w:tcPr>
          <w:p w14:paraId="124FFAF7">
            <w:pPr>
              <w:widowControl w:val="0"/>
              <w:wordWrap/>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递交响应文件截止时间：</w:t>
            </w:r>
            <w:r>
              <w:rPr>
                <w:rFonts w:hint="eastAsia" w:ascii="宋体" w:hAnsi="宋体" w:cs="宋体"/>
                <w:color w:val="auto"/>
                <w:sz w:val="24"/>
                <w:szCs w:val="24"/>
                <w:highlight w:val="none"/>
                <w:lang w:eastAsia="zh-CN"/>
              </w:rPr>
              <w:t>2025年</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lang w:eastAsia="zh-CN"/>
              </w:rPr>
              <w:t>月</w:t>
            </w:r>
            <w:r>
              <w:rPr>
                <w:rFonts w:hint="eastAsia" w:cs="宋体"/>
                <w:color w:val="auto"/>
                <w:sz w:val="24"/>
                <w:szCs w:val="24"/>
                <w:highlight w:val="none"/>
                <w:lang w:val="en-US" w:eastAsia="zh-CN"/>
              </w:rPr>
              <w:t>9</w:t>
            </w:r>
            <w:r>
              <w:rPr>
                <w:rFonts w:hint="eastAsia" w:ascii="宋体" w:hAnsi="宋体" w:eastAsia="宋体" w:cs="宋体"/>
                <w:color w:val="auto"/>
                <w:sz w:val="24"/>
                <w:szCs w:val="24"/>
                <w:highlight w:val="none"/>
              </w:rPr>
              <w:t>日 1</w:t>
            </w: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0</w:t>
            </w:r>
            <w:r>
              <w:rPr>
                <w:rFonts w:hint="eastAsia" w:ascii="宋体" w:hAnsi="宋体" w:eastAsia="宋体" w:cs="宋体"/>
                <w:color w:val="auto"/>
                <w:sz w:val="24"/>
                <w:szCs w:val="24"/>
                <w:highlight w:val="none"/>
              </w:rPr>
              <w:t>0</w:t>
            </w:r>
            <w:r>
              <w:rPr>
                <w:rFonts w:hint="eastAsia" w:ascii="宋体" w:hAnsi="宋体" w:cs="宋体"/>
                <w:color w:val="auto"/>
                <w:sz w:val="24"/>
                <w:szCs w:val="24"/>
                <w:highlight w:val="none"/>
                <w:lang w:eastAsia="zh-CN"/>
              </w:rPr>
              <w:t xml:space="preserve">  </w:t>
            </w:r>
          </w:p>
          <w:p w14:paraId="531DC9D2">
            <w:pPr>
              <w:widowControl w:val="0"/>
              <w:wordWrap/>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递交响应文件时间：</w:t>
            </w:r>
            <w:r>
              <w:rPr>
                <w:rFonts w:hint="eastAsia" w:ascii="宋体" w:hAnsi="宋体" w:cs="宋体"/>
                <w:color w:val="auto"/>
                <w:sz w:val="24"/>
                <w:szCs w:val="24"/>
                <w:highlight w:val="none"/>
                <w:lang w:eastAsia="zh-CN"/>
              </w:rPr>
              <w:t>2025年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日1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0 ～1</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 xml:space="preserve">0  </w:t>
            </w:r>
          </w:p>
          <w:p w14:paraId="3F1836EC">
            <w:pPr>
              <w:widowControl w:val="0"/>
              <w:wordWrap/>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w w:val="100"/>
                <w:sz w:val="24"/>
                <w:highlight w:val="none"/>
              </w:rPr>
              <w:t>递交响应文件地点：新疆天麒工程项目管理咨询有限责任公司一楼</w:t>
            </w:r>
            <w:r>
              <w:rPr>
                <w:rFonts w:hint="eastAsia" w:ascii="宋体" w:hAnsi="宋体" w:eastAsia="宋体" w:cs="宋体"/>
                <w:color w:val="auto"/>
                <w:w w:val="100"/>
                <w:sz w:val="24"/>
                <w:highlight w:val="none"/>
                <w:lang w:val="en-US" w:eastAsia="zh-CN"/>
              </w:rPr>
              <w:t>开标</w:t>
            </w:r>
            <w:r>
              <w:rPr>
                <w:rFonts w:hint="eastAsia" w:ascii="宋体" w:hAnsi="宋体" w:eastAsia="宋体" w:cs="宋体"/>
                <w:color w:val="auto"/>
                <w:w w:val="100"/>
                <w:sz w:val="24"/>
                <w:highlight w:val="none"/>
              </w:rPr>
              <w:t>室（克拉玛依市通讯路44号）</w:t>
            </w:r>
          </w:p>
        </w:tc>
      </w:tr>
      <w:tr w14:paraId="2A9BC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3" w:hRule="atLeast"/>
        </w:trPr>
        <w:tc>
          <w:tcPr>
            <w:tcW w:w="758" w:type="dxa"/>
            <w:tcBorders>
              <w:top w:val="single" w:color="auto" w:sz="4" w:space="0"/>
              <w:left w:val="single" w:color="auto" w:sz="4" w:space="0"/>
              <w:bottom w:val="single" w:color="auto" w:sz="4" w:space="0"/>
              <w:right w:val="single" w:color="auto" w:sz="4" w:space="0"/>
            </w:tcBorders>
            <w:vAlign w:val="center"/>
          </w:tcPr>
          <w:p w14:paraId="52607B7F">
            <w:pPr>
              <w:widowControl w:val="0"/>
              <w:wordWrap/>
              <w:adjustRightInd/>
              <w:snapToGrid/>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7</w:t>
            </w:r>
          </w:p>
        </w:tc>
        <w:tc>
          <w:tcPr>
            <w:tcW w:w="9382" w:type="dxa"/>
            <w:tcBorders>
              <w:top w:val="single" w:color="auto" w:sz="4" w:space="0"/>
              <w:left w:val="single" w:color="auto" w:sz="4" w:space="0"/>
              <w:bottom w:val="single" w:color="auto" w:sz="4" w:space="0"/>
              <w:right w:val="single" w:color="auto" w:sz="4" w:space="0"/>
            </w:tcBorders>
            <w:vAlign w:val="center"/>
          </w:tcPr>
          <w:p w14:paraId="0E720DD3">
            <w:pPr>
              <w:widowControl w:val="0"/>
              <w:wordWrap/>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磋商时间：</w:t>
            </w:r>
            <w:r>
              <w:rPr>
                <w:rFonts w:hint="eastAsia" w:cs="宋体"/>
                <w:color w:val="auto"/>
                <w:sz w:val="24"/>
                <w:szCs w:val="24"/>
                <w:highlight w:val="none"/>
                <w:lang w:eastAsia="zh-CN"/>
              </w:rPr>
              <w:t>2025年</w:t>
            </w:r>
            <w:r>
              <w:rPr>
                <w:rFonts w:hint="eastAsia"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9</w:t>
            </w:r>
            <w:r>
              <w:rPr>
                <w:rFonts w:hint="eastAsia" w:ascii="宋体" w:hAnsi="宋体" w:eastAsia="宋体" w:cs="宋体"/>
                <w:color w:val="auto"/>
                <w:sz w:val="24"/>
                <w:szCs w:val="24"/>
                <w:highlight w:val="none"/>
              </w:rPr>
              <w:t>日 1</w:t>
            </w: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0</w:t>
            </w:r>
            <w:r>
              <w:rPr>
                <w:rFonts w:hint="eastAsia" w:ascii="宋体" w:hAnsi="宋体" w:eastAsia="宋体" w:cs="宋体"/>
                <w:color w:val="auto"/>
                <w:sz w:val="24"/>
                <w:szCs w:val="24"/>
                <w:highlight w:val="none"/>
              </w:rPr>
              <w:t xml:space="preserve">0   </w:t>
            </w:r>
          </w:p>
          <w:p w14:paraId="25F2FE39">
            <w:pPr>
              <w:widowControl w:val="0"/>
              <w:wordWrap/>
              <w:adjustRightInd/>
              <w:snapToGrid/>
              <w:spacing w:line="360" w:lineRule="auto"/>
              <w:textAlignment w:val="auto"/>
              <w:rPr>
                <w:rFonts w:hint="eastAsia" w:ascii="宋体" w:hAnsi="宋体" w:eastAsia="宋体" w:cs="宋体"/>
                <w:color w:val="auto"/>
                <w:sz w:val="24"/>
                <w:szCs w:val="24"/>
                <w:highlight w:val="none"/>
              </w:rPr>
            </w:pPr>
            <w:r>
              <w:rPr>
                <w:rFonts w:hint="eastAsia" w:hAnsi="宋体" w:cs="宋体"/>
                <w:color w:val="auto"/>
                <w:sz w:val="24"/>
                <w:szCs w:val="24"/>
                <w:highlight w:val="none"/>
              </w:rPr>
              <w:t>磋商</w:t>
            </w:r>
            <w:r>
              <w:rPr>
                <w:rFonts w:hint="eastAsia" w:ascii="宋体" w:hAnsi="宋体" w:eastAsia="宋体" w:cs="宋体"/>
                <w:color w:val="auto"/>
                <w:w w:val="100"/>
                <w:sz w:val="24"/>
                <w:highlight w:val="none"/>
              </w:rPr>
              <w:t xml:space="preserve">地点：新疆天麒工程项目管理咨询有限责任公司一楼评标室（克拉玛依市通讯路44号） </w:t>
            </w:r>
          </w:p>
        </w:tc>
      </w:tr>
      <w:tr w14:paraId="69759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trPr>
        <w:tc>
          <w:tcPr>
            <w:tcW w:w="758" w:type="dxa"/>
            <w:tcBorders>
              <w:top w:val="single" w:color="auto" w:sz="4" w:space="0"/>
              <w:left w:val="single" w:color="auto" w:sz="4" w:space="0"/>
              <w:bottom w:val="single" w:color="auto" w:sz="4" w:space="0"/>
              <w:right w:val="single" w:color="auto" w:sz="4" w:space="0"/>
            </w:tcBorders>
            <w:vAlign w:val="center"/>
          </w:tcPr>
          <w:p w14:paraId="65CA5173">
            <w:pPr>
              <w:pStyle w:val="33"/>
              <w:widowControl w:val="0"/>
              <w:wordWrap/>
              <w:adjustRightInd/>
              <w:snapToGrid/>
              <w:spacing w:line="360" w:lineRule="auto"/>
              <w:jc w:val="center"/>
              <w:textAlignment w:val="auto"/>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val="en-US" w:eastAsia="zh-CN"/>
              </w:rPr>
              <w:t>8</w:t>
            </w:r>
          </w:p>
        </w:tc>
        <w:tc>
          <w:tcPr>
            <w:tcW w:w="9382" w:type="dxa"/>
            <w:tcBorders>
              <w:top w:val="single" w:color="auto" w:sz="4" w:space="0"/>
              <w:left w:val="single" w:color="auto" w:sz="4" w:space="0"/>
              <w:bottom w:val="single" w:color="auto" w:sz="4" w:space="0"/>
              <w:right w:val="single" w:color="auto" w:sz="4" w:space="0"/>
            </w:tcBorders>
            <w:vAlign w:val="center"/>
          </w:tcPr>
          <w:p w14:paraId="2DC55D9E">
            <w:pPr>
              <w:pStyle w:val="33"/>
              <w:widowControl w:val="0"/>
              <w:wordWrap/>
              <w:adjustRightInd/>
              <w:snapToGrid/>
              <w:spacing w:line="360" w:lineRule="auto"/>
              <w:textAlignment w:val="auto"/>
              <w:rPr>
                <w:rFonts w:hint="eastAsia" w:ascii="宋体" w:hAnsi="宋体" w:eastAsia="宋体" w:cs="宋体"/>
                <w:b/>
                <w:bCs/>
                <w:color w:val="auto"/>
                <w:sz w:val="24"/>
                <w:szCs w:val="24"/>
                <w:highlight w:val="none"/>
              </w:rPr>
            </w:pPr>
            <w:r>
              <w:rPr>
                <w:rFonts w:hint="eastAsia" w:hAnsi="宋体" w:cs="宋体"/>
                <w:b/>
                <w:color w:val="auto"/>
                <w:sz w:val="24"/>
                <w:szCs w:val="24"/>
                <w:highlight w:val="none"/>
                <w:lang w:eastAsia="zh-CN"/>
              </w:rPr>
              <w:t>本项目设定最高限价</w:t>
            </w:r>
            <w:r>
              <w:rPr>
                <w:rFonts w:hint="eastAsia" w:ascii="宋体" w:hAnsi="宋体" w:eastAsia="宋体" w:cs="宋体"/>
                <w:b/>
                <w:color w:val="auto"/>
                <w:sz w:val="24"/>
                <w:szCs w:val="24"/>
                <w:highlight w:val="none"/>
              </w:rPr>
              <w:t>：￥</w:t>
            </w:r>
            <w:r>
              <w:rPr>
                <w:rFonts w:hint="eastAsia" w:hAnsi="宋体" w:cs="宋体"/>
                <w:b/>
                <w:color w:val="auto"/>
                <w:sz w:val="24"/>
                <w:szCs w:val="24"/>
                <w:highlight w:val="none"/>
                <w:lang w:val="en-US" w:eastAsia="zh-CN"/>
              </w:rPr>
              <w:t>72</w:t>
            </w:r>
            <w:r>
              <w:rPr>
                <w:rFonts w:hint="eastAsia" w:ascii="宋体" w:hAnsi="宋体" w:eastAsia="宋体" w:cs="宋体"/>
                <w:b/>
                <w:color w:val="auto"/>
                <w:sz w:val="24"/>
                <w:szCs w:val="24"/>
                <w:highlight w:val="none"/>
              </w:rPr>
              <w:t>万元</w:t>
            </w:r>
            <w:r>
              <w:rPr>
                <w:rFonts w:hint="eastAsia" w:hAnsi="宋体" w:cs="宋体"/>
                <w:b/>
                <w:color w:val="auto"/>
                <w:sz w:val="24"/>
                <w:szCs w:val="24"/>
                <w:highlight w:val="none"/>
                <w:lang w:val="en-US" w:eastAsia="zh-CN"/>
              </w:rPr>
              <w:t>/年</w:t>
            </w:r>
            <w:r>
              <w:rPr>
                <w:rFonts w:hint="eastAsia" w:ascii="宋体" w:hAnsi="宋体" w:eastAsia="宋体" w:cs="宋体"/>
                <w:b/>
                <w:color w:val="auto"/>
                <w:sz w:val="24"/>
                <w:szCs w:val="24"/>
                <w:highlight w:val="none"/>
              </w:rPr>
              <w:t>，供应商的商务报价如超过</w:t>
            </w:r>
            <w:r>
              <w:rPr>
                <w:rFonts w:hint="eastAsia" w:hAnsi="宋体" w:cs="宋体"/>
                <w:b/>
                <w:color w:val="auto"/>
                <w:sz w:val="24"/>
                <w:szCs w:val="24"/>
                <w:highlight w:val="none"/>
                <w:lang w:eastAsia="zh-CN"/>
              </w:rPr>
              <w:t>最高限价</w:t>
            </w:r>
            <w:r>
              <w:rPr>
                <w:rFonts w:hint="eastAsia" w:ascii="宋体" w:hAnsi="宋体" w:eastAsia="宋体" w:cs="宋体"/>
                <w:b/>
                <w:color w:val="auto"/>
                <w:sz w:val="24"/>
                <w:szCs w:val="24"/>
                <w:highlight w:val="none"/>
              </w:rPr>
              <w:t>，则该供应商的响应文件作无效响应处理。</w:t>
            </w:r>
          </w:p>
        </w:tc>
      </w:tr>
      <w:tr w14:paraId="57FE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trPr>
        <w:tc>
          <w:tcPr>
            <w:tcW w:w="758" w:type="dxa"/>
            <w:tcBorders>
              <w:top w:val="single" w:color="auto" w:sz="4" w:space="0"/>
              <w:left w:val="single" w:color="auto" w:sz="4" w:space="0"/>
              <w:bottom w:val="single" w:color="auto" w:sz="4" w:space="0"/>
              <w:right w:val="single" w:color="auto" w:sz="4" w:space="0"/>
            </w:tcBorders>
            <w:vAlign w:val="center"/>
          </w:tcPr>
          <w:p w14:paraId="08FEBB4B">
            <w:pPr>
              <w:pStyle w:val="33"/>
              <w:spacing w:line="460" w:lineRule="exact"/>
              <w:jc w:val="center"/>
              <w:rPr>
                <w:rFonts w:hint="eastAsia" w:hAnsi="宋体" w:cs="宋体"/>
                <w:color w:val="auto"/>
                <w:sz w:val="24"/>
                <w:szCs w:val="24"/>
                <w:highlight w:val="none"/>
                <w:lang w:val="en-US" w:eastAsia="zh-CN"/>
              </w:rPr>
            </w:pPr>
            <w:r>
              <w:rPr>
                <w:rFonts w:hint="eastAsia" w:hAnsi="宋体" w:cs="宋体"/>
                <w:b w:val="0"/>
                <w:bCs w:val="0"/>
                <w:color w:val="auto"/>
                <w:kern w:val="2"/>
                <w:sz w:val="24"/>
                <w:szCs w:val="24"/>
                <w:highlight w:val="none"/>
                <w:lang w:val="en-US" w:eastAsia="zh-CN"/>
              </w:rPr>
              <w:t>9</w:t>
            </w:r>
          </w:p>
        </w:tc>
        <w:tc>
          <w:tcPr>
            <w:tcW w:w="9382" w:type="dxa"/>
            <w:tcBorders>
              <w:top w:val="single" w:color="auto" w:sz="4" w:space="0"/>
              <w:left w:val="single" w:color="auto" w:sz="4" w:space="0"/>
              <w:bottom w:val="single" w:color="auto" w:sz="4" w:space="0"/>
              <w:right w:val="single" w:color="auto" w:sz="4" w:space="0"/>
            </w:tcBorders>
            <w:vAlign w:val="center"/>
          </w:tcPr>
          <w:p w14:paraId="7862FE63">
            <w:pPr>
              <w:keepNext w:val="0"/>
              <w:keepLines w:val="0"/>
              <w:pageBreakBefore w:val="0"/>
              <w:kinsoku/>
              <w:wordWrap/>
              <w:overflowPunct/>
              <w:topLinePunct w:val="0"/>
              <w:autoSpaceDE/>
              <w:autoSpaceDN/>
              <w:bidi w:val="0"/>
              <w:spacing w:line="360" w:lineRule="auto"/>
              <w:ind w:right="0" w:rightChars="0"/>
              <w:rPr>
                <w:rFonts w:hint="eastAsia" w:hAnsi="宋体" w:cs="宋体"/>
                <w:b/>
                <w:color w:val="auto"/>
                <w:sz w:val="24"/>
                <w:szCs w:val="24"/>
                <w:highlight w:val="none"/>
                <w:lang w:eastAsia="zh-CN"/>
              </w:rPr>
            </w:pPr>
            <w:r>
              <w:rPr>
                <w:rFonts w:hint="eastAsia" w:ascii="宋体" w:hAnsi="宋体" w:eastAsia="宋体" w:cs="宋体"/>
                <w:b w:val="0"/>
                <w:bCs w:val="0"/>
                <w:color w:val="auto"/>
                <w:sz w:val="24"/>
                <w:highlight w:val="none"/>
              </w:rPr>
              <w:t>采购代理服务费</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由成交供应商向采购代理机构支付本项目采购代理服务费</w:t>
            </w:r>
            <w:r>
              <w:rPr>
                <w:rFonts w:hint="eastAsia" w:ascii="宋体" w:hAnsi="宋体" w:eastAsia="宋体" w:cs="宋体"/>
                <w:b w:val="0"/>
                <w:bCs w:val="0"/>
                <w:color w:val="auto"/>
                <w:sz w:val="24"/>
                <w:highlight w:val="none"/>
                <w:lang w:val="en-US" w:eastAsia="zh-CN"/>
              </w:rPr>
              <w:t>后</w:t>
            </w:r>
            <w:r>
              <w:rPr>
                <w:rFonts w:hint="eastAsia" w:ascii="宋体" w:hAnsi="宋体" w:eastAsia="宋体" w:cs="宋体"/>
                <w:b w:val="0"/>
                <w:bCs w:val="0"/>
                <w:color w:val="auto"/>
                <w:sz w:val="24"/>
                <w:highlight w:val="none"/>
              </w:rPr>
              <w:t>领取成交通知书</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采购代理服务费为</w:t>
            </w:r>
            <w:r>
              <w:rPr>
                <w:rFonts w:hint="eastAsia" w:ascii="宋体" w:hAnsi="宋体" w:eastAsia="宋体" w:cs="宋体"/>
                <w:b w:val="0"/>
                <w:bCs w:val="0"/>
                <w:color w:val="auto"/>
                <w:sz w:val="24"/>
                <w:highlight w:val="none"/>
                <w:lang w:eastAsia="zh-CN"/>
              </w:rPr>
              <w:t>￥</w:t>
            </w:r>
            <w:r>
              <w:rPr>
                <w:rFonts w:hint="eastAsia" w:ascii="宋体" w:hAnsi="宋体" w:cs="宋体"/>
                <w:b w:val="0"/>
                <w:bCs w:val="0"/>
                <w:color w:val="auto"/>
                <w:sz w:val="24"/>
                <w:highlight w:val="none"/>
                <w:lang w:val="en-US" w:eastAsia="zh-CN"/>
              </w:rPr>
              <w:t>0.35</w:t>
            </w:r>
            <w:r>
              <w:rPr>
                <w:rFonts w:hint="eastAsia" w:ascii="宋体" w:hAnsi="宋体" w:eastAsia="宋体" w:cs="宋体"/>
                <w:b w:val="0"/>
                <w:bCs w:val="0"/>
                <w:color w:val="auto"/>
                <w:sz w:val="24"/>
                <w:highlight w:val="none"/>
                <w:lang w:val="en-US" w:eastAsia="zh-CN"/>
              </w:rPr>
              <w:t>万元（大写：人民币</w:t>
            </w:r>
            <w:r>
              <w:rPr>
                <w:rFonts w:hint="eastAsia" w:ascii="宋体" w:hAnsi="宋体" w:cs="宋体"/>
                <w:b w:val="0"/>
                <w:bCs w:val="0"/>
                <w:color w:val="auto"/>
                <w:sz w:val="24"/>
                <w:highlight w:val="none"/>
                <w:lang w:val="en-US" w:eastAsia="zh-CN"/>
              </w:rPr>
              <w:t>叁仟伍佰</w:t>
            </w:r>
            <w:r>
              <w:rPr>
                <w:rFonts w:hint="eastAsia" w:ascii="宋体" w:hAnsi="宋体" w:eastAsia="宋体" w:cs="宋体"/>
                <w:b w:val="0"/>
                <w:bCs w:val="0"/>
                <w:color w:val="auto"/>
                <w:sz w:val="24"/>
                <w:highlight w:val="none"/>
                <w:lang w:val="en-US" w:eastAsia="zh-CN"/>
              </w:rPr>
              <w:t>元整） 。</w:t>
            </w:r>
          </w:p>
        </w:tc>
      </w:tr>
    </w:tbl>
    <w:p w14:paraId="10E9504D">
      <w:pPr>
        <w:widowControl w:val="0"/>
        <w:wordWrap/>
        <w:adjustRightInd/>
        <w:snapToGrid/>
        <w:spacing w:line="360" w:lineRule="auto"/>
        <w:jc w:val="center"/>
        <w:textAlignment w:val="auto"/>
        <w:rPr>
          <w:rFonts w:hint="eastAsia" w:ascii="宋体" w:hAnsi="宋体" w:eastAsia="宋体" w:cs="宋体"/>
          <w:b/>
          <w:bCs/>
          <w:color w:val="auto"/>
          <w:sz w:val="24"/>
          <w:szCs w:val="24"/>
          <w:highlight w:val="none"/>
        </w:rPr>
      </w:pPr>
    </w:p>
    <w:p w14:paraId="5DB88062">
      <w:pPr>
        <w:widowControl w:val="0"/>
        <w:wordWrap/>
        <w:adjustRightInd/>
        <w:snapToGrid/>
        <w:spacing w:line="360" w:lineRule="auto"/>
        <w:jc w:val="center"/>
        <w:textAlignment w:val="auto"/>
        <w:rPr>
          <w:rFonts w:hint="eastAsia" w:ascii="宋体" w:hAnsi="宋体" w:eastAsia="宋体" w:cs="宋体"/>
          <w:b/>
          <w:bCs/>
          <w:color w:val="auto"/>
          <w:sz w:val="24"/>
          <w:szCs w:val="24"/>
          <w:highlight w:val="none"/>
        </w:rPr>
      </w:pPr>
    </w:p>
    <w:p w14:paraId="7C5533C0">
      <w:pPr>
        <w:wordWrap/>
        <w:spacing w:line="360" w:lineRule="auto"/>
        <w:jc w:val="center"/>
        <w:rPr>
          <w:rFonts w:hint="eastAsia" w:ascii="宋体" w:hAnsi="宋体" w:eastAsia="宋体" w:cs="宋体"/>
          <w:b/>
          <w:bCs/>
          <w:color w:val="auto"/>
          <w:sz w:val="28"/>
          <w:szCs w:val="28"/>
          <w:highlight w:val="none"/>
        </w:rPr>
      </w:pPr>
    </w:p>
    <w:p w14:paraId="75945B1F">
      <w:pPr>
        <w:wordWrap/>
        <w:spacing w:line="360" w:lineRule="auto"/>
        <w:jc w:val="center"/>
        <w:rPr>
          <w:rFonts w:hint="eastAsia" w:ascii="宋体" w:hAnsi="宋体" w:eastAsia="宋体" w:cs="宋体"/>
          <w:b/>
          <w:bCs/>
          <w:color w:val="auto"/>
          <w:sz w:val="28"/>
          <w:szCs w:val="28"/>
          <w:highlight w:val="none"/>
        </w:rPr>
      </w:pPr>
    </w:p>
    <w:p w14:paraId="50D3896B">
      <w:pPr>
        <w:wordWrap/>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A</w:t>
      </w:r>
      <w:bookmarkEnd w:id="1"/>
      <w:bookmarkStart w:id="12" w:name="_Toc154996576"/>
      <w:r>
        <w:rPr>
          <w:rFonts w:hint="eastAsia" w:ascii="宋体" w:hAnsi="宋体" w:eastAsia="宋体" w:cs="宋体"/>
          <w:b/>
          <w:bCs/>
          <w:color w:val="auto"/>
          <w:sz w:val="28"/>
          <w:szCs w:val="28"/>
          <w:highlight w:val="none"/>
        </w:rPr>
        <w:t>说明</w:t>
      </w:r>
    </w:p>
    <w:p w14:paraId="08259A3C">
      <w:pPr>
        <w:pStyle w:val="33"/>
        <w:wordWrap/>
        <w:spacing w:line="360" w:lineRule="auto"/>
        <w:ind w:firstLine="480" w:firstLineChars="200"/>
        <w:outlineLvl w:val="1"/>
        <w:rPr>
          <w:rFonts w:hint="eastAsia" w:ascii="宋体" w:hAnsi="宋体" w:eastAsia="宋体" w:cs="宋体"/>
          <w:color w:val="auto"/>
          <w:sz w:val="24"/>
          <w:highlight w:val="none"/>
        </w:rPr>
      </w:pPr>
      <w:bookmarkStart w:id="13" w:name="_Toc233274811"/>
      <w:bookmarkStart w:id="14" w:name="_Toc243906311"/>
      <w:bookmarkStart w:id="15" w:name="_Toc246216180"/>
      <w:bookmarkStart w:id="16" w:name="_Toc243907571"/>
    </w:p>
    <w:p w14:paraId="0BDBD221">
      <w:pPr>
        <w:pStyle w:val="33"/>
        <w:wordWrap/>
        <w:spacing w:line="360" w:lineRule="auto"/>
        <w:ind w:left="0"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1、适用范围</w:t>
      </w:r>
      <w:bookmarkEnd w:id="13"/>
      <w:bookmarkEnd w:id="14"/>
      <w:bookmarkEnd w:id="15"/>
      <w:bookmarkEnd w:id="16"/>
      <w:r>
        <w:rPr>
          <w:rFonts w:hint="eastAsia" w:ascii="宋体" w:hAnsi="宋体" w:eastAsia="宋体" w:cs="宋体"/>
          <w:color w:val="auto"/>
          <w:sz w:val="24"/>
          <w:highlight w:val="none"/>
        </w:rPr>
        <w:t>及磋商依据</w:t>
      </w:r>
    </w:p>
    <w:p w14:paraId="4487815E">
      <w:pPr>
        <w:pStyle w:val="33"/>
        <w:wordWrap/>
        <w:spacing w:line="360" w:lineRule="auto"/>
        <w:ind w:left="0"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1.1 适用范围</w:t>
      </w:r>
    </w:p>
    <w:p w14:paraId="50BDA780">
      <w:pPr>
        <w:pStyle w:val="53"/>
        <w:wordWrap/>
        <w:spacing w:before="0" w:beforeAutospacing="0" w:after="0" w:afterAutospacing="0" w:line="360" w:lineRule="auto"/>
        <w:ind w:left="0" w:firstLine="480" w:firstLineChars="200"/>
        <w:jc w:val="left"/>
        <w:outlineLvl w:val="9"/>
        <w:rPr>
          <w:rFonts w:hint="eastAsia" w:ascii="宋体" w:hAnsi="宋体" w:eastAsia="宋体" w:cs="宋体"/>
          <w:color w:val="auto"/>
          <w:highlight w:val="none"/>
        </w:rPr>
      </w:pPr>
      <w:r>
        <w:rPr>
          <w:rFonts w:hint="eastAsia" w:ascii="宋体" w:hAnsi="宋体" w:eastAsia="宋体" w:cs="宋体"/>
          <w:color w:val="auto"/>
          <w:highlight w:val="none"/>
        </w:rPr>
        <w:t>本采购文件仅针对于</w:t>
      </w:r>
      <w:r>
        <w:rPr>
          <w:rFonts w:hint="eastAsia" w:cs="宋体"/>
          <w:color w:val="auto"/>
          <w:highlight w:val="none"/>
          <w:lang w:eastAsia="zh-CN"/>
        </w:rPr>
        <w:t>国家税务总局克拉玛依市克拉玛依区税务局安保服务</w:t>
      </w:r>
      <w:r>
        <w:rPr>
          <w:rFonts w:hint="eastAsia" w:ascii="宋体" w:hAnsi="宋体" w:eastAsia="宋体" w:cs="宋体"/>
          <w:color w:val="auto"/>
          <w:highlight w:val="none"/>
        </w:rPr>
        <w:t>。</w:t>
      </w:r>
    </w:p>
    <w:p w14:paraId="2D876CC1">
      <w:pPr>
        <w:pStyle w:val="33"/>
        <w:wordWrap/>
        <w:spacing w:line="360" w:lineRule="auto"/>
        <w:ind w:left="0"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1.2磋商依据</w:t>
      </w:r>
    </w:p>
    <w:p w14:paraId="0BCF2BD2">
      <w:pPr>
        <w:widowControl/>
        <w:wordWrap/>
        <w:spacing w:line="360" w:lineRule="auto"/>
        <w:ind w:left="0"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根据《中华人民共和国政府采购法》、《中华人民共和国政府采购法实施条例》、《财政部关于印发〈政府采购竞争性磋商采购方式管理暂行办法〉的通知》（财库〔2014〕214号）及有关法律、法规。</w:t>
      </w:r>
    </w:p>
    <w:p w14:paraId="286C4D9F">
      <w:pPr>
        <w:pStyle w:val="33"/>
        <w:wordWrap/>
        <w:spacing w:line="360" w:lineRule="auto"/>
        <w:ind w:left="0" w:firstLine="480" w:firstLineChars="200"/>
        <w:jc w:val="left"/>
        <w:outlineLvl w:val="9"/>
        <w:rPr>
          <w:rFonts w:hint="eastAsia" w:ascii="宋体" w:hAnsi="宋体" w:eastAsia="宋体" w:cs="宋体"/>
          <w:color w:val="auto"/>
          <w:sz w:val="24"/>
          <w:highlight w:val="none"/>
        </w:rPr>
      </w:pPr>
      <w:bookmarkStart w:id="17" w:name="_Toc246216181"/>
      <w:bookmarkStart w:id="18" w:name="_Toc243906312"/>
      <w:bookmarkStart w:id="19" w:name="_Toc233274812"/>
      <w:bookmarkStart w:id="20" w:name="_Toc243907572"/>
      <w:r>
        <w:rPr>
          <w:rFonts w:hint="eastAsia" w:ascii="宋体" w:hAnsi="宋体" w:eastAsia="宋体" w:cs="宋体"/>
          <w:color w:val="auto"/>
          <w:sz w:val="24"/>
          <w:highlight w:val="none"/>
        </w:rPr>
        <w:t>2、定义</w:t>
      </w:r>
      <w:bookmarkEnd w:id="17"/>
      <w:bookmarkEnd w:id="18"/>
      <w:bookmarkEnd w:id="19"/>
      <w:bookmarkEnd w:id="20"/>
    </w:p>
    <w:p w14:paraId="6417735D">
      <w:pPr>
        <w:pStyle w:val="33"/>
        <w:wordWrap/>
        <w:spacing w:line="360" w:lineRule="auto"/>
        <w:ind w:left="0"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2.1 “采购人”系指</w:t>
      </w:r>
      <w:r>
        <w:rPr>
          <w:rFonts w:hint="eastAsia" w:hAnsi="宋体" w:cs="宋体"/>
          <w:color w:val="auto"/>
          <w:sz w:val="24"/>
          <w:szCs w:val="24"/>
          <w:highlight w:val="none"/>
          <w:lang w:eastAsia="zh-CN"/>
        </w:rPr>
        <w:t>国家税务总局克拉玛依市克拉玛依区税务局</w:t>
      </w:r>
      <w:r>
        <w:rPr>
          <w:rFonts w:hint="eastAsia" w:ascii="宋体" w:hAnsi="宋体" w:eastAsia="宋体" w:cs="宋体"/>
          <w:color w:val="auto"/>
          <w:sz w:val="24"/>
          <w:highlight w:val="none"/>
        </w:rPr>
        <w:t>，在签订和执行合同阶段称“甲方”。</w:t>
      </w:r>
    </w:p>
    <w:p w14:paraId="7CAFF82B">
      <w:pPr>
        <w:pStyle w:val="33"/>
        <w:wordWrap/>
        <w:spacing w:line="360" w:lineRule="auto"/>
        <w:ind w:left="0"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2.2 </w:t>
      </w:r>
      <w:r>
        <w:rPr>
          <w:rFonts w:hint="eastAsia" w:ascii="宋体" w:hAnsi="宋体" w:eastAsia="宋体" w:cs="宋体"/>
          <w:color w:val="auto"/>
          <w:sz w:val="24"/>
          <w:szCs w:val="24"/>
          <w:highlight w:val="none"/>
        </w:rPr>
        <w:t>“采购代理机构”</w:t>
      </w:r>
      <w:r>
        <w:rPr>
          <w:rFonts w:hint="eastAsia" w:ascii="宋体" w:hAnsi="宋体" w:eastAsia="宋体" w:cs="宋体"/>
          <w:color w:val="auto"/>
          <w:sz w:val="24"/>
          <w:highlight w:val="none"/>
        </w:rPr>
        <w:t>系指新疆天麒工程项目管理咨询有限责任公司。</w:t>
      </w:r>
    </w:p>
    <w:p w14:paraId="406170DD">
      <w:pPr>
        <w:pStyle w:val="33"/>
        <w:wordWrap/>
        <w:spacing w:line="360" w:lineRule="auto"/>
        <w:ind w:left="0"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2.3 “供应商”系指具备资格并按采购文件要求提交响应文件的法人，供应商若成交，在签订和执行合同阶段称“乙方”。</w:t>
      </w:r>
    </w:p>
    <w:p w14:paraId="2341F5BD">
      <w:pPr>
        <w:pStyle w:val="33"/>
        <w:wordWrap/>
        <w:spacing w:line="360" w:lineRule="auto"/>
        <w:ind w:left="0"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2.4 “采购文件”系指由采购人向供应商发出的本</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项目的全部文件（包括项目采购需求、修改文件、补充</w:t>
      </w:r>
      <w:r>
        <w:rPr>
          <w:rFonts w:hint="eastAsia" w:ascii="宋体" w:hAnsi="宋体" w:eastAsia="宋体" w:cs="宋体"/>
          <w:color w:val="auto"/>
          <w:sz w:val="24"/>
          <w:szCs w:val="24"/>
          <w:highlight w:val="none"/>
        </w:rPr>
        <w:t>文件、答疑纪要、各种通知和附件等）。</w:t>
      </w:r>
    </w:p>
    <w:p w14:paraId="00697F2E">
      <w:pPr>
        <w:pStyle w:val="33"/>
        <w:wordWrap/>
        <w:spacing w:line="360" w:lineRule="auto"/>
        <w:ind w:left="0"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“响应文件”系指供应商根据采购文件提交的所有文件。</w:t>
      </w:r>
    </w:p>
    <w:p w14:paraId="54DC5324">
      <w:pPr>
        <w:wordWrap/>
        <w:spacing w:line="360" w:lineRule="auto"/>
        <w:ind w:left="0" w:firstLine="480" w:firstLineChars="200"/>
        <w:jc w:val="left"/>
        <w:outlineLvl w:val="9"/>
        <w:rPr>
          <w:rFonts w:hint="eastAsia" w:ascii="宋体" w:hAnsi="宋体" w:eastAsia="宋体" w:cs="宋体"/>
          <w:b/>
          <w:bCs/>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“服务”系指技术规范及标准、项目采购需求及合同主要条款、本采购文件规定，成交供应商</w:t>
      </w:r>
      <w:r>
        <w:rPr>
          <w:rFonts w:hint="eastAsia" w:ascii="宋体" w:hAnsi="宋体" w:eastAsia="宋体" w:cs="宋体"/>
          <w:b/>
          <w:bCs/>
          <w:color w:val="auto"/>
          <w:sz w:val="24"/>
          <w:highlight w:val="none"/>
          <w:lang w:val="en-US" w:eastAsia="zh-CN"/>
        </w:rPr>
        <w:t>在服务期限内完成</w:t>
      </w:r>
      <w:r>
        <w:rPr>
          <w:rFonts w:hint="eastAsia" w:ascii="宋体" w:hAnsi="宋体" w:cs="宋体"/>
          <w:b/>
          <w:bCs/>
          <w:color w:val="auto"/>
          <w:sz w:val="24"/>
          <w:highlight w:val="none"/>
          <w:lang w:val="en-US" w:eastAsia="zh-CN"/>
        </w:rPr>
        <w:t>国家税务总局克拉玛依市克拉玛依区税务局</w:t>
      </w:r>
      <w:r>
        <w:rPr>
          <w:rFonts w:hint="eastAsia" w:ascii="宋体" w:hAnsi="宋体" w:eastAsia="宋体" w:cs="宋体"/>
          <w:b/>
          <w:bCs/>
          <w:color w:val="auto"/>
          <w:sz w:val="24"/>
          <w:highlight w:val="none"/>
          <w:lang w:val="en-US" w:eastAsia="zh-CN"/>
        </w:rPr>
        <w:t>办公楼安保服务</w:t>
      </w:r>
      <w:r>
        <w:rPr>
          <w:rFonts w:hint="eastAsia" w:ascii="宋体" w:hAnsi="宋体" w:cs="宋体"/>
          <w:b/>
          <w:bCs/>
          <w:color w:val="auto"/>
          <w:sz w:val="24"/>
          <w:highlight w:val="none"/>
          <w:lang w:val="en-US" w:eastAsia="zh-CN"/>
        </w:rPr>
        <w:t>，</w:t>
      </w:r>
      <w:r>
        <w:rPr>
          <w:rFonts w:hint="eastAsia" w:ascii="宋体" w:hAnsi="宋体" w:eastAsia="宋体" w:cs="宋体"/>
          <w:b/>
          <w:bCs/>
          <w:color w:val="auto"/>
          <w:sz w:val="24"/>
          <w:highlight w:val="none"/>
          <w:lang w:val="en-US" w:eastAsia="zh-CN"/>
        </w:rPr>
        <w:t>包括基本服务、安保服务、</w:t>
      </w:r>
      <w:r>
        <w:rPr>
          <w:rFonts w:hint="eastAsia" w:ascii="宋体" w:hAnsi="宋体" w:cs="宋体"/>
          <w:b/>
          <w:bCs/>
          <w:color w:val="auto"/>
          <w:sz w:val="24"/>
          <w:highlight w:val="none"/>
          <w:lang w:val="en-US" w:eastAsia="zh-CN"/>
        </w:rPr>
        <w:t>建筑消防设施日常运行维保服务</w:t>
      </w:r>
      <w:r>
        <w:rPr>
          <w:rFonts w:hint="eastAsia" w:ascii="宋体" w:hAnsi="宋体" w:eastAsia="宋体" w:cs="宋体"/>
          <w:b/>
          <w:bCs/>
          <w:color w:val="auto"/>
          <w:sz w:val="24"/>
          <w:highlight w:val="none"/>
          <w:lang w:val="en-US" w:eastAsia="zh-CN"/>
        </w:rPr>
        <w:t>等，以及合同主要内容、技术规范及标准、项目采购需求、本招标文件约定的全部内容并配合采购人完成此项服务相关的全部工作。</w:t>
      </w:r>
    </w:p>
    <w:p w14:paraId="40590CC4">
      <w:pPr>
        <w:wordWrap/>
        <w:spacing w:line="360" w:lineRule="auto"/>
        <w:ind w:left="0"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 xml:space="preserve">凡提及的“天、日期、星期、月份和年份”系指公历日历的日历天、日期、星期、月份和年份。 </w:t>
      </w:r>
    </w:p>
    <w:p w14:paraId="40F1A5FA">
      <w:pPr>
        <w:pStyle w:val="33"/>
        <w:wordWrap/>
        <w:spacing w:line="360" w:lineRule="auto"/>
        <w:ind w:left="0" w:firstLine="480" w:firstLineChars="200"/>
        <w:jc w:val="left"/>
        <w:outlineLvl w:val="9"/>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rPr>
        <w:t xml:space="preserve"> </w:t>
      </w:r>
      <w:bookmarkStart w:id="21" w:name="_Toc246216182"/>
      <w:bookmarkStart w:id="22" w:name="_Toc233274813"/>
      <w:bookmarkStart w:id="23" w:name="_Toc243906313"/>
      <w:bookmarkStart w:id="24" w:name="_Toc243907573"/>
      <w:r>
        <w:rPr>
          <w:rFonts w:hint="eastAsia" w:ascii="宋体" w:hAnsi="宋体" w:eastAsia="宋体" w:cs="宋体"/>
          <w:b/>
          <w:color w:val="auto"/>
          <w:sz w:val="24"/>
          <w:szCs w:val="24"/>
          <w:highlight w:val="none"/>
        </w:rPr>
        <w:t>3、</w:t>
      </w:r>
      <w:bookmarkEnd w:id="21"/>
      <w:bookmarkEnd w:id="22"/>
      <w:bookmarkEnd w:id="23"/>
      <w:bookmarkEnd w:id="24"/>
      <w:r>
        <w:rPr>
          <w:rFonts w:hint="eastAsia" w:ascii="宋体" w:hAnsi="宋体" w:eastAsia="宋体" w:cs="宋体"/>
          <w:b/>
          <w:color w:val="auto"/>
          <w:sz w:val="24"/>
          <w:szCs w:val="24"/>
          <w:highlight w:val="none"/>
        </w:rPr>
        <w:t>采购范围及</w:t>
      </w:r>
      <w:r>
        <w:rPr>
          <w:rFonts w:hint="eastAsia" w:hAnsi="宋体" w:cs="宋体"/>
          <w:b/>
          <w:color w:val="auto"/>
          <w:sz w:val="24"/>
          <w:szCs w:val="24"/>
          <w:highlight w:val="none"/>
          <w:lang w:eastAsia="zh-CN"/>
        </w:rPr>
        <w:t>服务期限</w:t>
      </w:r>
    </w:p>
    <w:p w14:paraId="2F6740A1">
      <w:pPr>
        <w:wordWrap/>
        <w:spacing w:line="360" w:lineRule="auto"/>
        <w:ind w:left="0"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bCs/>
          <w:color w:val="auto"/>
          <w:sz w:val="24"/>
          <w:highlight w:val="none"/>
        </w:rPr>
        <w:t>3.1</w:t>
      </w:r>
      <w:r>
        <w:rPr>
          <w:rFonts w:hint="eastAsia" w:ascii="宋体" w:hAnsi="宋体" w:eastAsia="宋体" w:cs="宋体"/>
          <w:b/>
          <w:color w:val="auto"/>
          <w:sz w:val="24"/>
          <w:highlight w:val="none"/>
        </w:rPr>
        <w:t>采购范围：</w:t>
      </w:r>
      <w:bookmarkStart w:id="25" w:name="_Toc243906314"/>
      <w:bookmarkStart w:id="26" w:name="_Toc246216183"/>
      <w:bookmarkStart w:id="27" w:name="_Toc233274814"/>
      <w:bookmarkStart w:id="28" w:name="_Toc243907574"/>
      <w:r>
        <w:rPr>
          <w:rFonts w:hint="eastAsia" w:ascii="宋体" w:hAnsi="宋体" w:eastAsia="宋体" w:cs="宋体"/>
          <w:b/>
          <w:bCs/>
          <w:color w:val="auto"/>
          <w:sz w:val="24"/>
          <w:highlight w:val="none"/>
          <w:lang w:val="en-US" w:eastAsia="zh-CN"/>
        </w:rPr>
        <w:t>在服务期限内完成</w:t>
      </w:r>
      <w:r>
        <w:rPr>
          <w:rFonts w:hint="eastAsia" w:ascii="宋体" w:hAnsi="宋体" w:cs="宋体"/>
          <w:b/>
          <w:bCs/>
          <w:color w:val="auto"/>
          <w:sz w:val="24"/>
          <w:highlight w:val="none"/>
          <w:lang w:val="en-US" w:eastAsia="zh-CN"/>
        </w:rPr>
        <w:t>国家税务总局克拉玛依市克拉玛依区税务局</w:t>
      </w:r>
      <w:r>
        <w:rPr>
          <w:rFonts w:hint="eastAsia" w:ascii="宋体" w:hAnsi="宋体" w:eastAsia="宋体" w:cs="宋体"/>
          <w:b/>
          <w:bCs/>
          <w:color w:val="auto"/>
          <w:sz w:val="24"/>
          <w:highlight w:val="none"/>
          <w:lang w:val="en-US" w:eastAsia="zh-CN"/>
        </w:rPr>
        <w:t>办公楼安保服务</w:t>
      </w:r>
      <w:r>
        <w:rPr>
          <w:rFonts w:hint="eastAsia" w:ascii="宋体" w:hAnsi="宋体" w:cs="宋体"/>
          <w:b/>
          <w:bCs/>
          <w:color w:val="auto"/>
          <w:sz w:val="24"/>
          <w:highlight w:val="none"/>
          <w:lang w:val="en-US" w:eastAsia="zh-CN"/>
        </w:rPr>
        <w:t>，</w:t>
      </w:r>
      <w:r>
        <w:rPr>
          <w:rFonts w:hint="eastAsia" w:ascii="宋体" w:hAnsi="宋体" w:eastAsia="宋体" w:cs="宋体"/>
          <w:b/>
          <w:bCs/>
          <w:color w:val="auto"/>
          <w:sz w:val="24"/>
          <w:highlight w:val="none"/>
          <w:lang w:val="en-US" w:eastAsia="zh-CN"/>
        </w:rPr>
        <w:t>包括基本服务、安保服务、</w:t>
      </w:r>
      <w:r>
        <w:rPr>
          <w:rFonts w:hint="eastAsia" w:ascii="宋体" w:hAnsi="宋体" w:cs="宋体"/>
          <w:b/>
          <w:bCs/>
          <w:color w:val="auto"/>
          <w:sz w:val="24"/>
          <w:highlight w:val="none"/>
          <w:lang w:val="en-US" w:eastAsia="zh-CN"/>
        </w:rPr>
        <w:t>建筑消防设施日常运行维保服务</w:t>
      </w:r>
      <w:r>
        <w:rPr>
          <w:rFonts w:hint="eastAsia" w:ascii="宋体" w:hAnsi="宋体" w:eastAsia="宋体" w:cs="宋体"/>
          <w:b/>
          <w:bCs/>
          <w:color w:val="auto"/>
          <w:sz w:val="24"/>
          <w:highlight w:val="none"/>
          <w:lang w:val="en-US" w:eastAsia="zh-CN"/>
        </w:rPr>
        <w:t>等，以及合同主要内容、技术规范及标准、项目采购需求、本招标文件约定的全部内容并配合采购人完成此项服务相关的全部工作。。</w:t>
      </w:r>
    </w:p>
    <w:p w14:paraId="6B9B5BD3">
      <w:pPr>
        <w:wordWrap/>
        <w:spacing w:line="360" w:lineRule="auto"/>
        <w:ind w:left="0" w:firstLine="480" w:firstLineChars="200"/>
        <w:jc w:val="left"/>
        <w:outlineLvl w:val="9"/>
        <w:rPr>
          <w:rFonts w:hint="eastAsia" w:ascii="宋体" w:hAnsi="宋体" w:eastAsia="宋体" w:cs="宋体"/>
          <w:color w:val="auto"/>
          <w:sz w:val="24"/>
          <w:highlight w:val="none"/>
          <w:lang w:eastAsia="zh-CN"/>
        </w:rPr>
      </w:pPr>
      <w:r>
        <w:rPr>
          <w:rFonts w:hint="eastAsia" w:ascii="宋体" w:hAnsi="宋体" w:eastAsia="宋体" w:cs="宋体"/>
          <w:b w:val="0"/>
          <w:bCs/>
          <w:color w:val="auto"/>
          <w:sz w:val="24"/>
          <w:highlight w:val="none"/>
        </w:rPr>
        <w:t>3.2</w:t>
      </w:r>
      <w:r>
        <w:rPr>
          <w:rFonts w:hint="eastAsia" w:ascii="宋体" w:hAnsi="宋体" w:cs="宋体"/>
          <w:b w:val="0"/>
          <w:bCs/>
          <w:color w:val="auto"/>
          <w:sz w:val="24"/>
          <w:highlight w:val="none"/>
          <w:lang w:eastAsia="zh-CN"/>
        </w:rPr>
        <w:t>服务期限</w:t>
      </w:r>
      <w:r>
        <w:rPr>
          <w:rFonts w:hint="eastAsia" w:ascii="宋体" w:hAnsi="宋体" w:eastAsia="宋体" w:cs="宋体"/>
          <w:color w:val="auto"/>
          <w:sz w:val="24"/>
          <w:highlight w:val="none"/>
        </w:rPr>
        <w:t>：</w:t>
      </w:r>
      <w:r>
        <w:rPr>
          <w:rFonts w:hint="eastAsia" w:asciiTheme="minorEastAsia" w:hAnsiTheme="minorEastAsia" w:eastAsiaTheme="minorEastAsia"/>
          <w:color w:val="auto"/>
          <w:sz w:val="24"/>
          <w:szCs w:val="24"/>
          <w:highlight w:val="none"/>
          <w:lang w:val="en-US" w:eastAsia="zh-CN"/>
        </w:rPr>
        <w:t>2026年1月1日至2028年12月31日。</w:t>
      </w:r>
    </w:p>
    <w:p w14:paraId="0816D89E">
      <w:pPr>
        <w:wordWrap/>
        <w:spacing w:line="360" w:lineRule="auto"/>
        <w:ind w:left="0" w:firstLine="480" w:firstLineChars="200"/>
        <w:jc w:val="left"/>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4、合格供应商资格要求</w:t>
      </w:r>
    </w:p>
    <w:p w14:paraId="46FBA5C1">
      <w:pPr>
        <w:wordWrap/>
        <w:spacing w:line="360" w:lineRule="auto"/>
        <w:ind w:left="0" w:firstLine="480" w:firstLineChars="200"/>
        <w:jc w:val="left"/>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4.1详见第一章“采购公告”中的供应商资格要求。</w:t>
      </w:r>
    </w:p>
    <w:bookmarkEnd w:id="25"/>
    <w:bookmarkEnd w:id="26"/>
    <w:bookmarkEnd w:id="27"/>
    <w:bookmarkEnd w:id="28"/>
    <w:p w14:paraId="25F08274">
      <w:pPr>
        <w:wordWrap/>
        <w:snapToGrid w:val="0"/>
        <w:spacing w:line="360" w:lineRule="auto"/>
        <w:ind w:left="0" w:firstLine="482" w:firstLineChars="200"/>
        <w:jc w:val="left"/>
        <w:outlineLvl w:val="9"/>
        <w:rPr>
          <w:rFonts w:hint="eastAsia" w:ascii="宋体" w:hAnsi="宋体" w:eastAsia="宋体" w:cs="宋体"/>
          <w:b/>
          <w:color w:val="auto"/>
          <w:sz w:val="24"/>
          <w:highlight w:val="none"/>
        </w:rPr>
      </w:pPr>
      <w:bookmarkStart w:id="29" w:name="_Toc243906315"/>
      <w:bookmarkStart w:id="30" w:name="_Toc243907575"/>
      <w:bookmarkStart w:id="31" w:name="_Toc245897275"/>
      <w:bookmarkStart w:id="32" w:name="_Toc233274815"/>
      <w:r>
        <w:rPr>
          <w:rFonts w:hint="eastAsia" w:ascii="宋体" w:hAnsi="宋体" w:eastAsia="宋体" w:cs="宋体"/>
          <w:b/>
          <w:color w:val="auto"/>
          <w:sz w:val="24"/>
          <w:highlight w:val="none"/>
        </w:rPr>
        <w:t>4.2单位负责人为同一人或者存在直接控股、管理关系的不同供应商，不得参加同一合同项下的政府采购活动。</w:t>
      </w:r>
    </w:p>
    <w:p w14:paraId="75298C28">
      <w:pPr>
        <w:wordWrap/>
        <w:snapToGrid w:val="0"/>
        <w:spacing w:line="360" w:lineRule="auto"/>
        <w:ind w:left="0" w:firstLine="482" w:firstLineChars="200"/>
        <w:jc w:val="left"/>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4.3为采购项目提供整体设计、规范编制或者项目管理、监理、检测等服务的供应商，不得再参加该采购项目的其他采购活动。</w:t>
      </w:r>
    </w:p>
    <w:p w14:paraId="1B3B291E">
      <w:pPr>
        <w:pStyle w:val="419"/>
        <w:wordWrap/>
        <w:spacing w:line="360" w:lineRule="auto"/>
        <w:ind w:left="0" w:firstLine="482" w:firstLineChars="200"/>
        <w:jc w:val="left"/>
        <w:outlineLvl w:val="9"/>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5、回避。政府采购活动中，采购人员及相关人员与供应商有下列利害关系之一的，应当回避：</w:t>
      </w:r>
    </w:p>
    <w:p w14:paraId="1BED2266">
      <w:pPr>
        <w:pStyle w:val="419"/>
        <w:wordWrap/>
        <w:spacing w:line="360" w:lineRule="auto"/>
        <w:ind w:left="0" w:firstLine="482" w:firstLineChars="200"/>
        <w:jc w:val="left"/>
        <w:outlineLvl w:val="9"/>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5.1参加采购活动前3年内与供应商存在劳动关系；</w:t>
      </w:r>
    </w:p>
    <w:p w14:paraId="1FA8F6EF">
      <w:pPr>
        <w:pStyle w:val="419"/>
        <w:wordWrap/>
        <w:spacing w:line="360" w:lineRule="auto"/>
        <w:ind w:left="0" w:firstLine="482" w:firstLineChars="200"/>
        <w:jc w:val="left"/>
        <w:outlineLvl w:val="9"/>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5.2参加采购活动前3年内担任供应商的董事、监事；</w:t>
      </w:r>
    </w:p>
    <w:p w14:paraId="12229FA6">
      <w:pPr>
        <w:pStyle w:val="419"/>
        <w:wordWrap/>
        <w:spacing w:line="360" w:lineRule="auto"/>
        <w:ind w:left="0" w:firstLine="482" w:firstLineChars="200"/>
        <w:jc w:val="left"/>
        <w:outlineLvl w:val="9"/>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5.3参加采购活动前3年内是供应商的控股股东或者实际控制人；</w:t>
      </w:r>
    </w:p>
    <w:p w14:paraId="4232EE51">
      <w:pPr>
        <w:pStyle w:val="419"/>
        <w:wordWrap/>
        <w:spacing w:line="360" w:lineRule="auto"/>
        <w:ind w:left="0" w:firstLine="482" w:firstLineChars="200"/>
        <w:jc w:val="left"/>
        <w:outlineLvl w:val="9"/>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5.4与供应商的法定代表人或者负责人有夫妻、直系血亲、三代以内旁系血亲或者近姻亲关系；</w:t>
      </w:r>
    </w:p>
    <w:p w14:paraId="0466B6A9">
      <w:pPr>
        <w:pStyle w:val="419"/>
        <w:wordWrap/>
        <w:spacing w:line="360" w:lineRule="auto"/>
        <w:ind w:left="0" w:firstLine="482" w:firstLineChars="200"/>
        <w:jc w:val="left"/>
        <w:outlineLvl w:val="9"/>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5.5与供应商有其他可能影响政府采购活动公平、公正进行的关系。</w:t>
      </w:r>
    </w:p>
    <w:p w14:paraId="18DB716A">
      <w:pPr>
        <w:pStyle w:val="419"/>
        <w:wordWrap/>
        <w:spacing w:line="360" w:lineRule="auto"/>
        <w:ind w:left="0" w:firstLine="482" w:firstLineChars="200"/>
        <w:jc w:val="left"/>
        <w:outlineLvl w:val="9"/>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本项目政府采购活动中需要依法回避的采购人员是指采购人内部负责采购项目的具体经办工作人员和直接分管采购项目的负责人，以及采购代理机构负责采购项目的具体经办工作人员和直接分管采购活动的负责人。本项目政府采购活动中需要依法回避的相关人员是指评标小组成员。</w:t>
      </w:r>
    </w:p>
    <w:p w14:paraId="2D9C312A">
      <w:pPr>
        <w:pStyle w:val="419"/>
        <w:wordWrap/>
        <w:spacing w:line="360" w:lineRule="auto"/>
        <w:ind w:left="0" w:firstLine="482" w:firstLineChars="200"/>
        <w:jc w:val="left"/>
        <w:outlineLvl w:val="9"/>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供应商认为采购人员及相关人员与其他供应商有利害关系的，可以向采购代理机构书面提出回避申请，并说明理由。采购代理机构将及时询问被申请回避人员，有利害关系的被申请回避人员应当回避。</w:t>
      </w:r>
    </w:p>
    <w:p w14:paraId="18B83D6B">
      <w:pPr>
        <w:pStyle w:val="33"/>
        <w:wordWrap/>
        <w:spacing w:line="360" w:lineRule="auto"/>
        <w:ind w:left="0"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bookmarkEnd w:id="29"/>
      <w:bookmarkEnd w:id="30"/>
      <w:bookmarkEnd w:id="31"/>
      <w:bookmarkEnd w:id="32"/>
      <w:r>
        <w:rPr>
          <w:rFonts w:hint="eastAsia" w:ascii="宋体" w:hAnsi="宋体" w:eastAsia="宋体" w:cs="宋体"/>
          <w:color w:val="auto"/>
          <w:sz w:val="24"/>
          <w:highlight w:val="none"/>
        </w:rPr>
        <w:t>参与磋商费用</w:t>
      </w:r>
    </w:p>
    <w:p w14:paraId="0A7410D7">
      <w:pPr>
        <w:pStyle w:val="33"/>
        <w:wordWrap/>
        <w:spacing w:line="360" w:lineRule="auto"/>
        <w:ind w:left="0"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6.1供应商应承担所有与磋商准备和磋商有关的全部费用，不论磋商结果如何，采购人和采购代理机构无义务和责任承担供应商所发生的一切费用。</w:t>
      </w:r>
    </w:p>
    <w:p w14:paraId="6F057290">
      <w:pPr>
        <w:pStyle w:val="33"/>
        <w:wordWrap/>
        <w:spacing w:line="360" w:lineRule="auto"/>
        <w:ind w:left="0"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6.2供应商在磋商准备、实地考察和磋商的全过程中，如果发生人身伤亡、财物或其它任何损失，不论何种原因所造成，均由供应商自行承担全部责任和损失。</w:t>
      </w:r>
    </w:p>
    <w:p w14:paraId="26B57BCB">
      <w:pPr>
        <w:pStyle w:val="33"/>
        <w:wordWrap/>
        <w:spacing w:line="360" w:lineRule="auto"/>
        <w:ind w:left="0" w:firstLine="480" w:firstLineChars="200"/>
        <w:jc w:val="left"/>
        <w:outlineLvl w:val="9"/>
        <w:rPr>
          <w:rFonts w:hint="eastAsia" w:ascii="宋体" w:hAnsi="宋体" w:eastAsia="宋体" w:cs="宋体"/>
          <w:color w:val="auto"/>
          <w:sz w:val="24"/>
          <w:highlight w:val="none"/>
        </w:rPr>
      </w:pPr>
      <w:bookmarkStart w:id="33" w:name="_Toc245897276"/>
      <w:bookmarkStart w:id="34" w:name="_Toc243906316"/>
      <w:bookmarkStart w:id="35" w:name="_Toc243907576"/>
      <w:bookmarkStart w:id="36" w:name="_Toc233274816"/>
      <w:r>
        <w:rPr>
          <w:rFonts w:hint="eastAsia" w:ascii="宋体" w:hAnsi="宋体" w:eastAsia="宋体" w:cs="宋体"/>
          <w:color w:val="auto"/>
          <w:sz w:val="24"/>
          <w:highlight w:val="none"/>
        </w:rPr>
        <w:t>7、法律适用</w:t>
      </w:r>
      <w:bookmarkEnd w:id="33"/>
      <w:bookmarkEnd w:id="34"/>
      <w:bookmarkEnd w:id="35"/>
      <w:bookmarkEnd w:id="36"/>
    </w:p>
    <w:p w14:paraId="562B4AC2">
      <w:pPr>
        <w:pStyle w:val="33"/>
        <w:wordWrap/>
        <w:spacing w:line="360" w:lineRule="auto"/>
        <w:ind w:left="0"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7.1本次磋商活动及由本次磋商产生的合同受中国法律制约和保护。</w:t>
      </w:r>
    </w:p>
    <w:p w14:paraId="1AC23EC2">
      <w:pPr>
        <w:pStyle w:val="33"/>
        <w:wordWrap/>
        <w:spacing w:line="360" w:lineRule="auto"/>
        <w:ind w:left="0" w:firstLine="480" w:firstLineChars="200"/>
        <w:jc w:val="left"/>
        <w:outlineLvl w:val="9"/>
        <w:rPr>
          <w:rFonts w:hint="eastAsia" w:ascii="宋体" w:hAnsi="宋体" w:eastAsia="宋体" w:cs="宋体"/>
          <w:color w:val="auto"/>
          <w:sz w:val="24"/>
          <w:highlight w:val="none"/>
        </w:rPr>
      </w:pPr>
      <w:bookmarkStart w:id="37" w:name="_Toc233274817"/>
      <w:bookmarkStart w:id="38" w:name="_Toc243906317"/>
      <w:bookmarkStart w:id="39" w:name="_Toc243907577"/>
      <w:bookmarkStart w:id="40" w:name="_Toc245897277"/>
      <w:r>
        <w:rPr>
          <w:rFonts w:hint="eastAsia" w:ascii="宋体" w:hAnsi="宋体" w:eastAsia="宋体" w:cs="宋体"/>
          <w:color w:val="auto"/>
          <w:sz w:val="24"/>
          <w:highlight w:val="none"/>
        </w:rPr>
        <w:t>8、采购文件的约束力</w:t>
      </w:r>
      <w:bookmarkEnd w:id="37"/>
      <w:bookmarkEnd w:id="38"/>
      <w:bookmarkEnd w:id="39"/>
      <w:bookmarkEnd w:id="40"/>
    </w:p>
    <w:p w14:paraId="36C0426A">
      <w:pPr>
        <w:pStyle w:val="33"/>
        <w:wordWrap/>
        <w:spacing w:line="360" w:lineRule="auto"/>
        <w:ind w:left="0"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8.1供应商若成交，即被认为接受了本采购文件中的所有条件和规定。是采购人与成交供应商签订合同的依据且是合同的组成部分。</w:t>
      </w:r>
    </w:p>
    <w:bookmarkEnd w:id="12"/>
    <w:p w14:paraId="4C38AF86">
      <w:pPr>
        <w:wordWrap/>
        <w:spacing w:line="360" w:lineRule="auto"/>
        <w:ind w:left="0" w:firstLine="480" w:firstLineChars="200"/>
        <w:jc w:val="left"/>
        <w:outlineLvl w:val="9"/>
        <w:rPr>
          <w:rFonts w:hint="eastAsia" w:ascii="宋体" w:hAnsi="宋体" w:eastAsia="宋体" w:cs="宋体"/>
          <w:color w:val="auto"/>
          <w:sz w:val="24"/>
          <w:highlight w:val="none"/>
        </w:rPr>
      </w:pPr>
    </w:p>
    <w:p w14:paraId="5F53F37A">
      <w:pPr>
        <w:pStyle w:val="33"/>
        <w:wordWrap/>
        <w:spacing w:line="360" w:lineRule="auto"/>
        <w:jc w:val="center"/>
        <w:outlineLvl w:val="1"/>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rPr>
        <w:t>B  采购文件</w:t>
      </w:r>
    </w:p>
    <w:p w14:paraId="001CC252">
      <w:pPr>
        <w:pStyle w:val="33"/>
        <w:wordWrap/>
        <w:spacing w:line="360" w:lineRule="auto"/>
        <w:ind w:firstLine="480" w:firstLineChars="200"/>
        <w:outlineLvl w:val="1"/>
        <w:rPr>
          <w:rFonts w:hint="eastAsia" w:ascii="宋体" w:hAnsi="宋体" w:eastAsia="宋体" w:cs="宋体"/>
          <w:color w:val="auto"/>
          <w:sz w:val="24"/>
          <w:highlight w:val="none"/>
        </w:rPr>
      </w:pPr>
      <w:bookmarkStart w:id="41" w:name="_Toc243907579"/>
      <w:bookmarkStart w:id="42" w:name="_Toc233274819"/>
      <w:bookmarkStart w:id="43" w:name="_Toc246216188"/>
      <w:bookmarkStart w:id="44" w:name="_Toc243906319"/>
    </w:p>
    <w:p w14:paraId="03C026E1">
      <w:pPr>
        <w:pStyle w:val="33"/>
        <w:widowControl w:val="0"/>
        <w:wordWrap/>
        <w:adjustRightInd/>
        <w:snapToGrid/>
        <w:spacing w:line="360" w:lineRule="auto"/>
        <w:ind w:firstLine="480" w:firstLineChars="20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9、采购文件的组成</w:t>
      </w:r>
      <w:bookmarkEnd w:id="41"/>
      <w:bookmarkEnd w:id="42"/>
      <w:bookmarkEnd w:id="43"/>
      <w:bookmarkEnd w:id="44"/>
    </w:p>
    <w:p w14:paraId="178EFB4D">
      <w:pPr>
        <w:widowControl w:val="0"/>
        <w:wordWrap/>
        <w:adjustRightInd/>
        <w:snapToGrid/>
        <w:spacing w:line="360" w:lineRule="auto"/>
        <w:ind w:firstLine="480" w:firstLineChars="200"/>
        <w:jc w:val="left"/>
        <w:textAlignment w:val="auto"/>
        <w:outlineLvl w:val="9"/>
        <w:rPr>
          <w:rFonts w:hint="eastAsia" w:ascii="宋体" w:hAnsi="宋体" w:eastAsia="宋体" w:cs="宋体"/>
          <w:color w:val="auto"/>
          <w:highlight w:val="none"/>
        </w:rPr>
      </w:pPr>
      <w:r>
        <w:rPr>
          <w:rFonts w:hint="eastAsia" w:ascii="宋体" w:hAnsi="宋体" w:eastAsia="宋体" w:cs="宋体"/>
          <w:color w:val="auto"/>
          <w:sz w:val="24"/>
          <w:highlight w:val="none"/>
        </w:rPr>
        <w:t>9.1 本采购文件是对</w:t>
      </w:r>
      <w:r>
        <w:rPr>
          <w:rFonts w:hint="eastAsia" w:ascii="宋体" w:hAnsi="宋体" w:cs="宋体"/>
          <w:color w:val="auto"/>
          <w:sz w:val="24"/>
          <w:highlight w:val="none"/>
          <w:lang w:eastAsia="zh-CN"/>
        </w:rPr>
        <w:t>国家税务总局克拉玛依市克拉玛依区税务局安保服务</w:t>
      </w:r>
      <w:r>
        <w:rPr>
          <w:rFonts w:hint="eastAsia" w:ascii="宋体" w:hAnsi="宋体" w:eastAsia="宋体" w:cs="宋体"/>
          <w:color w:val="auto"/>
          <w:sz w:val="24"/>
          <w:highlight w:val="none"/>
        </w:rPr>
        <w:t>公开程序、合同文本进行说明。采购文件包括下列内容：</w:t>
      </w:r>
    </w:p>
    <w:p w14:paraId="56D5EBA6">
      <w:pPr>
        <w:widowControl w:val="0"/>
        <w:wordWrap/>
        <w:adjustRightInd/>
        <w:snapToGrid/>
        <w:spacing w:line="360" w:lineRule="auto"/>
        <w:ind w:firstLine="480" w:firstLineChars="20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采购公告</w:t>
      </w:r>
    </w:p>
    <w:p w14:paraId="79AFA2EB">
      <w:pPr>
        <w:widowControl w:val="0"/>
        <w:wordWrap/>
        <w:adjustRightInd/>
        <w:snapToGrid/>
        <w:spacing w:line="360" w:lineRule="auto"/>
        <w:ind w:firstLine="480" w:firstLineChars="20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供应商须知</w:t>
      </w:r>
    </w:p>
    <w:p w14:paraId="41FD93FD">
      <w:pPr>
        <w:widowControl w:val="0"/>
        <w:wordWrap/>
        <w:adjustRightInd/>
        <w:snapToGrid/>
        <w:spacing w:line="360" w:lineRule="auto"/>
        <w:ind w:firstLine="480" w:firstLineChars="20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项目采购需求及合同主要条款</w:t>
      </w:r>
    </w:p>
    <w:p w14:paraId="60F9F647">
      <w:pPr>
        <w:widowControl w:val="0"/>
        <w:wordWrap/>
        <w:adjustRightInd/>
        <w:snapToGrid/>
        <w:spacing w:line="360" w:lineRule="auto"/>
        <w:ind w:firstLine="480" w:firstLineChars="20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响应文件格式</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p>
    <w:p w14:paraId="4D6674B7">
      <w:pPr>
        <w:widowControl w:val="0"/>
        <w:wordWrap/>
        <w:adjustRightInd/>
        <w:snapToGrid/>
        <w:spacing w:line="360" w:lineRule="auto"/>
        <w:ind w:firstLine="480" w:firstLineChars="20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第五章  </w:t>
      </w:r>
      <w:r>
        <w:rPr>
          <w:rFonts w:hint="eastAsia" w:ascii="宋体" w:hAnsi="宋体" w:eastAsia="宋体" w:cs="宋体"/>
          <w:color w:val="auto"/>
          <w:sz w:val="24"/>
          <w:highlight w:val="none"/>
          <w:lang w:eastAsia="zh-CN"/>
        </w:rPr>
        <w:t>评审标准</w:t>
      </w:r>
      <w:r>
        <w:rPr>
          <w:rFonts w:hint="eastAsia" w:ascii="宋体" w:hAnsi="宋体" w:eastAsia="宋体" w:cs="宋体"/>
          <w:color w:val="auto"/>
          <w:sz w:val="24"/>
          <w:highlight w:val="none"/>
        </w:rPr>
        <w:t>（综合评分法）</w:t>
      </w:r>
    </w:p>
    <w:p w14:paraId="5FDB42FB">
      <w:pPr>
        <w:pStyle w:val="33"/>
        <w:widowControl w:val="0"/>
        <w:wordWrap/>
        <w:adjustRightInd/>
        <w:snapToGrid/>
        <w:spacing w:line="360" w:lineRule="auto"/>
        <w:ind w:firstLine="480" w:firstLineChars="20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9.2 采购文件以中文编印，以中文文本为准。</w:t>
      </w:r>
    </w:p>
    <w:p w14:paraId="0CC42BF1">
      <w:pPr>
        <w:pStyle w:val="33"/>
        <w:widowControl w:val="0"/>
        <w:wordWrap/>
        <w:adjustRightInd/>
        <w:snapToGrid/>
        <w:spacing w:line="360" w:lineRule="auto"/>
        <w:ind w:firstLine="480" w:firstLineChars="20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9.3 除非有特殊要求，采购文件不单独提供</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项目使用地的自然环境、气候条件、劳动力及公用设施等情况，供应商被视为熟悉上述条件或若成交履行合同有关的一切情况。</w:t>
      </w:r>
    </w:p>
    <w:p w14:paraId="2932A5FB">
      <w:pPr>
        <w:pStyle w:val="33"/>
        <w:widowControl w:val="0"/>
        <w:wordWrap/>
        <w:adjustRightInd/>
        <w:snapToGrid/>
        <w:spacing w:line="360" w:lineRule="auto"/>
        <w:ind w:firstLine="480" w:firstLineChars="20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9.4采购人向供应商提供的有关数据和资料，是采购人现有的能被供应商利用的资料，供应商对此做出的推论、理解和结论自行负责。</w:t>
      </w:r>
    </w:p>
    <w:p w14:paraId="0DA4D600">
      <w:pPr>
        <w:pStyle w:val="33"/>
        <w:widowControl w:val="0"/>
        <w:wordWrap/>
        <w:adjustRightInd/>
        <w:snapToGrid/>
        <w:spacing w:line="360" w:lineRule="auto"/>
        <w:ind w:firstLine="480" w:firstLineChars="200"/>
        <w:jc w:val="left"/>
        <w:textAlignment w:val="auto"/>
        <w:outlineLvl w:val="9"/>
        <w:rPr>
          <w:rFonts w:hint="eastAsia" w:ascii="宋体" w:hAnsi="宋体" w:eastAsia="宋体" w:cs="宋体"/>
          <w:color w:val="auto"/>
          <w:sz w:val="24"/>
          <w:highlight w:val="none"/>
        </w:rPr>
      </w:pPr>
      <w:bookmarkStart w:id="45" w:name="_Toc233274820"/>
      <w:bookmarkStart w:id="46" w:name="_Toc245897280"/>
      <w:bookmarkStart w:id="47" w:name="_Toc243906320"/>
      <w:bookmarkStart w:id="48" w:name="_Toc243907580"/>
      <w:r>
        <w:rPr>
          <w:rFonts w:hint="eastAsia" w:ascii="宋体" w:hAnsi="宋体" w:eastAsia="宋体" w:cs="宋体"/>
          <w:color w:val="auto"/>
          <w:sz w:val="24"/>
          <w:highlight w:val="none"/>
        </w:rPr>
        <w:t>10、采购文件的澄清</w:t>
      </w:r>
      <w:bookmarkEnd w:id="45"/>
      <w:bookmarkEnd w:id="46"/>
      <w:bookmarkEnd w:id="47"/>
      <w:bookmarkEnd w:id="48"/>
    </w:p>
    <w:p w14:paraId="77AA6FE0">
      <w:pPr>
        <w:pStyle w:val="33"/>
        <w:widowControl w:val="0"/>
        <w:wordWrap/>
        <w:adjustRightInd/>
        <w:snapToGrid/>
        <w:spacing w:line="360" w:lineRule="auto"/>
        <w:ind w:firstLine="480" w:firstLineChars="20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10.1 供应商对磋商文件如有疑问，可要求澄清，应以书面形式（必须加盖供应商公章）</w:t>
      </w:r>
      <w:r>
        <w:rPr>
          <w:rFonts w:hint="eastAsia" w:ascii="宋体" w:hAnsi="宋体" w:eastAsia="宋体" w:cs="宋体"/>
          <w:color w:val="auto"/>
          <w:sz w:val="24"/>
          <w:szCs w:val="24"/>
          <w:highlight w:val="none"/>
        </w:rPr>
        <w:t>送达至新疆天麒工程项目管理咨询有限责任公司或发至603781401@qq.com。</w:t>
      </w:r>
      <w:r>
        <w:rPr>
          <w:rFonts w:hint="eastAsia" w:ascii="宋体" w:hAnsi="宋体" w:eastAsia="宋体" w:cs="宋体"/>
          <w:color w:val="auto"/>
          <w:sz w:val="24"/>
          <w:highlight w:val="none"/>
        </w:rPr>
        <w:t>采购人和采购代理机构将视情况以书面形式予以答复，并发至领取磋商文件的每位供应商。答复中包括所提问题，但不包括问题的来源。</w:t>
      </w:r>
    </w:p>
    <w:p w14:paraId="540C93FF">
      <w:pPr>
        <w:pStyle w:val="33"/>
        <w:widowControl w:val="0"/>
        <w:wordWrap/>
        <w:adjustRightInd/>
        <w:snapToGrid/>
        <w:spacing w:line="360" w:lineRule="auto"/>
        <w:ind w:firstLine="480" w:firstLineChars="20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10.2 如果上述答复涉及对采购文件的修改或补充，则它将被视为采购文件的组成部分。凡原先所发采购文件中的内容与答复中的内容不一致之处，以最后书面答复为准。任何电话或口头咨询和答复的意思解释均不具有法律约束力。</w:t>
      </w:r>
    </w:p>
    <w:p w14:paraId="30D213D7">
      <w:pPr>
        <w:pStyle w:val="33"/>
        <w:widowControl w:val="0"/>
        <w:wordWrap/>
        <w:adjustRightInd/>
        <w:snapToGrid/>
        <w:spacing w:line="360" w:lineRule="auto"/>
        <w:ind w:firstLine="480" w:firstLineChars="200"/>
        <w:jc w:val="left"/>
        <w:textAlignment w:val="auto"/>
        <w:outlineLvl w:val="9"/>
        <w:rPr>
          <w:rFonts w:hint="eastAsia" w:ascii="宋体" w:hAnsi="宋体" w:eastAsia="宋体" w:cs="宋体"/>
          <w:color w:val="auto"/>
          <w:sz w:val="24"/>
          <w:highlight w:val="none"/>
        </w:rPr>
      </w:pPr>
      <w:bookmarkStart w:id="49" w:name="_Toc243906321"/>
      <w:bookmarkStart w:id="50" w:name="_Toc245897281"/>
      <w:bookmarkStart w:id="51" w:name="_Toc243907581"/>
      <w:bookmarkStart w:id="52" w:name="_Toc233274821"/>
      <w:r>
        <w:rPr>
          <w:rFonts w:hint="eastAsia" w:ascii="宋体" w:hAnsi="宋体" w:eastAsia="宋体" w:cs="宋体"/>
          <w:color w:val="auto"/>
          <w:sz w:val="24"/>
          <w:highlight w:val="none"/>
        </w:rPr>
        <w:t>11、采购文件的修改和补充</w:t>
      </w:r>
      <w:r>
        <w:rPr>
          <w:rFonts w:hint="eastAsia" w:ascii="宋体" w:hAnsi="宋体" w:eastAsia="宋体" w:cs="宋体"/>
          <w:color w:val="auto"/>
          <w:sz w:val="24"/>
          <w:highlight w:val="none"/>
        </w:rPr>
        <w:tab/>
      </w:r>
    </w:p>
    <w:p w14:paraId="74918B43">
      <w:pPr>
        <w:pStyle w:val="33"/>
        <w:widowControl w:val="0"/>
        <w:wordWrap/>
        <w:adjustRightInd/>
        <w:snapToGrid/>
        <w:spacing w:line="360" w:lineRule="auto"/>
        <w:ind w:firstLine="480" w:firstLineChars="20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11.1</w:t>
      </w:r>
      <w:r>
        <w:rPr>
          <w:rFonts w:hint="eastAsia" w:hAnsi="宋体" w:cs="宋体"/>
          <w:color w:val="auto"/>
          <w:sz w:val="24"/>
          <w:highlight w:val="none"/>
        </w:rPr>
        <w:t>在递交响应文件截止日期</w:t>
      </w:r>
      <w:r>
        <w:rPr>
          <w:rFonts w:hint="eastAsia" w:hAnsi="宋体" w:cs="宋体"/>
          <w:color w:val="auto"/>
          <w:sz w:val="24"/>
          <w:highlight w:val="none"/>
          <w:lang w:val="en-US" w:eastAsia="zh-CN"/>
        </w:rPr>
        <w:t>5</w:t>
      </w:r>
      <w:r>
        <w:rPr>
          <w:rFonts w:hint="eastAsia" w:hAnsi="宋体" w:cs="宋体"/>
          <w:color w:val="auto"/>
          <w:sz w:val="24"/>
          <w:highlight w:val="none"/>
        </w:rPr>
        <w:t>日前的任何时候，采购人可主动地或依据供应商要求澄清的疑问而修改、补充磋商文件，采购代理机构将对修改和补充的内容以书面形式发至所有获取磋商文件的每位供应商，修改和补充文件将作为磋商文件的组成部分，对所有供应商具有约束力。</w:t>
      </w:r>
    </w:p>
    <w:bookmarkEnd w:id="49"/>
    <w:bookmarkEnd w:id="50"/>
    <w:bookmarkEnd w:id="51"/>
    <w:bookmarkEnd w:id="52"/>
    <w:p w14:paraId="08A15332">
      <w:pPr>
        <w:pStyle w:val="33"/>
        <w:spacing w:line="360" w:lineRule="auto"/>
        <w:ind w:firstLine="480" w:firstLineChars="200"/>
        <w:rPr>
          <w:rFonts w:hint="eastAsia" w:hAnsi="宋体" w:cs="宋体"/>
          <w:color w:val="auto"/>
          <w:sz w:val="24"/>
          <w:highlight w:val="none"/>
        </w:rPr>
      </w:pPr>
      <w:bookmarkStart w:id="53" w:name="_Toc233274822"/>
      <w:bookmarkStart w:id="54" w:name="_Toc243907582"/>
      <w:bookmarkStart w:id="55" w:name="_Toc246216191"/>
      <w:bookmarkStart w:id="56" w:name="_Toc243906322"/>
      <w:bookmarkStart w:id="57" w:name="_Toc154996580"/>
      <w:r>
        <w:rPr>
          <w:rFonts w:hint="eastAsia" w:hAnsi="宋体" w:cs="宋体"/>
          <w:color w:val="auto"/>
          <w:sz w:val="24"/>
          <w:highlight w:val="none"/>
        </w:rPr>
        <w:t>11.2为使供应商在准备响应文件时有合理的时间考虑磋商文件的修改或补充，采购代理机构可延长递交响应文件截止时间和开启时间，但至少应当在规定的递交响应文件的截止时间</w:t>
      </w:r>
      <w:r>
        <w:rPr>
          <w:rFonts w:hint="eastAsia" w:hAnsi="宋体" w:cs="宋体"/>
          <w:color w:val="auto"/>
          <w:sz w:val="24"/>
          <w:highlight w:val="none"/>
          <w:u w:val="single"/>
          <w:lang w:val="en-US" w:eastAsia="zh-CN"/>
        </w:rPr>
        <w:t>5</w:t>
      </w:r>
      <w:r>
        <w:rPr>
          <w:rFonts w:hint="eastAsia" w:hAnsi="宋体" w:cs="宋体"/>
          <w:color w:val="auto"/>
          <w:sz w:val="24"/>
          <w:highlight w:val="none"/>
        </w:rPr>
        <w:t>日前，以书面形式通知所有领取磋商文件的每位供应商，不足</w:t>
      </w:r>
      <w:r>
        <w:rPr>
          <w:rFonts w:hint="eastAsia" w:hAnsi="宋体" w:cs="宋体"/>
          <w:color w:val="auto"/>
          <w:sz w:val="24"/>
          <w:highlight w:val="none"/>
          <w:lang w:val="en-US" w:eastAsia="zh-CN"/>
        </w:rPr>
        <w:t>5</w:t>
      </w:r>
      <w:r>
        <w:rPr>
          <w:rFonts w:hint="eastAsia" w:hAnsi="宋体" w:cs="宋体"/>
          <w:color w:val="auto"/>
          <w:sz w:val="24"/>
          <w:highlight w:val="none"/>
        </w:rPr>
        <w:t>日的，应当顺延提交响应文件截止日期。</w:t>
      </w:r>
    </w:p>
    <w:p w14:paraId="286FF3C6">
      <w:pPr>
        <w:pStyle w:val="33"/>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11.3供应商在每次收到采购代理机构发至的书面文件后，应在收到后24小时内以书面形式并加盖供应商公章予以确认。</w:t>
      </w:r>
    </w:p>
    <w:p w14:paraId="0E6E44A5">
      <w:pPr>
        <w:pStyle w:val="33"/>
        <w:wordWrap/>
        <w:spacing w:line="360" w:lineRule="auto"/>
        <w:jc w:val="center"/>
        <w:outlineLvl w:val="1"/>
        <w:rPr>
          <w:rFonts w:hint="eastAsia" w:ascii="宋体" w:hAnsi="宋体" w:eastAsia="宋体" w:cs="宋体"/>
          <w:b/>
          <w:bCs/>
          <w:color w:val="auto"/>
          <w:sz w:val="28"/>
          <w:szCs w:val="28"/>
          <w:highlight w:val="none"/>
        </w:rPr>
      </w:pPr>
    </w:p>
    <w:p w14:paraId="24DF5AA3">
      <w:pPr>
        <w:pStyle w:val="33"/>
        <w:wordWrap/>
        <w:spacing w:line="360" w:lineRule="auto"/>
        <w:ind w:firstLine="562" w:firstLineChars="200"/>
        <w:jc w:val="cente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   C 响应文件的编写</w:t>
      </w:r>
      <w:bookmarkEnd w:id="53"/>
      <w:bookmarkEnd w:id="54"/>
      <w:bookmarkEnd w:id="55"/>
      <w:bookmarkEnd w:id="56"/>
    </w:p>
    <w:p w14:paraId="5820BBD8">
      <w:pPr>
        <w:pStyle w:val="33"/>
        <w:wordWrap/>
        <w:spacing w:line="360" w:lineRule="auto"/>
        <w:ind w:firstLine="480" w:firstLineChars="200"/>
        <w:rPr>
          <w:rFonts w:hint="eastAsia" w:ascii="宋体" w:hAnsi="宋体" w:eastAsia="宋体" w:cs="宋体"/>
          <w:color w:val="auto"/>
          <w:sz w:val="24"/>
          <w:highlight w:val="none"/>
        </w:rPr>
      </w:pPr>
    </w:p>
    <w:p w14:paraId="636E3268">
      <w:pPr>
        <w:pStyle w:val="33"/>
        <w:widowControl w:val="0"/>
        <w:wordWrap/>
        <w:adjustRightInd/>
        <w:snapToGrid/>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bookmarkStart w:id="58" w:name="_Toc233274823"/>
      <w:bookmarkStart w:id="59" w:name="_Toc243906323"/>
      <w:bookmarkStart w:id="60" w:name="_Toc243907583"/>
      <w:bookmarkStart w:id="61" w:name="_Toc245897283"/>
      <w:r>
        <w:rPr>
          <w:rFonts w:hint="eastAsia" w:ascii="宋体" w:hAnsi="宋体" w:eastAsia="宋体" w:cs="宋体"/>
          <w:color w:val="auto"/>
          <w:sz w:val="24"/>
          <w:szCs w:val="24"/>
          <w:highlight w:val="none"/>
        </w:rPr>
        <w:t>1</w:t>
      </w:r>
      <w:bookmarkEnd w:id="58"/>
      <w:r>
        <w:rPr>
          <w:rFonts w:hint="eastAsia" w:ascii="宋体" w:hAnsi="宋体" w:eastAsia="宋体" w:cs="宋体"/>
          <w:color w:val="auto"/>
          <w:sz w:val="24"/>
          <w:szCs w:val="24"/>
          <w:highlight w:val="none"/>
        </w:rPr>
        <w:t>2、响应文件的编写</w:t>
      </w:r>
      <w:bookmarkEnd w:id="59"/>
      <w:bookmarkEnd w:id="60"/>
      <w:bookmarkEnd w:id="61"/>
    </w:p>
    <w:p w14:paraId="3456637D">
      <w:pPr>
        <w:widowControl w:val="0"/>
        <w:wordWrap/>
        <w:adjustRightInd/>
        <w:snapToGrid/>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供应商必须详细阅读采购文件的章、节、条款、格式等所有内容，按采购文件的要求提交响应文件，并保证所提供的全部文件及相关资料的真实性，以使其对采购文件做出实质性投标。供应商应仔细阅读并充分理解采购文件、技术规范及标准、项目采购需求及合同主要条款后</w:t>
      </w:r>
      <w:r>
        <w:rPr>
          <w:rFonts w:hint="eastAsia" w:ascii="宋体" w:hAnsi="宋体" w:eastAsia="宋体" w:cs="宋体"/>
          <w:b/>
          <w:color w:val="auto"/>
          <w:sz w:val="24"/>
          <w:szCs w:val="24"/>
          <w:highlight w:val="none"/>
        </w:rPr>
        <w:t>编制响应文件</w:t>
      </w:r>
      <w:r>
        <w:rPr>
          <w:rFonts w:hint="eastAsia" w:ascii="宋体" w:hAnsi="宋体" w:eastAsia="宋体" w:cs="宋体"/>
          <w:color w:val="auto"/>
          <w:sz w:val="24"/>
          <w:szCs w:val="24"/>
          <w:highlight w:val="none"/>
        </w:rPr>
        <w:t>。</w:t>
      </w:r>
    </w:p>
    <w:p w14:paraId="226960A3">
      <w:pPr>
        <w:pStyle w:val="33"/>
        <w:widowControl w:val="0"/>
        <w:wordWrap/>
        <w:adjustRightInd/>
        <w:snapToGrid/>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bookmarkStart w:id="62" w:name="_Toc245897284"/>
      <w:bookmarkStart w:id="63" w:name="_Toc243906324"/>
      <w:bookmarkStart w:id="64" w:name="_Toc243907584"/>
      <w:bookmarkStart w:id="65" w:name="_Toc233274824"/>
      <w:r>
        <w:rPr>
          <w:rFonts w:hint="eastAsia" w:ascii="宋体" w:hAnsi="宋体" w:eastAsia="宋体" w:cs="宋体"/>
          <w:color w:val="auto"/>
          <w:sz w:val="24"/>
          <w:szCs w:val="24"/>
          <w:highlight w:val="none"/>
        </w:rPr>
        <w:t>13、响应文件的语言及计量单位</w:t>
      </w:r>
      <w:bookmarkEnd w:id="62"/>
      <w:bookmarkEnd w:id="63"/>
      <w:bookmarkEnd w:id="64"/>
      <w:bookmarkEnd w:id="65"/>
    </w:p>
    <w:p w14:paraId="6989A0FC">
      <w:pPr>
        <w:pStyle w:val="33"/>
        <w:widowControl w:val="0"/>
        <w:wordWrap/>
        <w:adjustRightInd/>
        <w:snapToGrid/>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响应文件及供应商和采购人及采购代理机构就有关磋商的所有文件和来往函件，应以中文书写。供应商可以提交用其他语言（原文）打印的资料，但必须翻译成中文，当原文和译文（中文）之间存有差异和/或矛盾时，以中文为准。</w:t>
      </w:r>
    </w:p>
    <w:p w14:paraId="1F1D0633">
      <w:pPr>
        <w:pStyle w:val="33"/>
        <w:widowControl w:val="0"/>
        <w:wordWrap/>
        <w:adjustRightInd/>
        <w:snapToGrid/>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除在采购文件的项目采购需求中另有规定外，计量单位应使用中华人民共和国法定计量单位（国际单位制和国家选定的其它计量单位）。如供应商采用其它计量单位，需事先得到采购人的同意。</w:t>
      </w:r>
    </w:p>
    <w:p w14:paraId="50686D0B">
      <w:pPr>
        <w:pStyle w:val="33"/>
        <w:widowControl w:val="0"/>
        <w:wordWrap/>
        <w:adjustRightInd/>
        <w:snapToGrid/>
        <w:spacing w:line="360" w:lineRule="auto"/>
        <w:ind w:left="0" w:firstLine="482" w:firstLineChars="200"/>
        <w:jc w:val="left"/>
        <w:textAlignment w:val="auto"/>
        <w:outlineLvl w:val="9"/>
        <w:rPr>
          <w:rFonts w:hint="eastAsia" w:ascii="宋体" w:hAnsi="宋体" w:eastAsia="宋体" w:cs="宋体"/>
          <w:b/>
          <w:color w:val="auto"/>
          <w:w w:val="100"/>
          <w:sz w:val="24"/>
          <w:highlight w:val="none"/>
        </w:rPr>
      </w:pPr>
      <w:bookmarkStart w:id="66" w:name="_Toc233274825"/>
      <w:bookmarkStart w:id="67" w:name="_Toc245897285"/>
      <w:bookmarkStart w:id="68" w:name="_Toc243907585"/>
      <w:bookmarkStart w:id="69" w:name="_Toc243906325"/>
      <w:r>
        <w:rPr>
          <w:rFonts w:hint="eastAsia" w:ascii="宋体" w:hAnsi="宋体" w:eastAsia="宋体" w:cs="宋体"/>
          <w:b/>
          <w:color w:val="auto"/>
          <w:sz w:val="24"/>
          <w:szCs w:val="24"/>
          <w:highlight w:val="none"/>
        </w:rPr>
        <w:t>14、</w:t>
      </w:r>
      <w:bookmarkEnd w:id="66"/>
      <w:bookmarkEnd w:id="67"/>
      <w:bookmarkEnd w:id="68"/>
      <w:bookmarkEnd w:id="69"/>
      <w:r>
        <w:rPr>
          <w:rFonts w:hint="eastAsia" w:ascii="宋体" w:hAnsi="宋体" w:eastAsia="宋体" w:cs="宋体"/>
          <w:b/>
          <w:color w:val="auto"/>
          <w:sz w:val="24"/>
          <w:szCs w:val="24"/>
          <w:highlight w:val="none"/>
        </w:rPr>
        <w:t>响应文件的组成：</w:t>
      </w:r>
      <w:r>
        <w:rPr>
          <w:rFonts w:hint="eastAsia" w:ascii="宋体" w:hAnsi="宋体" w:eastAsia="宋体" w:cs="宋体"/>
          <w:b/>
          <w:color w:val="auto"/>
          <w:w w:val="100"/>
          <w:sz w:val="24"/>
          <w:highlight w:val="none"/>
          <w:lang w:eastAsia="zh-CN"/>
        </w:rPr>
        <w:t>一式肆份</w:t>
      </w:r>
      <w:r>
        <w:rPr>
          <w:rFonts w:hint="eastAsia" w:ascii="宋体" w:hAnsi="宋体" w:eastAsia="宋体" w:cs="宋体"/>
          <w:b/>
          <w:color w:val="auto"/>
          <w:w w:val="100"/>
          <w:sz w:val="24"/>
          <w:highlight w:val="none"/>
        </w:rPr>
        <w:t>，其中正本壹份，副本</w:t>
      </w:r>
      <w:r>
        <w:rPr>
          <w:rFonts w:hint="eastAsia" w:ascii="宋体" w:hAnsi="宋体" w:eastAsia="宋体" w:cs="宋体"/>
          <w:b/>
          <w:color w:val="auto"/>
          <w:w w:val="100"/>
          <w:sz w:val="24"/>
          <w:highlight w:val="none"/>
          <w:lang w:val="en-US" w:eastAsia="zh-CN"/>
        </w:rPr>
        <w:t>叁</w:t>
      </w:r>
      <w:r>
        <w:rPr>
          <w:rFonts w:hint="eastAsia" w:ascii="宋体" w:hAnsi="宋体" w:eastAsia="宋体" w:cs="宋体"/>
          <w:b/>
          <w:color w:val="auto"/>
          <w:w w:val="100"/>
          <w:sz w:val="24"/>
          <w:highlight w:val="none"/>
        </w:rPr>
        <w:t>份，</w:t>
      </w:r>
      <w:r>
        <w:rPr>
          <w:rFonts w:hint="eastAsia" w:hAnsi="宋体" w:cs="宋体"/>
          <w:b/>
          <w:color w:val="auto"/>
          <w:w w:val="100"/>
          <w:sz w:val="24"/>
          <w:highlight w:val="none"/>
          <w:lang w:val="en-US" w:eastAsia="zh-CN"/>
        </w:rPr>
        <w:t>电子版壹份，</w:t>
      </w:r>
      <w:r>
        <w:rPr>
          <w:rFonts w:hint="eastAsia" w:ascii="宋体" w:hAnsi="宋体" w:eastAsia="宋体" w:cs="宋体"/>
          <w:b/>
          <w:color w:val="auto"/>
          <w:w w:val="100"/>
          <w:sz w:val="24"/>
          <w:highlight w:val="none"/>
        </w:rPr>
        <w:t>需编制目录及页码，在每一份响应文件上要明确注明“正本”或“副本”字样，如正、副本之间有差异，以正本为准。</w:t>
      </w:r>
    </w:p>
    <w:p w14:paraId="77ADDA31">
      <w:pPr>
        <w:pStyle w:val="33"/>
        <w:widowControl w:val="0"/>
        <w:wordWrap/>
        <w:adjustRightInd/>
        <w:snapToGrid/>
        <w:spacing w:line="360" w:lineRule="auto"/>
        <w:ind w:left="0" w:firstLine="482" w:firstLineChars="200"/>
        <w:jc w:val="left"/>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各供应商应对照第三章“</w:t>
      </w:r>
      <w:r>
        <w:rPr>
          <w:rFonts w:hint="eastAsia" w:ascii="宋体" w:hAnsi="宋体" w:eastAsia="宋体" w:cs="宋体"/>
          <w:color w:val="auto"/>
          <w:sz w:val="24"/>
          <w:szCs w:val="24"/>
          <w:highlight w:val="none"/>
        </w:rPr>
        <w:t>项目采购需求及合同主要条款</w:t>
      </w:r>
      <w:r>
        <w:rPr>
          <w:rFonts w:hint="eastAsia" w:ascii="宋体" w:hAnsi="宋体" w:eastAsia="宋体" w:cs="宋体"/>
          <w:b/>
          <w:color w:val="auto"/>
          <w:sz w:val="24"/>
          <w:szCs w:val="24"/>
          <w:highlight w:val="none"/>
        </w:rPr>
        <w:t>”及第五章“</w:t>
      </w:r>
      <w:r>
        <w:rPr>
          <w:rFonts w:hint="eastAsia" w:ascii="宋体" w:hAnsi="宋体" w:eastAsia="宋体" w:cs="宋体"/>
          <w:b/>
          <w:color w:val="auto"/>
          <w:sz w:val="24"/>
          <w:szCs w:val="24"/>
          <w:highlight w:val="none"/>
          <w:lang w:eastAsia="zh-CN"/>
        </w:rPr>
        <w:t>评审标准</w:t>
      </w:r>
      <w:r>
        <w:rPr>
          <w:rFonts w:hint="eastAsia" w:ascii="宋体" w:hAnsi="宋体" w:eastAsia="宋体" w:cs="宋体"/>
          <w:b/>
          <w:color w:val="auto"/>
          <w:sz w:val="24"/>
          <w:szCs w:val="24"/>
          <w:highlight w:val="none"/>
        </w:rPr>
        <w:t>（综合评分法）”提供必要的证明资料，响应文件应包括以下内容（但不限于以下内容）：</w:t>
      </w:r>
    </w:p>
    <w:p w14:paraId="2B154CDC">
      <w:pPr>
        <w:keepNext w:val="0"/>
        <w:keepLines w:val="0"/>
        <w:pageBreakBefore w:val="0"/>
        <w:widowControl w:val="0"/>
        <w:numPr>
          <w:ilvl w:val="0"/>
          <w:numId w:val="2"/>
        </w:numPr>
        <w:tabs>
          <w:tab w:val="left" w:pos="360"/>
        </w:tabs>
        <w:kinsoku/>
        <w:wordWrap/>
        <w:overflowPunct/>
        <w:topLinePunct w:val="0"/>
        <w:autoSpaceDE/>
        <w:autoSpaceDN/>
        <w:bidi w:val="0"/>
        <w:adjustRightInd/>
        <w:spacing w:line="360" w:lineRule="auto"/>
        <w:ind w:left="0" w:leftChars="0" w:firstLine="420" w:firstLineChars="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响应文件封面；</w:t>
      </w:r>
    </w:p>
    <w:p w14:paraId="4E81AB23">
      <w:pPr>
        <w:keepNext w:val="0"/>
        <w:keepLines w:val="0"/>
        <w:pageBreakBefore w:val="0"/>
        <w:widowControl w:val="0"/>
        <w:numPr>
          <w:ilvl w:val="0"/>
          <w:numId w:val="2"/>
        </w:numPr>
        <w:tabs>
          <w:tab w:val="left" w:pos="360"/>
        </w:tabs>
        <w:kinsoku/>
        <w:wordWrap/>
        <w:overflowPunct/>
        <w:topLinePunct w:val="0"/>
        <w:autoSpaceDE/>
        <w:autoSpaceDN/>
        <w:bidi w:val="0"/>
        <w:adjustRightInd/>
        <w:spacing w:line="360" w:lineRule="auto"/>
        <w:ind w:left="0" w:leftChars="0" w:firstLine="420" w:firstLineChars="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响应函（详见格式1）；</w:t>
      </w:r>
    </w:p>
    <w:p w14:paraId="25D50725">
      <w:pPr>
        <w:keepNext w:val="0"/>
        <w:keepLines w:val="0"/>
        <w:pageBreakBefore w:val="0"/>
        <w:widowControl w:val="0"/>
        <w:numPr>
          <w:ilvl w:val="0"/>
          <w:numId w:val="2"/>
        </w:numPr>
        <w:tabs>
          <w:tab w:val="left" w:pos="360"/>
        </w:tabs>
        <w:kinsoku/>
        <w:wordWrap/>
        <w:overflowPunct/>
        <w:topLinePunct w:val="0"/>
        <w:autoSpaceDE/>
        <w:autoSpaceDN/>
        <w:bidi w:val="0"/>
        <w:adjustRightInd/>
        <w:spacing w:line="360" w:lineRule="auto"/>
        <w:ind w:left="0" w:leftChars="0" w:firstLine="420" w:firstLineChars="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法定代表人资格证明书（详见格式2）；</w:t>
      </w:r>
    </w:p>
    <w:p w14:paraId="7FE5B2D8">
      <w:pPr>
        <w:keepNext w:val="0"/>
        <w:keepLines w:val="0"/>
        <w:pageBreakBefore w:val="0"/>
        <w:widowControl w:val="0"/>
        <w:numPr>
          <w:ilvl w:val="0"/>
          <w:numId w:val="2"/>
        </w:numPr>
        <w:tabs>
          <w:tab w:val="left" w:pos="360"/>
        </w:tabs>
        <w:kinsoku/>
        <w:wordWrap/>
        <w:overflowPunct/>
        <w:topLinePunct w:val="0"/>
        <w:autoSpaceDE/>
        <w:autoSpaceDN/>
        <w:bidi w:val="0"/>
        <w:adjustRightInd/>
        <w:spacing w:line="360" w:lineRule="auto"/>
        <w:ind w:left="0" w:leftChars="0" w:firstLine="420" w:firstLineChars="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法定代表人授权书（详见格式3）；</w:t>
      </w:r>
    </w:p>
    <w:p w14:paraId="0DF65818">
      <w:pPr>
        <w:keepNext w:val="0"/>
        <w:keepLines w:val="0"/>
        <w:pageBreakBefore w:val="0"/>
        <w:widowControl w:val="0"/>
        <w:numPr>
          <w:ilvl w:val="0"/>
          <w:numId w:val="2"/>
        </w:numPr>
        <w:kinsoku/>
        <w:wordWrap/>
        <w:overflowPunct/>
        <w:topLinePunct w:val="0"/>
        <w:autoSpaceDE/>
        <w:autoSpaceDN/>
        <w:bidi w:val="0"/>
        <w:adjustRightInd/>
        <w:spacing w:line="360" w:lineRule="auto"/>
        <w:ind w:left="0" w:leftChars="0" w:firstLine="420" w:firstLineChars="0"/>
        <w:jc w:val="left"/>
        <w:textAlignment w:val="auto"/>
        <w:rPr>
          <w:rFonts w:hint="eastAsia" w:ascii="宋体" w:hAnsi="宋体" w:cs="宋体"/>
          <w:color w:val="auto"/>
          <w:sz w:val="24"/>
          <w:highlight w:val="none"/>
        </w:rPr>
      </w:pPr>
      <w:r>
        <w:rPr>
          <w:rFonts w:hint="eastAsia" w:ascii="宋体" w:hAnsi="宋体" w:cs="宋体"/>
          <w:color w:val="auto"/>
          <w:sz w:val="24"/>
          <w:highlight w:val="none"/>
        </w:rPr>
        <w:t>供应商资格声明（详见格式4）；</w:t>
      </w:r>
    </w:p>
    <w:p w14:paraId="507B372A">
      <w:pPr>
        <w:keepNext w:val="0"/>
        <w:keepLines w:val="0"/>
        <w:pageBreakBefore w:val="0"/>
        <w:widowControl w:val="0"/>
        <w:numPr>
          <w:ilvl w:val="0"/>
          <w:numId w:val="2"/>
        </w:numPr>
        <w:tabs>
          <w:tab w:val="left" w:pos="360"/>
        </w:tabs>
        <w:kinsoku/>
        <w:wordWrap/>
        <w:overflowPunct/>
        <w:topLinePunct w:val="0"/>
        <w:autoSpaceDE/>
        <w:autoSpaceDN/>
        <w:bidi w:val="0"/>
        <w:adjustRightInd/>
        <w:spacing w:line="360" w:lineRule="auto"/>
        <w:ind w:left="0" w:leftChars="0" w:firstLine="420" w:firstLineChars="0"/>
        <w:jc w:val="left"/>
        <w:textAlignment w:val="auto"/>
        <w:rPr>
          <w:rFonts w:hint="eastAsia" w:ascii="宋体" w:hAnsi="宋体" w:cs="宋体"/>
          <w:color w:val="auto"/>
          <w:sz w:val="24"/>
          <w:highlight w:val="none"/>
        </w:rPr>
      </w:pPr>
      <w:r>
        <w:rPr>
          <w:rFonts w:hint="eastAsia" w:ascii="宋体" w:hAnsi="宋体" w:cs="宋体"/>
          <w:b/>
          <w:color w:val="auto"/>
          <w:sz w:val="24"/>
          <w:highlight w:val="none"/>
        </w:rPr>
        <w:t>政府采购领域诚信承诺书</w:t>
      </w:r>
      <w:r>
        <w:rPr>
          <w:rFonts w:hint="eastAsia" w:ascii="宋体" w:hAnsi="宋体" w:cs="宋体"/>
          <w:color w:val="auto"/>
          <w:sz w:val="24"/>
          <w:highlight w:val="none"/>
        </w:rPr>
        <w:t>（详见格式5）</w:t>
      </w:r>
    </w:p>
    <w:p w14:paraId="1A07093A">
      <w:pPr>
        <w:keepNext w:val="0"/>
        <w:keepLines w:val="0"/>
        <w:pageBreakBefore w:val="0"/>
        <w:widowControl w:val="0"/>
        <w:numPr>
          <w:ilvl w:val="0"/>
          <w:numId w:val="2"/>
        </w:numPr>
        <w:tabs>
          <w:tab w:val="left" w:pos="360"/>
        </w:tabs>
        <w:kinsoku/>
        <w:wordWrap/>
        <w:overflowPunct/>
        <w:topLinePunct w:val="0"/>
        <w:autoSpaceDE/>
        <w:autoSpaceDN/>
        <w:bidi w:val="0"/>
        <w:adjustRightInd/>
        <w:spacing w:line="360" w:lineRule="auto"/>
        <w:ind w:left="0" w:leftChars="0" w:firstLine="420" w:firstLineChars="0"/>
        <w:jc w:val="left"/>
        <w:textAlignment w:val="auto"/>
        <w:rPr>
          <w:rFonts w:hint="eastAsia" w:ascii="宋体" w:hAnsi="宋体" w:cs="宋体"/>
          <w:color w:val="auto"/>
          <w:sz w:val="24"/>
          <w:highlight w:val="none"/>
        </w:rPr>
      </w:pPr>
      <w:r>
        <w:rPr>
          <w:rFonts w:hint="eastAsia" w:ascii="宋体" w:hAnsi="宋体" w:cs="宋体"/>
          <w:color w:val="auto"/>
          <w:sz w:val="24"/>
          <w:highlight w:val="none"/>
        </w:rPr>
        <w:t>中小企业声明函（详见格式6）</w:t>
      </w:r>
    </w:p>
    <w:p w14:paraId="49A365AD">
      <w:pPr>
        <w:keepNext w:val="0"/>
        <w:keepLines w:val="0"/>
        <w:pageBreakBefore w:val="0"/>
        <w:widowControl w:val="0"/>
        <w:numPr>
          <w:ilvl w:val="0"/>
          <w:numId w:val="2"/>
        </w:numPr>
        <w:kinsoku/>
        <w:wordWrap/>
        <w:overflowPunct/>
        <w:topLinePunct w:val="0"/>
        <w:autoSpaceDE/>
        <w:autoSpaceDN/>
        <w:bidi w:val="0"/>
        <w:adjustRightInd/>
        <w:spacing w:line="360" w:lineRule="auto"/>
        <w:ind w:left="0" w:leftChars="0" w:firstLine="420" w:firstLineChars="0"/>
        <w:jc w:val="left"/>
        <w:textAlignment w:val="auto"/>
        <w:rPr>
          <w:rFonts w:hint="eastAsia" w:ascii="宋体" w:hAnsi="宋体" w:cs="宋体"/>
          <w:b/>
          <w:bCs/>
          <w:color w:val="auto"/>
          <w:sz w:val="24"/>
          <w:highlight w:val="none"/>
          <w:lang w:val="zh-CN"/>
        </w:rPr>
      </w:pPr>
      <w:r>
        <w:rPr>
          <w:rFonts w:hint="eastAsia" w:ascii="宋体" w:hAnsi="宋体" w:cs="宋体"/>
          <w:b/>
          <w:bCs/>
          <w:color w:val="auto"/>
          <w:sz w:val="24"/>
          <w:highlight w:val="none"/>
          <w:lang w:val="zh-CN"/>
        </w:rPr>
        <w:t>有效期内的营业执照（复印件）；</w:t>
      </w:r>
    </w:p>
    <w:p w14:paraId="26AB841D">
      <w:pPr>
        <w:keepNext w:val="0"/>
        <w:keepLines w:val="0"/>
        <w:pageBreakBefore w:val="0"/>
        <w:widowControl w:val="0"/>
        <w:numPr>
          <w:ilvl w:val="0"/>
          <w:numId w:val="2"/>
        </w:numPr>
        <w:kinsoku/>
        <w:wordWrap/>
        <w:overflowPunct/>
        <w:topLinePunct w:val="0"/>
        <w:autoSpaceDE/>
        <w:autoSpaceDN/>
        <w:bidi w:val="0"/>
        <w:adjustRightInd/>
        <w:spacing w:line="360" w:lineRule="auto"/>
        <w:ind w:left="0" w:leftChars="0" w:firstLine="420" w:firstLineChars="0"/>
        <w:jc w:val="left"/>
        <w:textAlignment w:val="auto"/>
        <w:rPr>
          <w:rFonts w:hint="eastAsia" w:ascii="宋体" w:hAnsi="宋体" w:cs="宋体"/>
          <w:color w:val="auto"/>
          <w:sz w:val="24"/>
          <w:highlight w:val="none"/>
        </w:rPr>
      </w:pPr>
      <w:r>
        <w:rPr>
          <w:rFonts w:hint="eastAsia" w:ascii="宋体" w:hAnsi="宋体" w:cs="宋体"/>
          <w:bCs/>
          <w:color w:val="auto"/>
          <w:sz w:val="24"/>
          <w:highlight w:val="none"/>
        </w:rPr>
        <w:t>商务报价一览表（首次）（详见格式7）；</w:t>
      </w:r>
    </w:p>
    <w:p w14:paraId="633B44E2">
      <w:pPr>
        <w:keepNext w:val="0"/>
        <w:keepLines w:val="0"/>
        <w:pageBreakBefore w:val="0"/>
        <w:widowControl w:val="0"/>
        <w:numPr>
          <w:ilvl w:val="0"/>
          <w:numId w:val="2"/>
        </w:numPr>
        <w:kinsoku/>
        <w:wordWrap/>
        <w:overflowPunct/>
        <w:topLinePunct w:val="0"/>
        <w:autoSpaceDE/>
        <w:autoSpaceDN/>
        <w:bidi w:val="0"/>
        <w:adjustRightInd/>
        <w:spacing w:line="360" w:lineRule="auto"/>
        <w:ind w:left="0" w:leftChars="0" w:firstLine="420" w:firstLineChars="0"/>
        <w:jc w:val="left"/>
        <w:textAlignment w:val="auto"/>
        <w:rPr>
          <w:rFonts w:hint="eastAsia" w:ascii="宋体" w:hAnsi="宋体" w:cs="宋体"/>
          <w:bCs/>
          <w:color w:val="auto"/>
          <w:sz w:val="24"/>
          <w:highlight w:val="none"/>
        </w:rPr>
      </w:pPr>
      <w:r>
        <w:rPr>
          <w:rFonts w:hint="eastAsia" w:ascii="宋体" w:hAnsi="宋体" w:cs="宋体"/>
          <w:bCs/>
          <w:color w:val="auto"/>
          <w:sz w:val="24"/>
          <w:highlight w:val="none"/>
        </w:rPr>
        <w:t>商务条款响应偏离表（详见格式8）；</w:t>
      </w:r>
    </w:p>
    <w:p w14:paraId="1E260CB1">
      <w:pPr>
        <w:keepNext w:val="0"/>
        <w:keepLines w:val="0"/>
        <w:pageBreakBefore w:val="0"/>
        <w:widowControl w:val="0"/>
        <w:numPr>
          <w:ilvl w:val="0"/>
          <w:numId w:val="2"/>
        </w:numPr>
        <w:kinsoku/>
        <w:wordWrap/>
        <w:overflowPunct/>
        <w:topLinePunct w:val="0"/>
        <w:autoSpaceDE/>
        <w:autoSpaceDN/>
        <w:bidi w:val="0"/>
        <w:adjustRightInd/>
        <w:spacing w:line="360" w:lineRule="auto"/>
        <w:ind w:left="0" w:leftChars="0" w:firstLine="420" w:firstLineChars="0"/>
        <w:jc w:val="left"/>
        <w:textAlignment w:val="auto"/>
        <w:rPr>
          <w:rFonts w:hint="eastAsia" w:ascii="宋体" w:hAnsi="宋体" w:cs="宋体"/>
          <w:color w:val="auto"/>
          <w:sz w:val="24"/>
          <w:highlight w:val="none"/>
        </w:rPr>
      </w:pPr>
      <w:r>
        <w:rPr>
          <w:rFonts w:hint="eastAsia" w:ascii="宋体" w:hAnsi="宋体" w:cs="宋体"/>
          <w:color w:val="auto"/>
          <w:sz w:val="24"/>
          <w:highlight w:val="none"/>
        </w:rPr>
        <w:t>项目主要管理人员表（详见格式9）；</w:t>
      </w:r>
    </w:p>
    <w:p w14:paraId="04CF4266">
      <w:pPr>
        <w:keepNext w:val="0"/>
        <w:keepLines w:val="0"/>
        <w:pageBreakBefore w:val="0"/>
        <w:widowControl w:val="0"/>
        <w:numPr>
          <w:ilvl w:val="0"/>
          <w:numId w:val="2"/>
        </w:numPr>
        <w:kinsoku/>
        <w:wordWrap/>
        <w:overflowPunct/>
        <w:topLinePunct w:val="0"/>
        <w:autoSpaceDE/>
        <w:autoSpaceDN/>
        <w:bidi w:val="0"/>
        <w:adjustRightInd/>
        <w:spacing w:line="360" w:lineRule="auto"/>
        <w:ind w:left="0" w:leftChars="0" w:firstLine="420" w:firstLineChars="0"/>
        <w:jc w:val="left"/>
        <w:textAlignment w:val="auto"/>
        <w:rPr>
          <w:rFonts w:hint="eastAsia" w:ascii="宋体" w:hAnsi="宋体" w:cs="宋体"/>
          <w:color w:val="auto"/>
          <w:sz w:val="24"/>
          <w:highlight w:val="none"/>
        </w:rPr>
      </w:pPr>
      <w:r>
        <w:rPr>
          <w:rFonts w:hint="eastAsia" w:ascii="宋体" w:hAnsi="宋体" w:cs="宋体"/>
          <w:color w:val="auto"/>
          <w:sz w:val="24"/>
          <w:highlight w:val="none"/>
        </w:rPr>
        <w:t>近三年（202</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年1月1日至今）同类项目业绩表（详见格式10）；</w:t>
      </w:r>
    </w:p>
    <w:p w14:paraId="374BD24F">
      <w:pPr>
        <w:keepNext w:val="0"/>
        <w:keepLines w:val="0"/>
        <w:pageBreakBefore w:val="0"/>
        <w:widowControl w:val="0"/>
        <w:numPr>
          <w:ilvl w:val="0"/>
          <w:numId w:val="2"/>
        </w:numPr>
        <w:kinsoku/>
        <w:wordWrap/>
        <w:overflowPunct/>
        <w:topLinePunct w:val="0"/>
        <w:autoSpaceDE/>
        <w:autoSpaceDN/>
        <w:bidi w:val="0"/>
        <w:adjustRightInd/>
        <w:spacing w:line="360" w:lineRule="auto"/>
        <w:ind w:left="0" w:leftChars="0" w:firstLine="420" w:firstLineChars="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zh-CN"/>
        </w:rPr>
        <w:t>技术条款响应偏离表（详见格式1</w:t>
      </w:r>
      <w:r>
        <w:rPr>
          <w:rFonts w:hint="eastAsia" w:ascii="宋体" w:hAnsi="宋体" w:cs="宋体"/>
          <w:color w:val="auto"/>
          <w:sz w:val="24"/>
          <w:highlight w:val="none"/>
        </w:rPr>
        <w:t>1</w:t>
      </w:r>
      <w:r>
        <w:rPr>
          <w:rFonts w:hint="eastAsia" w:ascii="宋体" w:hAnsi="宋体" w:cs="宋体"/>
          <w:color w:val="auto"/>
          <w:sz w:val="24"/>
          <w:highlight w:val="none"/>
          <w:lang w:val="zh-CN"/>
        </w:rPr>
        <w:t>）；</w:t>
      </w:r>
    </w:p>
    <w:p w14:paraId="77FD2318">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420" w:firstLineChars="0"/>
        <w:jc w:val="left"/>
        <w:textAlignment w:val="auto"/>
        <w:rPr>
          <w:rFonts w:hint="eastAsia" w:ascii="宋体" w:hAnsi="宋体" w:cs="宋体"/>
          <w:color w:val="auto"/>
          <w:sz w:val="24"/>
          <w:highlight w:val="none"/>
          <w:lang w:val="zh-CN"/>
        </w:rPr>
      </w:pPr>
      <w:r>
        <w:rPr>
          <w:rFonts w:hint="eastAsia" w:ascii="宋体" w:hAnsi="宋体" w:cs="宋体"/>
          <w:color w:val="auto"/>
          <w:sz w:val="24"/>
          <w:highlight w:val="none"/>
        </w:rPr>
        <w:t>资格性/符合性自查表（详见文件格式12）；</w:t>
      </w:r>
    </w:p>
    <w:p w14:paraId="4557BDC1">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420" w:firstLineChars="0"/>
        <w:jc w:val="left"/>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服务</w:t>
      </w:r>
      <w:r>
        <w:rPr>
          <w:rFonts w:hint="eastAsia" w:ascii="宋体" w:hAnsi="宋体" w:eastAsia="宋体" w:cs="宋体"/>
          <w:color w:val="auto"/>
          <w:sz w:val="24"/>
          <w:highlight w:val="none"/>
          <w:lang w:val="zh-CN"/>
        </w:rPr>
        <w:t>方案；</w:t>
      </w:r>
    </w:p>
    <w:p w14:paraId="5A97E4B2">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420" w:firstLineChars="0"/>
        <w:jc w:val="left"/>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人员配置；</w:t>
      </w:r>
    </w:p>
    <w:p w14:paraId="2D5E59E5">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420" w:firstLineChars="0"/>
        <w:jc w:val="left"/>
        <w:textAlignment w:val="auto"/>
        <w:rPr>
          <w:rFonts w:hint="eastAsia" w:ascii="宋体" w:hAnsi="宋体" w:cs="宋体"/>
          <w:color w:val="auto"/>
          <w:sz w:val="24"/>
          <w:highlight w:val="none"/>
          <w:lang w:val="zh-CN"/>
        </w:rPr>
      </w:pPr>
      <w:r>
        <w:rPr>
          <w:rFonts w:hint="eastAsia" w:ascii="宋体" w:hAnsi="宋体" w:cs="宋体"/>
          <w:color w:val="auto"/>
          <w:sz w:val="24"/>
          <w:highlight w:val="none"/>
          <w:lang w:val="zh-CN"/>
        </w:rPr>
        <w:t>磋商文件要求提供的其它材料以及供应商认为需要提交的材料。</w:t>
      </w:r>
    </w:p>
    <w:p w14:paraId="6C824DD1">
      <w:pPr>
        <w:pStyle w:val="33"/>
        <w:widowControl w:val="0"/>
        <w:wordWrap/>
        <w:adjustRightInd/>
        <w:snapToGrid/>
        <w:spacing w:line="360" w:lineRule="auto"/>
        <w:ind w:left="0" w:firstLine="482" w:firstLineChars="200"/>
        <w:jc w:val="left"/>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特别说明：①上述各种证件、证书复印件须加盖供应商公章。</w:t>
      </w:r>
    </w:p>
    <w:p w14:paraId="248AD635">
      <w:pPr>
        <w:pStyle w:val="33"/>
        <w:widowControl w:val="0"/>
        <w:wordWrap/>
        <w:adjustRightInd/>
        <w:snapToGrid/>
        <w:spacing w:line="360" w:lineRule="auto"/>
        <w:ind w:left="0" w:firstLine="482" w:firstLineChars="200"/>
        <w:jc w:val="left"/>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② 供应商应如实提供投标资料，并保证真实可靠，不得弄虚作假。如供应商隐瞒事实真相、弄虚作假，一经查实，取消该供应商的投标资格，若成交的，取消其中标资格。</w:t>
      </w:r>
    </w:p>
    <w:p w14:paraId="076E9332">
      <w:pPr>
        <w:pStyle w:val="33"/>
        <w:widowControl w:val="0"/>
        <w:wordWrap/>
        <w:adjustRightInd/>
        <w:snapToGrid/>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bookmarkStart w:id="70" w:name="_Toc245897286"/>
      <w:bookmarkStart w:id="71" w:name="_Toc246216196"/>
      <w:bookmarkStart w:id="72" w:name="_Toc243906326"/>
      <w:bookmarkStart w:id="73" w:name="_Toc233274827"/>
      <w:bookmarkStart w:id="74" w:name="_Toc243907587"/>
      <w:r>
        <w:rPr>
          <w:rFonts w:hint="eastAsia" w:ascii="宋体" w:hAnsi="宋体" w:eastAsia="宋体" w:cs="宋体"/>
          <w:color w:val="auto"/>
          <w:sz w:val="24"/>
          <w:szCs w:val="24"/>
          <w:highlight w:val="none"/>
        </w:rPr>
        <w:t>15、响应文件格式</w:t>
      </w:r>
      <w:bookmarkEnd w:id="70"/>
    </w:p>
    <w:p w14:paraId="7AA43BC4">
      <w:pPr>
        <w:pStyle w:val="33"/>
        <w:widowControl w:val="0"/>
        <w:wordWrap/>
        <w:adjustRightInd/>
        <w:snapToGrid/>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15.1供应商应按采购文件提供的格式及商务报价说明完整地填写所提供的合同项目、服务以及单价等内容。</w:t>
      </w:r>
    </w:p>
    <w:bookmarkEnd w:id="71"/>
    <w:bookmarkEnd w:id="72"/>
    <w:bookmarkEnd w:id="73"/>
    <w:bookmarkEnd w:id="74"/>
    <w:p w14:paraId="7BB6D973">
      <w:pPr>
        <w:pStyle w:val="33"/>
        <w:spacing w:line="360" w:lineRule="auto"/>
        <w:ind w:firstLine="480" w:firstLineChars="200"/>
        <w:outlineLvl w:val="1"/>
        <w:rPr>
          <w:rFonts w:hint="eastAsia" w:hAnsi="宋体" w:cs="宋体"/>
          <w:color w:val="auto"/>
          <w:sz w:val="24"/>
          <w:highlight w:val="none"/>
        </w:rPr>
      </w:pPr>
      <w:bookmarkStart w:id="75" w:name="_Toc245897289"/>
      <w:bookmarkStart w:id="76" w:name="_Toc243906328"/>
      <w:bookmarkStart w:id="77" w:name="_Toc233274829"/>
      <w:bookmarkStart w:id="78" w:name="_Toc243907589"/>
      <w:r>
        <w:rPr>
          <w:rFonts w:hint="eastAsia" w:hAnsi="宋体" w:cs="宋体"/>
          <w:color w:val="auto"/>
          <w:sz w:val="24"/>
          <w:highlight w:val="none"/>
        </w:rPr>
        <w:t>1</w:t>
      </w:r>
      <w:r>
        <w:rPr>
          <w:rFonts w:hint="eastAsia" w:hAnsi="宋体" w:cs="宋体"/>
          <w:color w:val="auto"/>
          <w:sz w:val="24"/>
          <w:highlight w:val="none"/>
          <w:lang w:val="en-US" w:eastAsia="zh-CN"/>
        </w:rPr>
        <w:t>6</w:t>
      </w:r>
      <w:r>
        <w:rPr>
          <w:rFonts w:hint="eastAsia" w:hAnsi="宋体" w:cs="宋体"/>
          <w:color w:val="auto"/>
          <w:sz w:val="24"/>
          <w:highlight w:val="none"/>
        </w:rPr>
        <w:t>、商务报价</w:t>
      </w:r>
    </w:p>
    <w:p w14:paraId="51CBFCA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.1供应商的商务报价应是为采购人提供全部合同服务，并保证合同条款、技术规范及标准、项目采购需求、本磋商文件约定的所有费用的总和。</w:t>
      </w:r>
    </w:p>
    <w:p w14:paraId="42A33B0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任何因供应商忽视或误解采购范围、技术规范及标准、项目采购需求、合同条款和项目现场情况，若成交，采购人将不予批准由此而产生的索赔或服务期延长申请。</w:t>
      </w:r>
    </w:p>
    <w:p w14:paraId="7FB6BCCD">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商务报价中不得包含合同条款、技术规范及标准、项目采购需求、本磋商文件要求以外的其他内容。</w:t>
      </w:r>
    </w:p>
    <w:p w14:paraId="42FB96C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.2商务报价总价应包括的内容和计价因素</w:t>
      </w:r>
    </w:p>
    <w:p w14:paraId="5CEB4E7C">
      <w:pPr>
        <w:wordWrap/>
        <w:spacing w:line="360" w:lineRule="auto"/>
        <w:ind w:left="0" w:firstLine="480" w:firstLineChars="200"/>
        <w:jc w:val="left"/>
        <w:outlineLvl w:val="9"/>
        <w:rPr>
          <w:rFonts w:hint="eastAsia" w:ascii="宋体" w:hAnsi="宋体" w:eastAsia="宋体" w:cs="宋体"/>
          <w:b/>
          <w:bCs/>
          <w:color w:val="auto"/>
          <w:sz w:val="24"/>
          <w:highlight w:val="none"/>
          <w:lang w:val="en-US" w:eastAsia="zh-CN"/>
        </w:rPr>
      </w:pPr>
      <w:r>
        <w:rPr>
          <w:rFonts w:hint="eastAsia" w:ascii="宋体" w:hAnsi="宋体" w:cs="宋体"/>
          <w:color w:val="auto"/>
          <w:sz w:val="24"/>
          <w:highlight w:val="none"/>
        </w:rPr>
        <w:t>（1）</w:t>
      </w:r>
      <w:r>
        <w:rPr>
          <w:rFonts w:hint="eastAsia" w:ascii="宋体" w:hAnsi="宋体" w:eastAsia="宋体" w:cs="宋体"/>
          <w:b/>
          <w:bCs/>
          <w:color w:val="auto"/>
          <w:sz w:val="24"/>
          <w:highlight w:val="none"/>
          <w:lang w:val="en-US" w:eastAsia="zh-CN"/>
        </w:rPr>
        <w:t>在服务期限内完成</w:t>
      </w:r>
      <w:r>
        <w:rPr>
          <w:rFonts w:hint="eastAsia" w:ascii="宋体" w:hAnsi="宋体" w:cs="宋体"/>
          <w:b/>
          <w:bCs/>
          <w:color w:val="auto"/>
          <w:sz w:val="24"/>
          <w:highlight w:val="none"/>
          <w:lang w:val="en-US" w:eastAsia="zh-CN"/>
        </w:rPr>
        <w:t>国家税务总局克拉玛依市克拉玛依区税务局</w:t>
      </w:r>
      <w:r>
        <w:rPr>
          <w:rFonts w:hint="eastAsia" w:ascii="宋体" w:hAnsi="宋体" w:eastAsia="宋体" w:cs="宋体"/>
          <w:b/>
          <w:bCs/>
          <w:color w:val="auto"/>
          <w:sz w:val="24"/>
          <w:highlight w:val="none"/>
          <w:lang w:val="en-US" w:eastAsia="zh-CN"/>
        </w:rPr>
        <w:t>办公楼安保服务</w:t>
      </w:r>
      <w:r>
        <w:rPr>
          <w:rFonts w:hint="eastAsia" w:ascii="宋体" w:hAnsi="宋体" w:cs="宋体"/>
          <w:b/>
          <w:bCs/>
          <w:color w:val="auto"/>
          <w:sz w:val="24"/>
          <w:highlight w:val="none"/>
          <w:lang w:val="en-US" w:eastAsia="zh-CN"/>
        </w:rPr>
        <w:t>，</w:t>
      </w:r>
      <w:r>
        <w:rPr>
          <w:rFonts w:hint="eastAsia" w:ascii="宋体" w:hAnsi="宋体" w:eastAsia="宋体" w:cs="宋体"/>
          <w:b/>
          <w:bCs/>
          <w:color w:val="auto"/>
          <w:sz w:val="24"/>
          <w:highlight w:val="none"/>
          <w:lang w:val="en-US" w:eastAsia="zh-CN"/>
        </w:rPr>
        <w:t>包括基本服务、安保服务、</w:t>
      </w:r>
      <w:r>
        <w:rPr>
          <w:rFonts w:hint="eastAsia" w:ascii="宋体" w:hAnsi="宋体" w:cs="宋体"/>
          <w:b/>
          <w:bCs/>
          <w:color w:val="auto"/>
          <w:sz w:val="24"/>
          <w:highlight w:val="none"/>
          <w:lang w:val="en-US" w:eastAsia="zh-CN"/>
        </w:rPr>
        <w:t>建筑消防设施日常运行维保服务</w:t>
      </w:r>
      <w:r>
        <w:rPr>
          <w:rFonts w:hint="eastAsia" w:ascii="宋体" w:hAnsi="宋体" w:eastAsia="宋体" w:cs="宋体"/>
          <w:b/>
          <w:bCs/>
          <w:color w:val="auto"/>
          <w:sz w:val="24"/>
          <w:highlight w:val="none"/>
          <w:lang w:val="en-US" w:eastAsia="zh-CN"/>
        </w:rPr>
        <w:t>等，以及合同主要内容、技术规范及标准、项目采购需求、本招标文件约定的全部内容并配合采购人完成此项服务相关的全部工作。</w:t>
      </w:r>
    </w:p>
    <w:p w14:paraId="1277156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供应商根据对本磋商文件、技术规范和标准、项目采购需求、合同条款的理解，应达到的技术指标、检验及验收标准等要求，结合市场情况进行商务报价。供应商应充分考虑合同执行期内各类市场风险和国家政策性调整风险等因素对商务报价的影响。</w:t>
      </w:r>
    </w:p>
    <w:p w14:paraId="7D2F0FA7">
      <w:pPr>
        <w:spacing w:line="360" w:lineRule="auto"/>
        <w:ind w:firstLine="480" w:firstLineChars="200"/>
        <w:rPr>
          <w:rFonts w:hint="eastAsia" w:ascii="宋体" w:hAnsi="宋体" w:cs="宋体"/>
          <w:color w:val="auto"/>
          <w:sz w:val="24"/>
          <w:highlight w:val="none"/>
        </w:rPr>
      </w:pPr>
      <w:bookmarkStart w:id="79" w:name="_Toc233274828"/>
      <w:bookmarkStart w:id="80" w:name="_Toc246216197"/>
      <w:bookmarkStart w:id="81" w:name="_Toc243907588"/>
      <w:bookmarkStart w:id="82" w:name="_Toc243906327"/>
      <w:r>
        <w:rPr>
          <w:rFonts w:hint="eastAsia" w:ascii="宋体" w:hAnsi="宋体" w:cs="宋体"/>
          <w:color w:val="auto"/>
          <w:sz w:val="24"/>
          <w:highlight w:val="none"/>
        </w:rPr>
        <w:t>1</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.3供应商应按照磋商文件所附的格式完整地填写商务报价一览表。</w:t>
      </w:r>
      <w:r>
        <w:rPr>
          <w:rFonts w:hint="eastAsia" w:ascii="宋体" w:hAnsi="宋体" w:cs="宋体"/>
          <w:b/>
          <w:color w:val="auto"/>
          <w:sz w:val="24"/>
          <w:highlight w:val="none"/>
        </w:rPr>
        <w:t>供应商应对采购范围内的全部内容进行报价。</w:t>
      </w:r>
    </w:p>
    <w:p w14:paraId="6080A89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.4供应商若成交，不得以任何理由在合同执行期间予以价格调整。任何包含价格调整的要求将被认为是非响应而予以拒绝。</w:t>
      </w:r>
    </w:p>
    <w:bookmarkEnd w:id="79"/>
    <w:bookmarkEnd w:id="80"/>
    <w:bookmarkEnd w:id="81"/>
    <w:bookmarkEnd w:id="82"/>
    <w:p w14:paraId="3DF9C2CF">
      <w:pPr>
        <w:pStyle w:val="33"/>
        <w:spacing w:line="360" w:lineRule="auto"/>
        <w:ind w:firstLine="480" w:firstLineChars="200"/>
        <w:outlineLvl w:val="1"/>
        <w:rPr>
          <w:rFonts w:hint="eastAsia" w:hAnsi="宋体" w:cs="宋体"/>
          <w:color w:val="auto"/>
          <w:sz w:val="24"/>
          <w:highlight w:val="none"/>
        </w:rPr>
      </w:pPr>
      <w:bookmarkStart w:id="83" w:name="_Toc245897288"/>
      <w:r>
        <w:rPr>
          <w:rFonts w:hint="eastAsia" w:hAnsi="宋体" w:cs="宋体"/>
          <w:color w:val="auto"/>
          <w:sz w:val="24"/>
          <w:highlight w:val="none"/>
        </w:rPr>
        <w:t>1</w:t>
      </w:r>
      <w:r>
        <w:rPr>
          <w:rFonts w:hint="eastAsia" w:hAnsi="宋体" w:cs="宋体"/>
          <w:color w:val="auto"/>
          <w:sz w:val="24"/>
          <w:highlight w:val="none"/>
          <w:lang w:val="en-US" w:eastAsia="zh-CN"/>
        </w:rPr>
        <w:t>7</w:t>
      </w:r>
      <w:r>
        <w:rPr>
          <w:rFonts w:hint="eastAsia" w:hAnsi="宋体" w:cs="宋体"/>
          <w:color w:val="auto"/>
          <w:sz w:val="24"/>
          <w:highlight w:val="none"/>
        </w:rPr>
        <w:t>、商务报价货币</w:t>
      </w:r>
      <w:bookmarkEnd w:id="83"/>
    </w:p>
    <w:p w14:paraId="27E682BF">
      <w:pPr>
        <w:pStyle w:val="33"/>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w:t>
      </w:r>
      <w:r>
        <w:rPr>
          <w:rFonts w:hint="eastAsia" w:hAnsi="宋体" w:cs="宋体"/>
          <w:color w:val="auto"/>
          <w:sz w:val="24"/>
          <w:szCs w:val="24"/>
          <w:highlight w:val="none"/>
          <w:lang w:val="en-US" w:eastAsia="zh-CN"/>
        </w:rPr>
        <w:t>7</w:t>
      </w:r>
      <w:r>
        <w:rPr>
          <w:rFonts w:hint="eastAsia" w:hAnsi="宋体" w:cs="宋体"/>
          <w:color w:val="auto"/>
          <w:sz w:val="24"/>
          <w:szCs w:val="24"/>
          <w:highlight w:val="none"/>
        </w:rPr>
        <w:t>.1商务报价一览表和响应文件中的所有报价一律使用人民币（RMB）填报。</w:t>
      </w:r>
    </w:p>
    <w:p w14:paraId="5AC33BEF">
      <w:pPr>
        <w:pStyle w:val="33"/>
        <w:widowControl w:val="0"/>
        <w:wordWrap/>
        <w:adjustRightInd/>
        <w:snapToGrid/>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hAnsi="宋体" w:cs="宋体"/>
          <w:color w:val="auto"/>
          <w:sz w:val="24"/>
          <w:szCs w:val="24"/>
          <w:highlight w:val="none"/>
          <w:lang w:val="en-US" w:eastAsia="zh-CN"/>
        </w:rPr>
        <w:t>8</w:t>
      </w:r>
      <w:r>
        <w:rPr>
          <w:rFonts w:hint="eastAsia" w:ascii="宋体" w:hAnsi="宋体" w:eastAsia="宋体" w:cs="宋体"/>
          <w:color w:val="auto"/>
          <w:sz w:val="24"/>
          <w:szCs w:val="24"/>
          <w:highlight w:val="none"/>
        </w:rPr>
        <w:t>、供应商资格证明文件</w:t>
      </w:r>
      <w:bookmarkEnd w:id="75"/>
      <w:bookmarkEnd w:id="76"/>
      <w:bookmarkEnd w:id="77"/>
      <w:bookmarkEnd w:id="78"/>
    </w:p>
    <w:p w14:paraId="430F8696">
      <w:pPr>
        <w:pStyle w:val="33"/>
        <w:widowControl w:val="0"/>
        <w:wordWrap/>
        <w:adjustRightInd/>
        <w:snapToGrid/>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hAnsi="宋体" w:cs="宋体"/>
          <w:color w:val="auto"/>
          <w:sz w:val="24"/>
          <w:szCs w:val="24"/>
          <w:highlight w:val="none"/>
          <w:lang w:val="en-US" w:eastAsia="zh-CN"/>
        </w:rPr>
        <w:t>8</w:t>
      </w:r>
      <w:r>
        <w:rPr>
          <w:rFonts w:hint="eastAsia" w:ascii="宋体" w:hAnsi="宋体" w:eastAsia="宋体" w:cs="宋体"/>
          <w:color w:val="auto"/>
          <w:sz w:val="24"/>
          <w:szCs w:val="24"/>
          <w:highlight w:val="none"/>
        </w:rPr>
        <w:t>.1 供应商必须提交证明其有资格参加公开和中标后有能力履行合同的文件。</w:t>
      </w:r>
    </w:p>
    <w:p w14:paraId="5A775653">
      <w:pPr>
        <w:pStyle w:val="33"/>
        <w:widowControl w:val="0"/>
        <w:wordWrap/>
        <w:adjustRightInd/>
        <w:snapToGrid/>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bookmarkStart w:id="84" w:name="_Toc233274830"/>
      <w:bookmarkStart w:id="85" w:name="_Toc243907590"/>
      <w:bookmarkStart w:id="86" w:name="_Toc245897290"/>
      <w:bookmarkStart w:id="87" w:name="_Toc243906329"/>
      <w:r>
        <w:rPr>
          <w:rFonts w:hint="eastAsia" w:ascii="宋体" w:hAnsi="宋体" w:eastAsia="宋体" w:cs="宋体"/>
          <w:color w:val="auto"/>
          <w:sz w:val="24"/>
          <w:szCs w:val="24"/>
          <w:highlight w:val="none"/>
        </w:rPr>
        <w:t>1</w:t>
      </w:r>
      <w:r>
        <w:rPr>
          <w:rFonts w:hint="eastAsia" w:hAnsi="宋体" w:cs="宋体"/>
          <w:color w:val="auto"/>
          <w:sz w:val="24"/>
          <w:szCs w:val="24"/>
          <w:highlight w:val="none"/>
          <w:lang w:val="en-US" w:eastAsia="zh-CN"/>
        </w:rPr>
        <w:t>9</w:t>
      </w:r>
      <w:r>
        <w:rPr>
          <w:rFonts w:hint="eastAsia" w:ascii="宋体" w:hAnsi="宋体" w:eastAsia="宋体" w:cs="宋体"/>
          <w:color w:val="auto"/>
          <w:sz w:val="24"/>
          <w:szCs w:val="24"/>
          <w:highlight w:val="none"/>
        </w:rPr>
        <w:t>、提供的服务符合采购文件规定的技术</w:t>
      </w:r>
      <w:bookmarkEnd w:id="84"/>
      <w:bookmarkEnd w:id="85"/>
      <w:bookmarkEnd w:id="86"/>
      <w:bookmarkEnd w:id="87"/>
      <w:r>
        <w:rPr>
          <w:rFonts w:hint="eastAsia" w:ascii="宋体" w:hAnsi="宋体" w:eastAsia="宋体" w:cs="宋体"/>
          <w:color w:val="auto"/>
          <w:sz w:val="24"/>
          <w:szCs w:val="24"/>
          <w:highlight w:val="none"/>
        </w:rPr>
        <w:t>响应文件</w:t>
      </w:r>
    </w:p>
    <w:p w14:paraId="191676F6">
      <w:pPr>
        <w:pStyle w:val="33"/>
        <w:widowControl w:val="0"/>
        <w:wordWrap/>
        <w:adjustRightInd/>
        <w:snapToGrid/>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hAnsi="宋体" w:cs="宋体"/>
          <w:color w:val="auto"/>
          <w:sz w:val="24"/>
          <w:szCs w:val="24"/>
          <w:highlight w:val="none"/>
          <w:lang w:val="en-US" w:eastAsia="zh-CN"/>
        </w:rPr>
        <w:t>9</w:t>
      </w:r>
      <w:r>
        <w:rPr>
          <w:rFonts w:hint="eastAsia" w:ascii="宋体" w:hAnsi="宋体" w:eastAsia="宋体" w:cs="宋体"/>
          <w:color w:val="auto"/>
          <w:sz w:val="24"/>
          <w:szCs w:val="24"/>
          <w:highlight w:val="none"/>
        </w:rPr>
        <w:t>.1 供应商须提交证明其拟供服务符合采购文件、技术规范及标准、项目采购需求规定的技术响应文件，作为响应文件的一部分；</w:t>
      </w:r>
    </w:p>
    <w:p w14:paraId="17600EC0">
      <w:pPr>
        <w:pStyle w:val="33"/>
        <w:widowControl w:val="0"/>
        <w:wordWrap/>
        <w:adjustRightInd/>
        <w:snapToGrid/>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hAnsi="宋体" w:cs="宋体"/>
          <w:color w:val="auto"/>
          <w:sz w:val="24"/>
          <w:szCs w:val="24"/>
          <w:highlight w:val="none"/>
          <w:lang w:val="en-US" w:eastAsia="zh-CN"/>
        </w:rPr>
        <w:t>9</w:t>
      </w:r>
      <w:r>
        <w:rPr>
          <w:rFonts w:hint="eastAsia" w:ascii="宋体" w:hAnsi="宋体" w:eastAsia="宋体" w:cs="宋体"/>
          <w:color w:val="auto"/>
          <w:sz w:val="24"/>
          <w:szCs w:val="24"/>
          <w:highlight w:val="none"/>
        </w:rPr>
        <w:t>.2上述文件可以是文字资料和数据，并须提供项目主要技术性能的详细描述及货物清单和所提供服务的详细说明；</w:t>
      </w:r>
    </w:p>
    <w:p w14:paraId="38EFE191">
      <w:pPr>
        <w:widowControl w:val="0"/>
        <w:wordWrap/>
        <w:adjustRightInd/>
        <w:snapToGrid/>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.3供应商应逐条对采购文件、项目采购需求及合同主要条款等进行仔细阅读，提出自己提供的服务是否对其做出了实质性的响应。</w:t>
      </w:r>
    </w:p>
    <w:p w14:paraId="6529A028">
      <w:pPr>
        <w:pStyle w:val="33"/>
        <w:widowControl w:val="0"/>
        <w:wordWrap/>
        <w:adjustRightInd/>
        <w:snapToGrid/>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bookmarkStart w:id="88" w:name="_Toc233274831"/>
      <w:bookmarkStart w:id="89" w:name="_Toc243906330"/>
      <w:bookmarkStart w:id="90" w:name="_Toc243907591"/>
      <w:bookmarkStart w:id="91" w:name="_Toc245897291"/>
      <w:r>
        <w:rPr>
          <w:rFonts w:hint="eastAsia" w:hAnsi="宋体" w:cs="宋体"/>
          <w:color w:val="auto"/>
          <w:sz w:val="24"/>
          <w:szCs w:val="24"/>
          <w:highlight w:val="none"/>
          <w:lang w:val="en-US" w:eastAsia="zh-CN"/>
        </w:rPr>
        <w:t>20</w:t>
      </w:r>
      <w:r>
        <w:rPr>
          <w:rFonts w:hint="eastAsia" w:ascii="宋体" w:hAnsi="宋体" w:eastAsia="宋体" w:cs="宋体"/>
          <w:color w:val="auto"/>
          <w:sz w:val="24"/>
          <w:szCs w:val="24"/>
          <w:highlight w:val="none"/>
        </w:rPr>
        <w:t>、响应文件有效期</w:t>
      </w:r>
      <w:bookmarkEnd w:id="88"/>
      <w:bookmarkEnd w:id="89"/>
      <w:bookmarkEnd w:id="90"/>
      <w:bookmarkEnd w:id="91"/>
    </w:p>
    <w:p w14:paraId="138E6F53">
      <w:pPr>
        <w:pStyle w:val="33"/>
        <w:widowControl w:val="0"/>
        <w:wordWrap/>
        <w:adjustRightInd/>
        <w:snapToGrid/>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20</w:t>
      </w:r>
      <w:r>
        <w:rPr>
          <w:rFonts w:hint="eastAsia" w:ascii="宋体" w:hAnsi="宋体" w:eastAsia="宋体" w:cs="宋体"/>
          <w:color w:val="auto"/>
          <w:sz w:val="24"/>
          <w:szCs w:val="24"/>
          <w:highlight w:val="none"/>
        </w:rPr>
        <w:t>.1</w:t>
      </w:r>
      <w:r>
        <w:rPr>
          <w:rFonts w:hint="eastAsia" w:ascii="宋体" w:hAnsi="宋体" w:eastAsia="宋体" w:cs="宋体"/>
          <w:bCs/>
          <w:color w:val="auto"/>
          <w:sz w:val="24"/>
          <w:szCs w:val="24"/>
          <w:highlight w:val="none"/>
        </w:rPr>
        <w:t>响应文件</w:t>
      </w:r>
      <w:r>
        <w:rPr>
          <w:rFonts w:hint="eastAsia" w:ascii="宋体" w:hAnsi="宋体" w:eastAsia="宋体" w:cs="宋体"/>
          <w:color w:val="auto"/>
          <w:sz w:val="24"/>
          <w:szCs w:val="24"/>
          <w:highlight w:val="none"/>
        </w:rPr>
        <w:t>有效期为递交响应文件截止之日起90天（日历日）。供应商的响应文件有效期比规定的有效期短的，将被视为非响应而予以拒绝。</w:t>
      </w:r>
    </w:p>
    <w:p w14:paraId="61D9B599">
      <w:pPr>
        <w:pStyle w:val="33"/>
        <w:widowControl w:val="0"/>
        <w:wordWrap/>
        <w:adjustRightInd/>
        <w:snapToGrid/>
        <w:spacing w:line="360" w:lineRule="auto"/>
        <w:ind w:left="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val="en-US" w:eastAsia="zh-CN"/>
        </w:rPr>
        <w:t>20</w:t>
      </w:r>
      <w:r>
        <w:rPr>
          <w:rFonts w:hint="eastAsia" w:ascii="宋体" w:hAnsi="宋体" w:eastAsia="宋体" w:cs="宋体"/>
          <w:color w:val="auto"/>
          <w:sz w:val="24"/>
          <w:szCs w:val="24"/>
          <w:highlight w:val="none"/>
        </w:rPr>
        <w:t>.2 特殊情况下，在原有效期届满之前，采购人可征得供应商的同意延长其有效期，这种要求与答复均应以书面形式。供应商拒绝延长的，其响应文件失效。同意延长有效期的供应商，既不要求也不允许其修改响应文件</w:t>
      </w:r>
      <w:r>
        <w:rPr>
          <w:rFonts w:hint="eastAsia" w:hAnsi="宋体" w:cs="宋体"/>
          <w:color w:val="auto"/>
          <w:sz w:val="24"/>
          <w:szCs w:val="24"/>
          <w:highlight w:val="none"/>
          <w:lang w:eastAsia="zh-CN"/>
        </w:rPr>
        <w:t>。</w:t>
      </w:r>
    </w:p>
    <w:bookmarkEnd w:id="57"/>
    <w:p w14:paraId="7A36D2F0">
      <w:pPr>
        <w:pStyle w:val="33"/>
        <w:spacing w:line="360" w:lineRule="auto"/>
        <w:ind w:firstLine="480" w:firstLineChars="200"/>
        <w:outlineLvl w:val="1"/>
        <w:rPr>
          <w:rFonts w:hint="eastAsia" w:ascii="宋体" w:hAnsi="宋体" w:eastAsia="宋体" w:cs="宋体"/>
          <w:color w:val="auto"/>
          <w:sz w:val="24"/>
          <w:highlight w:val="none"/>
        </w:rPr>
      </w:pPr>
      <w:bookmarkStart w:id="92" w:name="_Toc243906331"/>
      <w:bookmarkStart w:id="93" w:name="_Toc233274832"/>
      <w:bookmarkStart w:id="94" w:name="_Toc245897292"/>
      <w:bookmarkStart w:id="95" w:name="_Toc243907592"/>
      <w:bookmarkStart w:id="96" w:name="_Toc233274834"/>
      <w:bookmarkStart w:id="97" w:name="_Toc243906333"/>
      <w:bookmarkStart w:id="98" w:name="_Toc246216203"/>
      <w:bookmarkStart w:id="99" w:name="_Toc243907594"/>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、响应文件的签署及规定</w:t>
      </w:r>
      <w:bookmarkEnd w:id="92"/>
      <w:bookmarkEnd w:id="93"/>
      <w:bookmarkEnd w:id="94"/>
      <w:bookmarkEnd w:id="95"/>
    </w:p>
    <w:p w14:paraId="2C334F64">
      <w:pPr>
        <w:pageBreakBefore w:val="0"/>
        <w:kinsoku/>
        <w:wordWrap/>
        <w:topLinePunct w:val="0"/>
        <w:autoSpaceDE/>
        <w:autoSpaceDN/>
        <w:bidi w:val="0"/>
        <w:adjustRightInd/>
        <w:snapToGrid w:val="0"/>
        <w:spacing w:before="0" w:after="0" w:line="360" w:lineRule="auto"/>
        <w:ind w:left="0" w:firstLine="480"/>
        <w:jc w:val="both"/>
        <w:rPr>
          <w:rFonts w:hint="eastAsia" w:ascii="宋体" w:hAnsi="宋体" w:eastAsia="宋体" w:cs="宋体"/>
          <w:b/>
          <w:color w:val="auto"/>
          <w:w w:val="100"/>
          <w:sz w:val="24"/>
          <w:highlight w:val="none"/>
        </w:rPr>
      </w:pPr>
      <w:r>
        <w:rPr>
          <w:rFonts w:hint="eastAsia" w:ascii="宋体" w:hAnsi="宋体" w:eastAsia="宋体" w:cs="宋体"/>
          <w:color w:val="auto"/>
          <w:w w:val="100"/>
          <w:sz w:val="24"/>
          <w:highlight w:val="none"/>
        </w:rPr>
        <w:t>2</w:t>
      </w:r>
      <w:r>
        <w:rPr>
          <w:rFonts w:hint="eastAsia" w:ascii="宋体" w:hAnsi="宋体" w:eastAsia="宋体" w:cs="宋体"/>
          <w:color w:val="auto"/>
          <w:w w:val="100"/>
          <w:sz w:val="24"/>
          <w:highlight w:val="none"/>
          <w:lang w:val="en-US" w:eastAsia="zh-CN"/>
        </w:rPr>
        <w:t>1</w:t>
      </w:r>
      <w:r>
        <w:rPr>
          <w:rFonts w:hint="eastAsia" w:ascii="宋体" w:hAnsi="宋体" w:eastAsia="宋体" w:cs="宋体"/>
          <w:color w:val="auto"/>
          <w:w w:val="100"/>
          <w:sz w:val="24"/>
          <w:highlight w:val="none"/>
        </w:rPr>
        <w:t>.1供应商应提交本须知第1</w:t>
      </w:r>
      <w:r>
        <w:rPr>
          <w:rFonts w:hint="eastAsia" w:ascii="宋体" w:hAnsi="宋体" w:eastAsia="宋体" w:cs="宋体"/>
          <w:color w:val="auto"/>
          <w:w w:val="100"/>
          <w:sz w:val="24"/>
          <w:highlight w:val="none"/>
          <w:lang w:val="en-US" w:eastAsia="zh-CN"/>
        </w:rPr>
        <w:t>4</w:t>
      </w:r>
      <w:r>
        <w:rPr>
          <w:rFonts w:hint="eastAsia" w:ascii="宋体" w:hAnsi="宋体" w:eastAsia="宋体" w:cs="宋体"/>
          <w:color w:val="auto"/>
          <w:w w:val="100"/>
          <w:sz w:val="24"/>
          <w:highlight w:val="none"/>
        </w:rPr>
        <w:t>条规定的</w:t>
      </w:r>
      <w:r>
        <w:rPr>
          <w:rFonts w:hint="eastAsia" w:ascii="宋体" w:hAnsi="宋体" w:eastAsia="宋体" w:cs="宋体"/>
          <w:b/>
          <w:color w:val="auto"/>
          <w:w w:val="100"/>
          <w:sz w:val="24"/>
          <w:highlight w:val="none"/>
        </w:rPr>
        <w:t>书面响应文件</w:t>
      </w:r>
      <w:r>
        <w:rPr>
          <w:rFonts w:hint="eastAsia" w:ascii="宋体" w:hAnsi="宋体" w:eastAsia="宋体" w:cs="宋体"/>
          <w:b/>
          <w:color w:val="auto"/>
          <w:w w:val="100"/>
          <w:sz w:val="24"/>
          <w:highlight w:val="none"/>
          <w:lang w:eastAsia="zh-CN"/>
        </w:rPr>
        <w:t>一式肆份</w:t>
      </w:r>
      <w:r>
        <w:rPr>
          <w:rFonts w:hint="eastAsia" w:ascii="宋体" w:hAnsi="宋体" w:eastAsia="宋体" w:cs="宋体"/>
          <w:color w:val="auto"/>
          <w:w w:val="100"/>
          <w:sz w:val="24"/>
          <w:highlight w:val="none"/>
        </w:rPr>
        <w:t>，其中：</w:t>
      </w:r>
      <w:r>
        <w:rPr>
          <w:rFonts w:hint="eastAsia" w:ascii="宋体" w:hAnsi="宋体" w:eastAsia="宋体" w:cs="宋体"/>
          <w:b/>
          <w:color w:val="auto"/>
          <w:w w:val="100"/>
          <w:sz w:val="24"/>
          <w:highlight w:val="none"/>
          <w:u w:val="single"/>
        </w:rPr>
        <w:t>壹份正本</w:t>
      </w:r>
      <w:r>
        <w:rPr>
          <w:rFonts w:hint="eastAsia" w:ascii="宋体" w:hAnsi="宋体" w:eastAsia="宋体" w:cs="宋体"/>
          <w:b/>
          <w:color w:val="auto"/>
          <w:w w:val="100"/>
          <w:sz w:val="24"/>
          <w:highlight w:val="none"/>
        </w:rPr>
        <w:t>和</w:t>
      </w:r>
      <w:r>
        <w:rPr>
          <w:rFonts w:hint="eastAsia" w:ascii="宋体" w:hAnsi="宋体" w:eastAsia="宋体" w:cs="宋体"/>
          <w:b/>
          <w:color w:val="auto"/>
          <w:w w:val="100"/>
          <w:sz w:val="24"/>
          <w:highlight w:val="none"/>
          <w:u w:val="single"/>
          <w:lang w:eastAsia="zh-CN"/>
        </w:rPr>
        <w:t>叁份副本</w:t>
      </w:r>
      <w:r>
        <w:rPr>
          <w:rFonts w:hint="eastAsia" w:ascii="宋体" w:hAnsi="宋体" w:eastAsia="宋体" w:cs="宋体"/>
          <w:color w:val="auto"/>
          <w:w w:val="100"/>
          <w:sz w:val="24"/>
          <w:highlight w:val="none"/>
        </w:rPr>
        <w:t>，</w:t>
      </w:r>
      <w:r>
        <w:rPr>
          <w:rFonts w:hint="eastAsia" w:hAnsi="宋体" w:cs="宋体"/>
          <w:b/>
          <w:color w:val="auto"/>
          <w:w w:val="100"/>
          <w:sz w:val="24"/>
          <w:highlight w:val="none"/>
          <w:lang w:val="en-US" w:eastAsia="zh-CN"/>
        </w:rPr>
        <w:t>电子版（光盘或U盘）壹份，</w:t>
      </w:r>
      <w:r>
        <w:rPr>
          <w:rFonts w:hint="eastAsia" w:ascii="宋体" w:hAnsi="宋体" w:eastAsia="宋体" w:cs="宋体"/>
          <w:color w:val="auto"/>
          <w:w w:val="100"/>
          <w:sz w:val="24"/>
          <w:highlight w:val="none"/>
        </w:rPr>
        <w:t>在每一份响应文件上应明确注明“正本”或“副本”字样，如正、副本之间有差异，以正本为准。</w:t>
      </w:r>
    </w:p>
    <w:p w14:paraId="3EFCDD8C">
      <w:pPr>
        <w:pageBreakBefore w:val="0"/>
        <w:kinsoku/>
        <w:wordWrap/>
        <w:topLinePunct w:val="0"/>
        <w:autoSpaceDE/>
        <w:autoSpaceDN/>
        <w:bidi w:val="0"/>
        <w:adjustRightInd/>
        <w:snapToGrid w:val="0"/>
        <w:spacing w:before="0" w:after="0" w:line="360" w:lineRule="auto"/>
        <w:ind w:left="0" w:firstLine="480"/>
        <w:jc w:val="both"/>
        <w:rPr>
          <w:rFonts w:hint="eastAsia" w:ascii="宋体" w:hAnsi="宋体" w:eastAsia="宋体" w:cs="宋体"/>
          <w:color w:val="auto"/>
          <w:w w:val="100"/>
          <w:sz w:val="24"/>
          <w:highlight w:val="none"/>
        </w:rPr>
      </w:pPr>
      <w:r>
        <w:rPr>
          <w:rFonts w:hint="eastAsia" w:ascii="宋体" w:hAnsi="宋体" w:eastAsia="宋体" w:cs="宋体"/>
          <w:color w:val="auto"/>
          <w:w w:val="100"/>
          <w:sz w:val="24"/>
          <w:highlight w:val="none"/>
        </w:rPr>
        <w:t>2</w:t>
      </w:r>
      <w:r>
        <w:rPr>
          <w:rFonts w:hint="eastAsia" w:ascii="宋体" w:hAnsi="宋体" w:eastAsia="宋体" w:cs="宋体"/>
          <w:color w:val="auto"/>
          <w:w w:val="100"/>
          <w:sz w:val="24"/>
          <w:highlight w:val="none"/>
          <w:lang w:val="en-US" w:eastAsia="zh-CN"/>
        </w:rPr>
        <w:t>1</w:t>
      </w:r>
      <w:r>
        <w:rPr>
          <w:rFonts w:hint="eastAsia" w:ascii="宋体" w:hAnsi="宋体" w:eastAsia="宋体" w:cs="宋体"/>
          <w:color w:val="auto"/>
          <w:w w:val="100"/>
          <w:sz w:val="24"/>
          <w:highlight w:val="none"/>
        </w:rPr>
        <w:t>.2响应文件正本和副本须打印并由法定代表人或委托代理人签字或盖章。响应文件应加盖供应商的公章。</w:t>
      </w:r>
    </w:p>
    <w:p w14:paraId="53770171">
      <w:pPr>
        <w:pageBreakBefore w:val="0"/>
        <w:kinsoku/>
        <w:wordWrap/>
        <w:topLinePunct w:val="0"/>
        <w:autoSpaceDE/>
        <w:autoSpaceDN/>
        <w:bidi w:val="0"/>
        <w:adjustRightInd/>
        <w:snapToGrid w:val="0"/>
        <w:spacing w:before="0" w:after="0" w:line="360" w:lineRule="auto"/>
        <w:ind w:left="0" w:firstLine="480"/>
        <w:jc w:val="both"/>
        <w:rPr>
          <w:rFonts w:hint="eastAsia" w:ascii="宋体" w:hAnsi="宋体" w:eastAsia="宋体" w:cs="宋体"/>
          <w:color w:val="auto"/>
          <w:w w:val="100"/>
          <w:sz w:val="24"/>
          <w:highlight w:val="none"/>
        </w:rPr>
      </w:pPr>
      <w:r>
        <w:rPr>
          <w:rFonts w:hint="eastAsia" w:ascii="宋体" w:hAnsi="宋体" w:eastAsia="宋体" w:cs="宋体"/>
          <w:color w:val="auto"/>
          <w:w w:val="100"/>
          <w:sz w:val="24"/>
          <w:highlight w:val="none"/>
        </w:rPr>
        <w:t>2</w:t>
      </w:r>
      <w:r>
        <w:rPr>
          <w:rFonts w:hint="eastAsia" w:ascii="宋体" w:hAnsi="宋体" w:eastAsia="宋体" w:cs="宋体"/>
          <w:color w:val="auto"/>
          <w:w w:val="100"/>
          <w:sz w:val="24"/>
          <w:highlight w:val="none"/>
          <w:lang w:val="en-US" w:eastAsia="zh-CN"/>
        </w:rPr>
        <w:t>1</w:t>
      </w:r>
      <w:r>
        <w:rPr>
          <w:rFonts w:hint="eastAsia" w:ascii="宋体" w:hAnsi="宋体" w:eastAsia="宋体" w:cs="宋体"/>
          <w:color w:val="auto"/>
          <w:w w:val="100"/>
          <w:sz w:val="24"/>
          <w:highlight w:val="none"/>
        </w:rPr>
        <w:t>.3 除供应商对错误做必要修改外，响应文件中不许有增删、涂改或改写。若确有修改必须由签署响应文件的委托代理人签字或盖章。</w:t>
      </w:r>
    </w:p>
    <w:p w14:paraId="2215E07C">
      <w:pPr>
        <w:pageBreakBefore w:val="0"/>
        <w:kinsoku/>
        <w:wordWrap/>
        <w:topLinePunct w:val="0"/>
        <w:autoSpaceDE/>
        <w:autoSpaceDN/>
        <w:bidi w:val="0"/>
        <w:adjustRightInd/>
        <w:snapToGrid w:val="0"/>
        <w:spacing w:before="0" w:after="0" w:line="360" w:lineRule="auto"/>
        <w:ind w:left="0" w:firstLine="480"/>
        <w:jc w:val="both"/>
        <w:rPr>
          <w:rFonts w:hint="eastAsia" w:ascii="宋体" w:hAnsi="宋体" w:eastAsia="宋体" w:cs="宋体"/>
          <w:color w:val="auto"/>
          <w:w w:val="100"/>
          <w:sz w:val="24"/>
          <w:highlight w:val="none"/>
        </w:rPr>
      </w:pPr>
      <w:r>
        <w:rPr>
          <w:rFonts w:hint="eastAsia" w:ascii="宋体" w:hAnsi="宋体" w:eastAsia="宋体" w:cs="宋体"/>
          <w:color w:val="auto"/>
          <w:w w:val="100"/>
          <w:sz w:val="24"/>
          <w:highlight w:val="none"/>
        </w:rPr>
        <w:t>2</w:t>
      </w:r>
      <w:r>
        <w:rPr>
          <w:rFonts w:hint="eastAsia" w:ascii="宋体" w:hAnsi="宋体" w:eastAsia="宋体" w:cs="宋体"/>
          <w:color w:val="auto"/>
          <w:w w:val="100"/>
          <w:sz w:val="24"/>
          <w:highlight w:val="none"/>
          <w:lang w:val="en-US" w:eastAsia="zh-CN"/>
        </w:rPr>
        <w:t>1</w:t>
      </w:r>
      <w:r>
        <w:rPr>
          <w:rFonts w:hint="eastAsia" w:ascii="宋体" w:hAnsi="宋体" w:eastAsia="宋体" w:cs="宋体"/>
          <w:color w:val="auto"/>
          <w:w w:val="100"/>
          <w:sz w:val="24"/>
          <w:highlight w:val="none"/>
        </w:rPr>
        <w:t>.4响应文件副本的上述签名及盖章之处既可由供应商的法定代表人或其委托代理人签字或盖章，也可通过复印正本将上述签名及盖章复制到副本上。</w:t>
      </w:r>
    </w:p>
    <w:p w14:paraId="6B010286">
      <w:pPr>
        <w:pStyle w:val="33"/>
        <w:widowControl w:val="0"/>
        <w:wordWrap/>
        <w:adjustRightInd/>
        <w:snapToGrid/>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w w:val="100"/>
          <w:sz w:val="24"/>
          <w:highlight w:val="none"/>
        </w:rPr>
        <w:t>2</w:t>
      </w:r>
      <w:r>
        <w:rPr>
          <w:rFonts w:hint="eastAsia" w:ascii="宋体" w:hAnsi="宋体" w:eastAsia="宋体" w:cs="宋体"/>
          <w:color w:val="auto"/>
          <w:w w:val="100"/>
          <w:sz w:val="24"/>
          <w:highlight w:val="none"/>
          <w:lang w:val="en-US" w:eastAsia="zh-CN"/>
        </w:rPr>
        <w:t>1</w:t>
      </w:r>
      <w:r>
        <w:rPr>
          <w:rFonts w:hint="eastAsia" w:ascii="宋体" w:hAnsi="宋体" w:eastAsia="宋体" w:cs="宋体"/>
          <w:color w:val="auto"/>
          <w:w w:val="100"/>
          <w:sz w:val="24"/>
          <w:highlight w:val="none"/>
        </w:rPr>
        <w:t>.5 采购人概不接受电报、电传、电话、邮寄以及电子邮件等方式的磋商。</w:t>
      </w:r>
    </w:p>
    <w:p w14:paraId="530D2E40">
      <w:pPr>
        <w:pStyle w:val="33"/>
        <w:wordWrap/>
        <w:spacing w:line="360" w:lineRule="auto"/>
        <w:ind w:firstLine="562" w:firstLineChars="200"/>
        <w:jc w:val="center"/>
        <w:outlineLvl w:val="1"/>
        <w:rPr>
          <w:rFonts w:hint="eastAsia" w:ascii="宋体" w:hAnsi="宋体" w:eastAsia="宋体" w:cs="宋体"/>
          <w:b/>
          <w:bCs/>
          <w:color w:val="auto"/>
          <w:sz w:val="28"/>
          <w:szCs w:val="28"/>
          <w:highlight w:val="none"/>
        </w:rPr>
      </w:pPr>
    </w:p>
    <w:p w14:paraId="5C6F45DB">
      <w:pPr>
        <w:pStyle w:val="33"/>
        <w:wordWrap/>
        <w:spacing w:line="360" w:lineRule="auto"/>
        <w:ind w:firstLine="562" w:firstLineChars="200"/>
        <w:jc w:val="cente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D  响应文件的递交、修改和撤回</w:t>
      </w:r>
      <w:bookmarkEnd w:id="96"/>
      <w:bookmarkEnd w:id="97"/>
      <w:bookmarkEnd w:id="98"/>
      <w:bookmarkEnd w:id="99"/>
    </w:p>
    <w:p w14:paraId="4E8C71D7">
      <w:pPr>
        <w:pStyle w:val="33"/>
        <w:wordWrap/>
        <w:spacing w:line="360" w:lineRule="auto"/>
        <w:ind w:firstLine="482" w:firstLineChars="200"/>
        <w:jc w:val="center"/>
        <w:rPr>
          <w:rFonts w:hint="eastAsia" w:ascii="宋体" w:hAnsi="宋体" w:eastAsia="宋体" w:cs="宋体"/>
          <w:b/>
          <w:bCs/>
          <w:color w:val="auto"/>
          <w:sz w:val="24"/>
          <w:highlight w:val="none"/>
        </w:rPr>
      </w:pPr>
    </w:p>
    <w:p w14:paraId="75BE0615">
      <w:pPr>
        <w:pageBreakBefore w:val="0"/>
        <w:kinsoku/>
        <w:wordWrap/>
        <w:topLinePunct w:val="0"/>
        <w:autoSpaceDE/>
        <w:autoSpaceDN/>
        <w:bidi w:val="0"/>
        <w:adjustRightInd/>
        <w:snapToGrid w:val="0"/>
        <w:spacing w:before="0" w:after="0" w:line="360" w:lineRule="auto"/>
        <w:ind w:left="0" w:firstLine="480"/>
        <w:jc w:val="both"/>
        <w:rPr>
          <w:rFonts w:hint="eastAsia" w:ascii="宋体" w:hAnsi="宋体" w:eastAsia="宋体" w:cs="宋体"/>
          <w:color w:val="auto"/>
          <w:w w:val="100"/>
          <w:sz w:val="24"/>
          <w:highlight w:val="none"/>
        </w:rPr>
      </w:pPr>
      <w:r>
        <w:rPr>
          <w:rFonts w:hint="eastAsia" w:ascii="宋体" w:hAnsi="宋体" w:eastAsia="宋体" w:cs="宋体"/>
          <w:color w:val="auto"/>
          <w:w w:val="100"/>
          <w:sz w:val="24"/>
          <w:highlight w:val="none"/>
        </w:rPr>
        <w:t>23、响应文件的密封和标记</w:t>
      </w:r>
    </w:p>
    <w:p w14:paraId="38201AE6">
      <w:pPr>
        <w:pageBreakBefore w:val="0"/>
        <w:kinsoku/>
        <w:wordWrap/>
        <w:topLinePunct w:val="0"/>
        <w:autoSpaceDE/>
        <w:autoSpaceDN/>
        <w:bidi w:val="0"/>
        <w:adjustRightInd/>
        <w:snapToGrid w:val="0"/>
        <w:spacing w:before="0" w:after="0" w:line="360" w:lineRule="auto"/>
        <w:ind w:left="0" w:firstLine="480"/>
        <w:jc w:val="both"/>
        <w:rPr>
          <w:rFonts w:hint="eastAsia" w:ascii="宋体" w:hAnsi="宋体" w:eastAsia="宋体" w:cs="宋体"/>
          <w:b/>
          <w:color w:val="auto"/>
          <w:w w:val="100"/>
          <w:sz w:val="21"/>
          <w:highlight w:val="none"/>
        </w:rPr>
      </w:pPr>
      <w:r>
        <w:rPr>
          <w:rFonts w:hint="eastAsia" w:ascii="宋体" w:hAnsi="宋体" w:eastAsia="宋体" w:cs="宋体"/>
          <w:color w:val="auto"/>
          <w:w w:val="100"/>
          <w:sz w:val="24"/>
          <w:highlight w:val="none"/>
        </w:rPr>
        <w:t>23.1</w:t>
      </w:r>
      <w:r>
        <w:rPr>
          <w:rFonts w:hint="eastAsia" w:ascii="宋体" w:hAnsi="宋体" w:eastAsia="宋体" w:cs="宋体"/>
          <w:b/>
          <w:color w:val="auto"/>
          <w:w w:val="100"/>
          <w:sz w:val="24"/>
          <w:highlight w:val="none"/>
        </w:rPr>
        <w:t>响应文件均按A4复印纸页面编制、装订。所有响应文件均为明标。</w:t>
      </w:r>
    </w:p>
    <w:p w14:paraId="2ED6D8D3">
      <w:pPr>
        <w:pageBreakBefore w:val="0"/>
        <w:kinsoku/>
        <w:wordWrap/>
        <w:topLinePunct w:val="0"/>
        <w:autoSpaceDE/>
        <w:autoSpaceDN/>
        <w:bidi w:val="0"/>
        <w:adjustRightInd/>
        <w:snapToGrid w:val="0"/>
        <w:spacing w:before="0" w:after="0" w:line="360" w:lineRule="auto"/>
        <w:ind w:left="0" w:firstLine="480"/>
        <w:jc w:val="both"/>
        <w:rPr>
          <w:rFonts w:hint="eastAsia" w:ascii="宋体" w:hAnsi="宋体" w:eastAsia="宋体" w:cs="宋体"/>
          <w:b/>
          <w:color w:val="auto"/>
          <w:w w:val="100"/>
          <w:sz w:val="24"/>
          <w:highlight w:val="none"/>
        </w:rPr>
      </w:pPr>
      <w:r>
        <w:rPr>
          <w:rFonts w:hint="eastAsia" w:ascii="宋体" w:hAnsi="宋体" w:eastAsia="宋体" w:cs="宋体"/>
          <w:color w:val="auto"/>
          <w:w w:val="100"/>
          <w:sz w:val="24"/>
          <w:highlight w:val="none"/>
        </w:rPr>
        <w:t>23.2</w:t>
      </w:r>
      <w:r>
        <w:rPr>
          <w:rFonts w:hint="eastAsia" w:ascii="宋体" w:hAnsi="宋体" w:eastAsia="宋体" w:cs="宋体"/>
          <w:b/>
          <w:color w:val="auto"/>
          <w:w w:val="100"/>
          <w:sz w:val="24"/>
          <w:highlight w:val="none"/>
        </w:rPr>
        <w:t>供应商应将响应文件装订、密封，并在密封处加盖供应商公章。</w:t>
      </w:r>
    </w:p>
    <w:p w14:paraId="45962D7F">
      <w:pPr>
        <w:pageBreakBefore w:val="0"/>
        <w:kinsoku/>
        <w:wordWrap/>
        <w:topLinePunct w:val="0"/>
        <w:autoSpaceDE/>
        <w:autoSpaceDN/>
        <w:bidi w:val="0"/>
        <w:adjustRightInd/>
        <w:snapToGrid w:val="0"/>
        <w:spacing w:before="0" w:after="0" w:line="360" w:lineRule="auto"/>
        <w:ind w:left="0" w:firstLine="480"/>
        <w:jc w:val="both"/>
        <w:rPr>
          <w:rFonts w:hint="eastAsia" w:ascii="宋体" w:hAnsi="宋体" w:eastAsia="宋体" w:cs="宋体"/>
          <w:color w:val="auto"/>
          <w:w w:val="100"/>
          <w:sz w:val="24"/>
          <w:highlight w:val="none"/>
        </w:rPr>
      </w:pPr>
      <w:r>
        <w:rPr>
          <w:rFonts w:hint="eastAsia" w:ascii="宋体" w:hAnsi="宋体" w:eastAsia="宋体" w:cs="宋体"/>
          <w:color w:val="auto"/>
          <w:w w:val="100"/>
          <w:sz w:val="24"/>
          <w:highlight w:val="none"/>
        </w:rPr>
        <w:t>23.3响应文件密封袋上均应写明“采购人”、“项目名称”、“磋商文件编号”、“供应商名称”和“地址”等事项并注明“开启前不准启封”等字样。</w:t>
      </w:r>
    </w:p>
    <w:p w14:paraId="431D41A0">
      <w:pPr>
        <w:keepNext w:val="0"/>
        <w:keepLines w:val="0"/>
        <w:pageBreakBefore w:val="0"/>
        <w:kinsoku/>
        <w:wordWrap/>
        <w:overflowPunct/>
        <w:topLinePunct w:val="0"/>
        <w:autoSpaceDE/>
        <w:autoSpaceDN/>
        <w:bidi w:val="0"/>
        <w:adjustRightInd w:val="0"/>
        <w:snapToGrid w:val="0"/>
        <w:spacing w:line="360" w:lineRule="auto"/>
        <w:ind w:right="0" w:rightChars="0" w:firstLine="480" w:firstLineChars="200"/>
        <w:rPr>
          <w:rFonts w:hint="eastAsia" w:ascii="宋体" w:hAnsi="宋体" w:eastAsia="宋体" w:cs="宋体"/>
          <w:color w:val="auto"/>
          <w:sz w:val="24"/>
          <w:highlight w:val="none"/>
        </w:rPr>
      </w:pPr>
      <w:r>
        <w:rPr>
          <w:rFonts w:hint="eastAsia" w:ascii="宋体" w:hAnsi="宋体" w:eastAsia="宋体" w:cs="宋体"/>
          <w:color w:val="auto"/>
          <w:w w:val="100"/>
          <w:sz w:val="24"/>
          <w:highlight w:val="none"/>
        </w:rPr>
        <w:t>23.4未按本要求密封、标记的响应文件，采购人（或采购代理机构）不对后果负责。</w:t>
      </w:r>
    </w:p>
    <w:p w14:paraId="6F70D41B">
      <w:pPr>
        <w:pageBreakBefore w:val="0"/>
        <w:kinsoku/>
        <w:wordWrap/>
        <w:topLinePunct w:val="0"/>
        <w:autoSpaceDE/>
        <w:autoSpaceDN/>
        <w:bidi w:val="0"/>
        <w:adjustRightInd/>
        <w:snapToGrid w:val="0"/>
        <w:spacing w:before="0" w:after="0" w:line="360" w:lineRule="auto"/>
        <w:ind w:left="0" w:firstLine="480"/>
        <w:jc w:val="both"/>
        <w:rPr>
          <w:rFonts w:hint="eastAsia" w:ascii="宋体" w:hAnsi="宋体" w:eastAsia="宋体" w:cs="宋体"/>
          <w:color w:val="auto"/>
          <w:w w:val="100"/>
          <w:sz w:val="24"/>
          <w:highlight w:val="none"/>
        </w:rPr>
      </w:pPr>
      <w:r>
        <w:rPr>
          <w:rFonts w:hint="eastAsia" w:ascii="宋体" w:hAnsi="宋体" w:eastAsia="宋体" w:cs="宋体"/>
          <w:color w:val="auto"/>
          <w:w w:val="100"/>
          <w:sz w:val="24"/>
          <w:highlight w:val="none"/>
        </w:rPr>
        <w:t>24、递交响应文件截止时间</w:t>
      </w:r>
    </w:p>
    <w:p w14:paraId="499B3C32">
      <w:pPr>
        <w:pageBreakBefore w:val="0"/>
        <w:kinsoku/>
        <w:wordWrap/>
        <w:topLinePunct w:val="0"/>
        <w:autoSpaceDE/>
        <w:autoSpaceDN/>
        <w:bidi w:val="0"/>
        <w:adjustRightInd/>
        <w:snapToGrid w:val="0"/>
        <w:spacing w:before="0" w:after="0" w:line="360" w:lineRule="auto"/>
        <w:ind w:left="0" w:firstLine="480"/>
        <w:jc w:val="both"/>
        <w:rPr>
          <w:rFonts w:hint="eastAsia" w:ascii="宋体" w:hAnsi="宋体" w:eastAsia="宋体" w:cs="宋体"/>
          <w:color w:val="auto"/>
          <w:w w:val="100"/>
          <w:sz w:val="24"/>
          <w:highlight w:val="none"/>
        </w:rPr>
      </w:pPr>
      <w:r>
        <w:rPr>
          <w:rFonts w:hint="eastAsia" w:ascii="宋体" w:hAnsi="宋体" w:eastAsia="宋体" w:cs="宋体"/>
          <w:color w:val="auto"/>
          <w:w w:val="100"/>
          <w:sz w:val="24"/>
          <w:highlight w:val="none"/>
        </w:rPr>
        <w:t>24.1 所有响应文件都必须按采购人在供应商须知前附表中规定的截止时间之前送达。</w:t>
      </w:r>
    </w:p>
    <w:p w14:paraId="5F59A8DD">
      <w:pPr>
        <w:pageBreakBefore w:val="0"/>
        <w:kinsoku/>
        <w:wordWrap/>
        <w:topLinePunct w:val="0"/>
        <w:autoSpaceDE/>
        <w:autoSpaceDN/>
        <w:bidi w:val="0"/>
        <w:adjustRightInd/>
        <w:snapToGrid w:val="0"/>
        <w:spacing w:before="0" w:after="0" w:line="360" w:lineRule="auto"/>
        <w:ind w:left="0" w:firstLine="480"/>
        <w:jc w:val="both"/>
        <w:rPr>
          <w:rFonts w:hint="eastAsia" w:ascii="宋体" w:hAnsi="宋体" w:eastAsia="宋体" w:cs="宋体"/>
          <w:color w:val="auto"/>
          <w:w w:val="100"/>
          <w:sz w:val="24"/>
          <w:highlight w:val="none"/>
        </w:rPr>
      </w:pPr>
      <w:r>
        <w:rPr>
          <w:rFonts w:hint="eastAsia" w:ascii="宋体" w:hAnsi="宋体" w:eastAsia="宋体" w:cs="宋体"/>
          <w:color w:val="auto"/>
          <w:w w:val="100"/>
          <w:sz w:val="24"/>
          <w:highlight w:val="none"/>
        </w:rPr>
        <w:t>24.2出现因磋商文件的修改推迟截止日期时，则按采购代理机构修改通知规定的时间递交响应文件。在此情况下，采购人和采购代理机构与供应商之间受截止期制约的所有权利和义务应延长至新的截止期。</w:t>
      </w:r>
    </w:p>
    <w:p w14:paraId="26DFE729">
      <w:pPr>
        <w:pageBreakBefore w:val="0"/>
        <w:kinsoku/>
        <w:wordWrap/>
        <w:topLinePunct w:val="0"/>
        <w:autoSpaceDE/>
        <w:autoSpaceDN/>
        <w:bidi w:val="0"/>
        <w:adjustRightInd/>
        <w:snapToGrid w:val="0"/>
        <w:spacing w:before="0" w:after="0" w:line="360" w:lineRule="auto"/>
        <w:ind w:left="0" w:firstLine="480"/>
        <w:jc w:val="both"/>
        <w:rPr>
          <w:rFonts w:hint="eastAsia" w:ascii="宋体" w:hAnsi="宋体" w:eastAsia="宋体" w:cs="宋体"/>
          <w:color w:val="auto"/>
          <w:w w:val="100"/>
          <w:sz w:val="24"/>
          <w:highlight w:val="none"/>
        </w:rPr>
      </w:pPr>
      <w:r>
        <w:rPr>
          <w:rFonts w:hint="eastAsia" w:ascii="宋体" w:hAnsi="宋体" w:eastAsia="宋体" w:cs="宋体"/>
          <w:color w:val="auto"/>
          <w:w w:val="100"/>
          <w:sz w:val="24"/>
          <w:highlight w:val="none"/>
        </w:rPr>
        <w:t>25、迟交的响应文件</w:t>
      </w:r>
    </w:p>
    <w:p w14:paraId="210655EA">
      <w:pPr>
        <w:pageBreakBefore w:val="0"/>
        <w:kinsoku/>
        <w:wordWrap/>
        <w:topLinePunct w:val="0"/>
        <w:autoSpaceDE/>
        <w:autoSpaceDN/>
        <w:bidi w:val="0"/>
        <w:adjustRightInd/>
        <w:snapToGrid w:val="0"/>
        <w:spacing w:before="0" w:after="0" w:line="360" w:lineRule="auto"/>
        <w:ind w:left="0" w:firstLine="480"/>
        <w:jc w:val="both"/>
        <w:rPr>
          <w:rFonts w:hint="eastAsia" w:ascii="宋体" w:hAnsi="宋体" w:eastAsia="宋体" w:cs="宋体"/>
          <w:color w:val="auto"/>
          <w:w w:val="100"/>
          <w:sz w:val="24"/>
          <w:highlight w:val="none"/>
        </w:rPr>
      </w:pPr>
      <w:r>
        <w:rPr>
          <w:rFonts w:hint="eastAsia" w:ascii="宋体" w:hAnsi="宋体" w:eastAsia="宋体" w:cs="宋体"/>
          <w:color w:val="auto"/>
          <w:w w:val="100"/>
          <w:sz w:val="24"/>
          <w:highlight w:val="none"/>
        </w:rPr>
        <w:t>25.1 采购人将拒绝并原封退回在其规定的截止时间后送达的响应文件。</w:t>
      </w:r>
    </w:p>
    <w:p w14:paraId="66950478">
      <w:pPr>
        <w:pageBreakBefore w:val="0"/>
        <w:kinsoku/>
        <w:wordWrap/>
        <w:topLinePunct w:val="0"/>
        <w:autoSpaceDE/>
        <w:autoSpaceDN/>
        <w:bidi w:val="0"/>
        <w:adjustRightInd/>
        <w:snapToGrid w:val="0"/>
        <w:spacing w:before="0" w:after="0" w:line="360" w:lineRule="auto"/>
        <w:ind w:left="0" w:firstLine="480"/>
        <w:jc w:val="both"/>
        <w:rPr>
          <w:rFonts w:hint="eastAsia" w:ascii="宋体" w:hAnsi="宋体" w:eastAsia="宋体" w:cs="宋体"/>
          <w:color w:val="auto"/>
          <w:w w:val="100"/>
          <w:sz w:val="24"/>
          <w:highlight w:val="none"/>
        </w:rPr>
      </w:pPr>
      <w:r>
        <w:rPr>
          <w:rFonts w:hint="eastAsia" w:ascii="宋体" w:hAnsi="宋体" w:eastAsia="宋体" w:cs="宋体"/>
          <w:color w:val="auto"/>
          <w:w w:val="100"/>
          <w:sz w:val="24"/>
          <w:highlight w:val="none"/>
        </w:rPr>
        <w:t>26、响应文件的修改和撤回</w:t>
      </w:r>
    </w:p>
    <w:p w14:paraId="75DCF936">
      <w:pPr>
        <w:pageBreakBefore w:val="0"/>
        <w:kinsoku/>
        <w:wordWrap/>
        <w:topLinePunct w:val="0"/>
        <w:autoSpaceDE/>
        <w:autoSpaceDN/>
        <w:bidi w:val="0"/>
        <w:adjustRightInd/>
        <w:snapToGrid w:val="0"/>
        <w:spacing w:before="0" w:after="0" w:line="360" w:lineRule="auto"/>
        <w:ind w:left="0" w:firstLine="480"/>
        <w:jc w:val="both"/>
        <w:rPr>
          <w:rFonts w:hint="eastAsia" w:ascii="宋体" w:hAnsi="宋体" w:eastAsia="宋体" w:cs="宋体"/>
          <w:color w:val="auto"/>
          <w:w w:val="100"/>
          <w:sz w:val="24"/>
          <w:highlight w:val="none"/>
        </w:rPr>
      </w:pPr>
      <w:r>
        <w:rPr>
          <w:rFonts w:hint="eastAsia" w:ascii="宋体" w:hAnsi="宋体" w:eastAsia="宋体" w:cs="宋体"/>
          <w:color w:val="auto"/>
          <w:w w:val="100"/>
          <w:sz w:val="24"/>
          <w:highlight w:val="none"/>
        </w:rPr>
        <w:t>26.1 供应商在提交响应文件后可在截止时间前对其响应文件进行修改或撤回，但采购人须在截止时间之前收到该修改或撤回的书面通知，该通知须有法定代表人或经有效授权的委托代理人签字或盖章。</w:t>
      </w:r>
    </w:p>
    <w:p w14:paraId="75151303">
      <w:pPr>
        <w:pageBreakBefore w:val="0"/>
        <w:kinsoku/>
        <w:wordWrap/>
        <w:topLinePunct w:val="0"/>
        <w:autoSpaceDE/>
        <w:autoSpaceDN/>
        <w:bidi w:val="0"/>
        <w:adjustRightInd/>
        <w:snapToGrid w:val="0"/>
        <w:spacing w:before="0" w:after="0" w:line="360" w:lineRule="auto"/>
        <w:ind w:left="0" w:firstLine="480"/>
        <w:jc w:val="both"/>
        <w:rPr>
          <w:rFonts w:hint="eastAsia" w:ascii="宋体" w:hAnsi="宋体" w:eastAsia="宋体" w:cs="宋体"/>
          <w:color w:val="auto"/>
          <w:w w:val="100"/>
          <w:sz w:val="24"/>
          <w:highlight w:val="none"/>
        </w:rPr>
      </w:pPr>
      <w:r>
        <w:rPr>
          <w:rFonts w:hint="eastAsia" w:ascii="宋体" w:hAnsi="宋体" w:eastAsia="宋体" w:cs="宋体"/>
          <w:color w:val="auto"/>
          <w:w w:val="100"/>
          <w:sz w:val="24"/>
          <w:highlight w:val="none"/>
        </w:rPr>
        <w:t>26.2 供应商对响应文件修改的书面材料或撤回的通知应按第2</w:t>
      </w:r>
      <w:r>
        <w:rPr>
          <w:rFonts w:hint="eastAsia" w:ascii="宋体" w:hAnsi="宋体" w:eastAsia="宋体" w:cs="宋体"/>
          <w:color w:val="auto"/>
          <w:w w:val="100"/>
          <w:sz w:val="24"/>
          <w:highlight w:val="none"/>
          <w:lang w:val="en-US" w:eastAsia="zh-CN"/>
        </w:rPr>
        <w:t>3</w:t>
      </w:r>
      <w:r>
        <w:rPr>
          <w:rFonts w:hint="eastAsia" w:ascii="宋体" w:hAnsi="宋体" w:eastAsia="宋体" w:cs="宋体"/>
          <w:color w:val="auto"/>
          <w:w w:val="100"/>
          <w:sz w:val="24"/>
          <w:highlight w:val="none"/>
        </w:rPr>
        <w:t>条和第2</w:t>
      </w:r>
      <w:r>
        <w:rPr>
          <w:rFonts w:hint="eastAsia" w:ascii="宋体" w:hAnsi="宋体" w:eastAsia="宋体" w:cs="宋体"/>
          <w:color w:val="auto"/>
          <w:w w:val="100"/>
          <w:sz w:val="24"/>
          <w:highlight w:val="none"/>
          <w:lang w:val="en-US" w:eastAsia="zh-CN"/>
        </w:rPr>
        <w:t>4</w:t>
      </w:r>
      <w:r>
        <w:rPr>
          <w:rFonts w:hint="eastAsia" w:ascii="宋体" w:hAnsi="宋体" w:eastAsia="宋体" w:cs="宋体"/>
          <w:color w:val="auto"/>
          <w:w w:val="100"/>
          <w:sz w:val="24"/>
          <w:highlight w:val="none"/>
        </w:rPr>
        <w:t>条规定进行编写、密封、标记和递交，并注明“修改响应文件”或“撤回响应文件”字样。</w:t>
      </w:r>
    </w:p>
    <w:p w14:paraId="24D5D0A0">
      <w:pPr>
        <w:pageBreakBefore w:val="0"/>
        <w:kinsoku/>
        <w:wordWrap/>
        <w:topLinePunct w:val="0"/>
        <w:autoSpaceDE/>
        <w:autoSpaceDN/>
        <w:bidi w:val="0"/>
        <w:adjustRightInd/>
        <w:snapToGrid w:val="0"/>
        <w:spacing w:before="0" w:after="0" w:line="360" w:lineRule="auto"/>
        <w:ind w:left="0" w:firstLine="480"/>
        <w:jc w:val="both"/>
        <w:rPr>
          <w:rFonts w:hint="eastAsia" w:ascii="宋体" w:hAnsi="宋体" w:eastAsia="宋体" w:cs="宋体"/>
          <w:color w:val="auto"/>
          <w:w w:val="100"/>
          <w:sz w:val="24"/>
          <w:highlight w:val="none"/>
        </w:rPr>
      </w:pPr>
      <w:r>
        <w:rPr>
          <w:rFonts w:hint="eastAsia" w:ascii="宋体" w:hAnsi="宋体" w:eastAsia="宋体" w:cs="宋体"/>
          <w:color w:val="auto"/>
          <w:w w:val="100"/>
          <w:sz w:val="24"/>
          <w:highlight w:val="none"/>
        </w:rPr>
        <w:t>2</w:t>
      </w:r>
      <w:r>
        <w:rPr>
          <w:rFonts w:hint="eastAsia" w:ascii="宋体" w:hAnsi="宋体" w:eastAsia="宋体" w:cs="宋体"/>
          <w:color w:val="auto"/>
          <w:w w:val="100"/>
          <w:sz w:val="24"/>
          <w:highlight w:val="none"/>
          <w:lang w:val="en-US" w:eastAsia="zh-CN"/>
        </w:rPr>
        <w:t>6</w:t>
      </w:r>
      <w:r>
        <w:rPr>
          <w:rFonts w:hint="eastAsia" w:ascii="宋体" w:hAnsi="宋体" w:eastAsia="宋体" w:cs="宋体"/>
          <w:color w:val="auto"/>
          <w:w w:val="100"/>
          <w:sz w:val="24"/>
          <w:highlight w:val="none"/>
        </w:rPr>
        <w:t>.3截止时间之后，供应商不得对响应文件做任何修改。</w:t>
      </w:r>
    </w:p>
    <w:p w14:paraId="6620E759">
      <w:pPr>
        <w:pageBreakBefore w:val="0"/>
        <w:kinsoku/>
        <w:wordWrap/>
        <w:topLinePunct w:val="0"/>
        <w:autoSpaceDE/>
        <w:autoSpaceDN/>
        <w:bidi w:val="0"/>
        <w:adjustRightInd/>
        <w:snapToGrid w:val="0"/>
        <w:spacing w:before="0" w:after="0" w:line="360" w:lineRule="auto"/>
        <w:ind w:left="0" w:firstLine="480"/>
        <w:jc w:val="both"/>
        <w:rPr>
          <w:rFonts w:hint="eastAsia" w:ascii="宋体" w:hAnsi="宋体" w:eastAsia="宋体" w:cs="宋体"/>
          <w:color w:val="auto"/>
          <w:w w:val="100"/>
          <w:sz w:val="24"/>
          <w:highlight w:val="none"/>
        </w:rPr>
      </w:pPr>
      <w:r>
        <w:rPr>
          <w:rFonts w:hint="eastAsia" w:ascii="宋体" w:hAnsi="宋体" w:eastAsia="宋体" w:cs="宋体"/>
          <w:color w:val="auto"/>
          <w:w w:val="100"/>
          <w:sz w:val="24"/>
          <w:highlight w:val="none"/>
        </w:rPr>
        <w:t>2</w:t>
      </w:r>
      <w:r>
        <w:rPr>
          <w:rFonts w:hint="eastAsia" w:ascii="宋体" w:hAnsi="宋体" w:eastAsia="宋体" w:cs="宋体"/>
          <w:color w:val="auto"/>
          <w:w w:val="100"/>
          <w:sz w:val="24"/>
          <w:highlight w:val="none"/>
          <w:lang w:val="en-US" w:eastAsia="zh-CN"/>
        </w:rPr>
        <w:t>6</w:t>
      </w:r>
      <w:r>
        <w:rPr>
          <w:rFonts w:hint="eastAsia" w:ascii="宋体" w:hAnsi="宋体" w:eastAsia="宋体" w:cs="宋体"/>
          <w:color w:val="auto"/>
          <w:w w:val="100"/>
          <w:sz w:val="24"/>
          <w:highlight w:val="none"/>
        </w:rPr>
        <w:t>.4 供应商不得在截止时间起至响应文件有效期期满前撤回响应文件。</w:t>
      </w:r>
    </w:p>
    <w:p w14:paraId="6357D983">
      <w:pPr>
        <w:pageBreakBefore w:val="0"/>
        <w:kinsoku/>
        <w:wordWrap/>
        <w:topLinePunct w:val="0"/>
        <w:autoSpaceDE/>
        <w:autoSpaceDN/>
        <w:bidi w:val="0"/>
        <w:adjustRightInd/>
        <w:snapToGrid w:val="0"/>
        <w:spacing w:before="0" w:after="0" w:line="360" w:lineRule="auto"/>
        <w:ind w:left="0" w:firstLine="480"/>
        <w:jc w:val="both"/>
        <w:rPr>
          <w:rFonts w:hint="eastAsia" w:ascii="宋体" w:hAnsi="宋体" w:eastAsia="宋体" w:cs="宋体"/>
          <w:color w:val="auto"/>
          <w:w w:val="100"/>
          <w:sz w:val="24"/>
          <w:highlight w:val="none"/>
        </w:rPr>
      </w:pPr>
      <w:r>
        <w:rPr>
          <w:rFonts w:hint="eastAsia" w:ascii="宋体" w:hAnsi="宋体" w:eastAsia="宋体" w:cs="宋体"/>
          <w:color w:val="auto"/>
          <w:w w:val="100"/>
          <w:sz w:val="24"/>
          <w:highlight w:val="none"/>
        </w:rPr>
        <w:t>27、递交响应文件</w:t>
      </w:r>
    </w:p>
    <w:p w14:paraId="19C0079D">
      <w:pPr>
        <w:pageBreakBefore w:val="0"/>
        <w:kinsoku/>
        <w:wordWrap/>
        <w:topLinePunct w:val="0"/>
        <w:autoSpaceDE/>
        <w:autoSpaceDN/>
        <w:bidi w:val="0"/>
        <w:adjustRightInd/>
        <w:snapToGrid w:val="0"/>
        <w:spacing w:before="0" w:after="0" w:line="360" w:lineRule="auto"/>
        <w:ind w:left="0" w:firstLine="480"/>
        <w:jc w:val="both"/>
        <w:rPr>
          <w:rFonts w:hint="eastAsia" w:ascii="宋体" w:hAnsi="宋体" w:eastAsia="宋体" w:cs="宋体"/>
          <w:color w:val="auto"/>
          <w:w w:val="100"/>
          <w:sz w:val="24"/>
          <w:highlight w:val="none"/>
        </w:rPr>
      </w:pPr>
      <w:r>
        <w:rPr>
          <w:rFonts w:hint="eastAsia" w:ascii="宋体" w:hAnsi="宋体" w:eastAsia="宋体" w:cs="宋体"/>
          <w:color w:val="auto"/>
          <w:w w:val="100"/>
          <w:sz w:val="24"/>
          <w:highlight w:val="none"/>
        </w:rPr>
        <w:t>27.1供应商应按本供应商须知前附表规定的时间及地点递交响应文件。</w:t>
      </w:r>
    </w:p>
    <w:p w14:paraId="4B3790AB">
      <w:pPr>
        <w:pageBreakBefore w:val="0"/>
        <w:kinsoku/>
        <w:wordWrap/>
        <w:topLinePunct w:val="0"/>
        <w:autoSpaceDE/>
        <w:autoSpaceDN/>
        <w:bidi w:val="0"/>
        <w:adjustRightInd/>
        <w:snapToGrid w:val="0"/>
        <w:spacing w:before="0" w:after="0" w:line="360" w:lineRule="auto"/>
        <w:ind w:left="0" w:firstLine="482"/>
        <w:jc w:val="both"/>
        <w:rPr>
          <w:rFonts w:hint="eastAsia" w:ascii="宋体" w:hAnsi="宋体" w:eastAsia="宋体" w:cs="宋体"/>
          <w:b/>
          <w:color w:val="auto"/>
          <w:w w:val="100"/>
          <w:sz w:val="24"/>
          <w:highlight w:val="none"/>
        </w:rPr>
      </w:pPr>
      <w:r>
        <w:rPr>
          <w:rFonts w:hint="eastAsia" w:ascii="宋体" w:hAnsi="宋体" w:eastAsia="宋体" w:cs="宋体"/>
          <w:b/>
          <w:color w:val="auto"/>
          <w:w w:val="100"/>
          <w:sz w:val="24"/>
          <w:highlight w:val="none"/>
        </w:rPr>
        <w:t>27.2有下列情形之一的，采购人不予接收其响应文件：</w:t>
      </w:r>
    </w:p>
    <w:p w14:paraId="219C3540">
      <w:pPr>
        <w:pageBreakBefore w:val="0"/>
        <w:kinsoku/>
        <w:wordWrap/>
        <w:topLinePunct w:val="0"/>
        <w:autoSpaceDE/>
        <w:autoSpaceDN/>
        <w:bidi w:val="0"/>
        <w:adjustRightInd/>
        <w:snapToGrid w:val="0"/>
        <w:spacing w:before="0" w:after="0" w:line="360" w:lineRule="auto"/>
        <w:ind w:left="0" w:firstLine="480"/>
        <w:jc w:val="both"/>
        <w:rPr>
          <w:rFonts w:hint="eastAsia" w:ascii="宋体" w:hAnsi="宋体" w:eastAsia="宋体" w:cs="宋体"/>
          <w:color w:val="auto"/>
          <w:w w:val="100"/>
          <w:sz w:val="24"/>
          <w:highlight w:val="none"/>
        </w:rPr>
      </w:pPr>
      <w:r>
        <w:rPr>
          <w:rFonts w:hint="eastAsia" w:ascii="宋体" w:hAnsi="宋体" w:eastAsia="宋体" w:cs="宋体"/>
          <w:color w:val="auto"/>
          <w:w w:val="100"/>
          <w:sz w:val="24"/>
          <w:highlight w:val="none"/>
        </w:rPr>
        <w:t>27.2.1供应商在递交响应文件截止时间后送达或未送达到指定地点的响应文件；</w:t>
      </w:r>
    </w:p>
    <w:p w14:paraId="4F58E7F5">
      <w:pPr>
        <w:keepNext w:val="0"/>
        <w:keepLines w:val="0"/>
        <w:pageBreakBefore w:val="0"/>
        <w:kinsoku/>
        <w:wordWrap/>
        <w:overflowPunct/>
        <w:topLinePunct w:val="0"/>
        <w:autoSpaceDE/>
        <w:autoSpaceDN/>
        <w:bidi w:val="0"/>
        <w:spacing w:line="360" w:lineRule="auto"/>
        <w:ind w:right="0" w:rightChars="0" w:firstLine="480" w:firstLineChars="200"/>
        <w:rPr>
          <w:rFonts w:hint="eastAsia" w:ascii="宋体" w:hAnsi="宋体" w:eastAsia="宋体" w:cs="宋体"/>
          <w:b/>
          <w:bCs/>
          <w:color w:val="auto"/>
          <w:sz w:val="24"/>
          <w:highlight w:val="none"/>
        </w:rPr>
      </w:pPr>
      <w:r>
        <w:rPr>
          <w:rFonts w:hint="eastAsia" w:ascii="宋体" w:hAnsi="宋体" w:eastAsia="宋体" w:cs="宋体"/>
          <w:color w:val="auto"/>
          <w:w w:val="100"/>
          <w:sz w:val="24"/>
          <w:highlight w:val="none"/>
        </w:rPr>
        <w:t>27.2.2 响应文件未按磋商文件要求密封的。</w:t>
      </w:r>
    </w:p>
    <w:p w14:paraId="25746E94">
      <w:pPr>
        <w:pStyle w:val="70"/>
        <w:rPr>
          <w:rFonts w:hint="eastAsia"/>
          <w:color w:val="auto"/>
          <w:highlight w:val="none"/>
        </w:rPr>
      </w:pPr>
    </w:p>
    <w:p w14:paraId="7D617832">
      <w:pPr>
        <w:wordWrap/>
        <w:spacing w:line="360" w:lineRule="auto"/>
        <w:ind w:firstLine="562" w:firstLineChars="200"/>
        <w:jc w:val="center"/>
        <w:outlineLvl w:val="1"/>
        <w:rPr>
          <w:rFonts w:hint="eastAsia" w:ascii="宋体" w:hAnsi="宋体" w:eastAsia="宋体" w:cs="宋体"/>
          <w:b/>
          <w:bCs/>
          <w:color w:val="auto"/>
          <w:sz w:val="28"/>
          <w:szCs w:val="28"/>
          <w:highlight w:val="none"/>
        </w:rPr>
      </w:pPr>
      <w:bookmarkStart w:id="100" w:name="_Toc233274840"/>
      <w:bookmarkStart w:id="101" w:name="_Toc246216209"/>
      <w:bookmarkStart w:id="102" w:name="_Toc243906339"/>
      <w:bookmarkStart w:id="103" w:name="_Toc243907600"/>
      <w:r>
        <w:rPr>
          <w:rFonts w:hint="eastAsia" w:ascii="宋体" w:hAnsi="宋体" w:eastAsia="宋体" w:cs="宋体"/>
          <w:b/>
          <w:bCs/>
          <w:color w:val="auto"/>
          <w:sz w:val="28"/>
          <w:szCs w:val="28"/>
          <w:highlight w:val="none"/>
        </w:rPr>
        <w:t xml:space="preserve">E  </w:t>
      </w:r>
      <w:bookmarkEnd w:id="100"/>
      <w:bookmarkEnd w:id="101"/>
      <w:bookmarkEnd w:id="102"/>
      <w:bookmarkEnd w:id="103"/>
      <w:r>
        <w:rPr>
          <w:rFonts w:hint="eastAsia" w:ascii="宋体" w:hAnsi="宋体" w:eastAsia="宋体" w:cs="宋体"/>
          <w:b/>
          <w:bCs/>
          <w:color w:val="auto"/>
          <w:sz w:val="28"/>
          <w:szCs w:val="28"/>
          <w:highlight w:val="none"/>
        </w:rPr>
        <w:t>磋商、评审、确定成交供应商</w:t>
      </w:r>
    </w:p>
    <w:p w14:paraId="3E1D22A1">
      <w:pPr>
        <w:wordWrap/>
        <w:spacing w:line="360" w:lineRule="auto"/>
        <w:ind w:firstLine="480" w:firstLineChars="200"/>
        <w:rPr>
          <w:rFonts w:hint="eastAsia" w:ascii="宋体" w:hAnsi="宋体" w:eastAsia="宋体" w:cs="宋体"/>
          <w:color w:val="auto"/>
          <w:sz w:val="24"/>
          <w:szCs w:val="20"/>
          <w:highlight w:val="none"/>
        </w:rPr>
      </w:pPr>
    </w:p>
    <w:p w14:paraId="789CE7E3">
      <w:pPr>
        <w:keepNext w:val="0"/>
        <w:keepLines w:val="0"/>
        <w:pageBreakBefore w:val="0"/>
        <w:kinsoku/>
        <w:wordWrap/>
        <w:overflowPunct/>
        <w:topLinePunct w:val="0"/>
        <w:autoSpaceDE/>
        <w:autoSpaceDN/>
        <w:bidi w:val="0"/>
        <w:spacing w:line="360" w:lineRule="auto"/>
        <w:ind w:right="0" w:rightChars="0" w:firstLine="480" w:firstLineChars="200"/>
        <w:outlineLvl w:val="1"/>
        <w:rPr>
          <w:rFonts w:hint="eastAsia" w:ascii="宋体" w:hAnsi="宋体" w:eastAsia="宋体" w:cs="宋体"/>
          <w:color w:val="auto"/>
          <w:sz w:val="24"/>
          <w:szCs w:val="20"/>
          <w:highlight w:val="none"/>
        </w:rPr>
      </w:pPr>
      <w:bookmarkStart w:id="104" w:name="_Toc243906340"/>
      <w:bookmarkStart w:id="105" w:name="_Toc233274841"/>
      <w:bookmarkStart w:id="106" w:name="_Toc245897301"/>
      <w:bookmarkStart w:id="107" w:name="_Toc243907601"/>
      <w:r>
        <w:rPr>
          <w:rFonts w:hint="eastAsia" w:ascii="宋体" w:hAnsi="宋体" w:eastAsia="宋体" w:cs="宋体"/>
          <w:color w:val="auto"/>
          <w:sz w:val="24"/>
          <w:szCs w:val="20"/>
          <w:highlight w:val="none"/>
        </w:rPr>
        <w:t>28、</w:t>
      </w:r>
      <w:bookmarkEnd w:id="104"/>
      <w:bookmarkEnd w:id="105"/>
      <w:bookmarkEnd w:id="106"/>
      <w:bookmarkEnd w:id="107"/>
      <w:r>
        <w:rPr>
          <w:rFonts w:hint="eastAsia" w:ascii="宋体" w:hAnsi="宋体" w:eastAsia="宋体" w:cs="宋体"/>
          <w:color w:val="auto"/>
          <w:sz w:val="24"/>
          <w:szCs w:val="20"/>
          <w:highlight w:val="none"/>
        </w:rPr>
        <w:t>磋商会议</w:t>
      </w:r>
    </w:p>
    <w:p w14:paraId="12B03DD6">
      <w:pPr>
        <w:keepNext w:val="0"/>
        <w:keepLines w:val="0"/>
        <w:pageBreakBefore w:val="0"/>
        <w:kinsoku/>
        <w:wordWrap/>
        <w:overflowPunct/>
        <w:topLinePunct w:val="0"/>
        <w:autoSpaceDE/>
        <w:autoSpaceDN/>
        <w:bidi w:val="0"/>
        <w:spacing w:line="360" w:lineRule="auto"/>
        <w:ind w:right="0" w:rightChars="0"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28.1采购人在本供应商须知前附表规定的时间和地点组织磋商会议。</w:t>
      </w:r>
    </w:p>
    <w:p w14:paraId="5A021731">
      <w:pPr>
        <w:pageBreakBefore w:val="0"/>
        <w:kinsoku/>
        <w:wordWrap/>
        <w:topLinePunct w:val="0"/>
        <w:autoSpaceDE/>
        <w:autoSpaceDN/>
        <w:bidi w:val="0"/>
        <w:adjustRightInd/>
        <w:snapToGrid w:val="0"/>
        <w:spacing w:before="0" w:after="0" w:line="360" w:lineRule="auto"/>
        <w:ind w:left="0" w:firstLine="480"/>
        <w:jc w:val="both"/>
        <w:rPr>
          <w:rFonts w:hint="eastAsia" w:ascii="宋体" w:hAnsi="宋体" w:eastAsia="宋体" w:cs="宋体"/>
          <w:color w:val="auto"/>
          <w:w w:val="100"/>
          <w:sz w:val="24"/>
          <w:highlight w:val="none"/>
        </w:rPr>
      </w:pPr>
      <w:r>
        <w:rPr>
          <w:rFonts w:hint="eastAsia" w:ascii="宋体" w:hAnsi="宋体" w:eastAsia="宋体" w:cs="宋体"/>
          <w:color w:val="auto"/>
          <w:w w:val="100"/>
          <w:sz w:val="24"/>
          <w:highlight w:val="none"/>
        </w:rPr>
        <w:t>28.2供应商应委派代表参加磋商会议。</w:t>
      </w:r>
      <w:r>
        <w:rPr>
          <w:rFonts w:hint="eastAsia" w:ascii="宋体" w:hAnsi="宋体" w:eastAsia="宋体" w:cs="宋体"/>
          <w:b/>
          <w:color w:val="auto"/>
          <w:w w:val="100"/>
          <w:sz w:val="24"/>
          <w:highlight w:val="none"/>
        </w:rPr>
        <w:t>参加磋商会议的代表应持有法定代表人身份证原件或法定代表人授权委托书及委托代理人身份证原件</w:t>
      </w:r>
      <w:r>
        <w:rPr>
          <w:rFonts w:hint="eastAsia" w:ascii="宋体" w:hAnsi="宋体" w:eastAsia="宋体" w:cs="宋体"/>
          <w:color w:val="auto"/>
          <w:w w:val="100"/>
          <w:sz w:val="24"/>
          <w:highlight w:val="none"/>
        </w:rPr>
        <w:t>。</w:t>
      </w:r>
    </w:p>
    <w:p w14:paraId="798BF02C">
      <w:pPr>
        <w:pageBreakBefore w:val="0"/>
        <w:kinsoku/>
        <w:wordWrap/>
        <w:topLinePunct w:val="0"/>
        <w:autoSpaceDE/>
        <w:autoSpaceDN/>
        <w:bidi w:val="0"/>
        <w:adjustRightInd/>
        <w:snapToGrid w:val="0"/>
        <w:spacing w:before="0" w:after="0" w:line="360" w:lineRule="auto"/>
        <w:ind w:left="0" w:firstLine="480"/>
        <w:jc w:val="both"/>
        <w:rPr>
          <w:rFonts w:hint="eastAsia" w:ascii="宋体" w:hAnsi="宋体" w:eastAsia="宋体" w:cs="宋体"/>
          <w:color w:val="auto"/>
          <w:w w:val="100"/>
          <w:sz w:val="24"/>
          <w:highlight w:val="none"/>
        </w:rPr>
      </w:pPr>
      <w:r>
        <w:rPr>
          <w:rFonts w:hint="eastAsia" w:ascii="宋体" w:hAnsi="宋体" w:eastAsia="宋体" w:cs="宋体"/>
          <w:color w:val="auto"/>
          <w:w w:val="100"/>
          <w:sz w:val="24"/>
          <w:highlight w:val="none"/>
        </w:rPr>
        <w:t>28.3磋商会议由采购代理机构组织并主持。</w:t>
      </w:r>
    </w:p>
    <w:p w14:paraId="4D09C05E">
      <w:pPr>
        <w:wordWrap/>
        <w:adjustRightInd/>
        <w:snapToGrid/>
        <w:spacing w:line="360" w:lineRule="auto"/>
        <w:ind w:firstLine="480" w:firstLineChars="20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w w:val="100"/>
          <w:sz w:val="24"/>
          <w:highlight w:val="none"/>
        </w:rPr>
        <w:t>28.4在磋商过程中，工作人员如发现响应文件组成部分不齐全，由磋商小组认定其有效性。磋商小组认定的无效响应文件将不进入磋商、评审阶段</w:t>
      </w:r>
      <w:r>
        <w:rPr>
          <w:rFonts w:hint="eastAsia" w:ascii="宋体" w:hAnsi="宋体" w:eastAsia="宋体" w:cs="宋体"/>
          <w:color w:val="auto"/>
          <w:sz w:val="24"/>
          <w:highlight w:val="none"/>
        </w:rPr>
        <w:t>。</w:t>
      </w:r>
    </w:p>
    <w:p w14:paraId="417D52CA">
      <w:pPr>
        <w:keepNext w:val="0"/>
        <w:keepLines w:val="0"/>
        <w:pageBreakBefore w:val="0"/>
        <w:kinsoku/>
        <w:wordWrap/>
        <w:overflowPunct/>
        <w:topLinePunct w:val="0"/>
        <w:autoSpaceDE/>
        <w:autoSpaceDN/>
        <w:bidi w:val="0"/>
        <w:spacing w:line="360" w:lineRule="auto"/>
        <w:ind w:right="0" w:rightChars="0" w:firstLine="480" w:firstLineChars="200"/>
        <w:outlineLvl w:val="1"/>
        <w:rPr>
          <w:rFonts w:hint="eastAsia" w:ascii="宋体" w:hAnsi="宋体" w:eastAsia="宋体" w:cs="宋体"/>
          <w:color w:val="auto"/>
          <w:sz w:val="24"/>
          <w:szCs w:val="20"/>
          <w:highlight w:val="none"/>
        </w:rPr>
      </w:pPr>
      <w:bookmarkStart w:id="108" w:name="_Toc243906341"/>
      <w:bookmarkStart w:id="109" w:name="_Toc245897302"/>
      <w:bookmarkStart w:id="110" w:name="_Toc233274842"/>
      <w:bookmarkStart w:id="111" w:name="_Toc243907602"/>
      <w:r>
        <w:rPr>
          <w:rFonts w:hint="eastAsia" w:ascii="宋体" w:hAnsi="宋体" w:eastAsia="宋体" w:cs="宋体"/>
          <w:color w:val="auto"/>
          <w:sz w:val="24"/>
          <w:szCs w:val="20"/>
          <w:highlight w:val="none"/>
        </w:rPr>
        <w:t>29、磋商小组</w:t>
      </w:r>
      <w:bookmarkEnd w:id="108"/>
      <w:bookmarkEnd w:id="109"/>
      <w:bookmarkEnd w:id="110"/>
      <w:bookmarkEnd w:id="111"/>
    </w:p>
    <w:p w14:paraId="007D3B00">
      <w:pPr>
        <w:widowControl/>
        <w:wordWrap/>
        <w:adjustRightInd/>
        <w:snapToGrid/>
        <w:spacing w:line="360" w:lineRule="auto"/>
        <w:ind w:firstLine="480" w:firstLineChars="200"/>
        <w:jc w:val="left"/>
        <w:textAlignment w:val="auto"/>
        <w:outlineLvl w:val="9"/>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29.1磋商小组成员组成：按照</w:t>
      </w:r>
      <w:r>
        <w:rPr>
          <w:rFonts w:hint="eastAsia" w:ascii="宋体" w:hAnsi="宋体" w:eastAsia="宋体" w:cs="宋体"/>
          <w:color w:val="auto"/>
          <w:sz w:val="24"/>
          <w:highlight w:val="none"/>
        </w:rPr>
        <w:t>《中华人民共和国政府采购法》、《政府采购竞争性磋商采购方式管理暂行办法》</w:t>
      </w:r>
      <w:r>
        <w:rPr>
          <w:rFonts w:hint="eastAsia" w:ascii="宋体" w:hAnsi="宋体" w:eastAsia="宋体" w:cs="宋体"/>
          <w:color w:val="auto"/>
          <w:sz w:val="24"/>
          <w:szCs w:val="20"/>
          <w:highlight w:val="none"/>
        </w:rPr>
        <w:t>及相关法律、法规规定组建</w:t>
      </w:r>
      <w:r>
        <w:rPr>
          <w:rFonts w:hint="eastAsia" w:ascii="宋体" w:hAnsi="宋体" w:eastAsia="宋体" w:cs="宋体"/>
          <w:color w:val="auto"/>
          <w:sz w:val="24"/>
          <w:highlight w:val="none"/>
        </w:rPr>
        <w:t>，由采购人代表和评审专家组成</w:t>
      </w:r>
      <w:r>
        <w:rPr>
          <w:rFonts w:hint="eastAsia" w:ascii="宋体" w:hAnsi="宋体" w:eastAsia="宋体" w:cs="宋体"/>
          <w:color w:val="auto"/>
          <w:sz w:val="24"/>
          <w:szCs w:val="20"/>
          <w:highlight w:val="none"/>
        </w:rPr>
        <w:t>。磋商小组将负责对供应商提交的响应文件进行磋商、评审，确保磋商、评审过程公正、合法、保密，并向采购人推荐成交供应商。</w:t>
      </w:r>
    </w:p>
    <w:p w14:paraId="3F6A1121">
      <w:pPr>
        <w:keepNext w:val="0"/>
        <w:keepLines w:val="0"/>
        <w:pageBreakBefore w:val="0"/>
        <w:widowControl/>
        <w:kinsoku/>
        <w:wordWrap/>
        <w:overflowPunct/>
        <w:topLinePunct w:val="0"/>
        <w:autoSpaceDE/>
        <w:autoSpaceDN/>
        <w:bidi w:val="0"/>
        <w:spacing w:line="360" w:lineRule="auto"/>
        <w:ind w:right="0" w:rightChars="0" w:firstLine="480" w:firstLineChars="200"/>
        <w:rPr>
          <w:rFonts w:hint="eastAsia" w:ascii="宋体" w:hAnsi="宋体" w:eastAsia="宋体" w:cs="宋体"/>
          <w:color w:val="auto"/>
          <w:sz w:val="24"/>
          <w:szCs w:val="20"/>
          <w:highlight w:val="none"/>
        </w:rPr>
      </w:pPr>
      <w:bookmarkStart w:id="112" w:name="_Toc243906346"/>
      <w:bookmarkStart w:id="113" w:name="_Toc243907607"/>
      <w:bookmarkStart w:id="114" w:name="_Toc233274845"/>
      <w:bookmarkStart w:id="115" w:name="_Toc245897306"/>
      <w:bookmarkStart w:id="116" w:name="_Toc233274843"/>
      <w:bookmarkStart w:id="117" w:name="_Toc245897304"/>
      <w:bookmarkStart w:id="118" w:name="_Toc243906344"/>
      <w:bookmarkStart w:id="119" w:name="_Toc243907605"/>
      <w:r>
        <w:rPr>
          <w:rFonts w:hint="eastAsia" w:ascii="宋体" w:hAnsi="宋体" w:eastAsia="宋体" w:cs="宋体"/>
          <w:color w:val="auto"/>
          <w:sz w:val="24"/>
          <w:szCs w:val="20"/>
          <w:highlight w:val="none"/>
        </w:rPr>
        <w:t>30、磋商</w:t>
      </w:r>
    </w:p>
    <w:p w14:paraId="306D3537">
      <w:pPr>
        <w:keepNext w:val="0"/>
        <w:keepLines w:val="0"/>
        <w:pageBreakBefore w:val="0"/>
        <w:widowControl/>
        <w:kinsoku/>
        <w:wordWrap/>
        <w:overflowPunct/>
        <w:topLinePunct w:val="0"/>
        <w:autoSpaceDE/>
        <w:autoSpaceDN/>
        <w:bidi w:val="0"/>
        <w:spacing w:line="360" w:lineRule="auto"/>
        <w:ind w:right="0" w:righ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30.1磋商小组所有成员集中与单一供应商分别进行磋商。供应商应由法定代表或法定代表授权的供应商代表及专业技术人员参与磋商。供应商所作的重要答复均应以书面形式予以补充，并经法定代表或授权人签署，作为响应文件的一部分，对供应商具有约束力，但不得对磋商内容进行实质性修改。在磋商中，磋商的任何一方不得透露与磋商有关的其他供应商的技术资料和其他信息。</w:t>
      </w:r>
    </w:p>
    <w:p w14:paraId="586F537A">
      <w:pPr>
        <w:keepNext w:val="0"/>
        <w:keepLines w:val="0"/>
        <w:pageBreakBefore w:val="0"/>
        <w:widowControl/>
        <w:kinsoku/>
        <w:wordWrap/>
        <w:overflowPunct/>
        <w:topLinePunct w:val="0"/>
        <w:autoSpaceDE/>
        <w:autoSpaceDN/>
        <w:bidi w:val="0"/>
        <w:spacing w:line="360" w:lineRule="auto"/>
        <w:ind w:right="0" w:righ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30.2在磋商小组与各供应商进行了相同轮次的磋商后，为了更好地实现采购目标，磋商小组可以修改磋商文件，但涉及实质性变动的，将以书面形式通知所有参加磋商的供应商。供应商收到修改磋商文件的通知后，可以决定是否继续参加磋商活动。</w:t>
      </w:r>
    </w:p>
    <w:p w14:paraId="5573D735">
      <w:pPr>
        <w:keepNext w:val="0"/>
        <w:keepLines w:val="0"/>
        <w:pageBreakBefore w:val="0"/>
        <w:widowControl/>
        <w:kinsoku/>
        <w:wordWrap/>
        <w:overflowPunct/>
        <w:topLinePunct w:val="0"/>
        <w:autoSpaceDE/>
        <w:autoSpaceDN/>
        <w:bidi w:val="0"/>
        <w:spacing w:line="360" w:lineRule="auto"/>
        <w:ind w:right="0" w:righ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30.3供应商应当按照磋商文件的变动情况和磋商小组的要求重新提交响应文件，并由其法定代表或委托代理人签字或者加盖公章。由委托代理人签字的，应当附法定代表授权书。</w:t>
      </w:r>
    </w:p>
    <w:p w14:paraId="6A81C40D">
      <w:pPr>
        <w:keepNext w:val="0"/>
        <w:keepLines w:val="0"/>
        <w:pageBreakBefore w:val="0"/>
        <w:widowControl/>
        <w:kinsoku/>
        <w:wordWrap/>
        <w:overflowPunct/>
        <w:topLinePunct w:val="0"/>
        <w:autoSpaceDE/>
        <w:autoSpaceDN/>
        <w:bidi w:val="0"/>
        <w:spacing w:line="360" w:lineRule="auto"/>
        <w:ind w:right="0" w:righ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30.4磋商文件能够详细列明采购标的的技术、服务要求的，磋商小组在磋商结束后，磋商小组应当要求所有实质性响应的供应商在规定时间内提交最后报价，最后报价是供应商响应文件的有效组成部分。</w:t>
      </w:r>
    </w:p>
    <w:p w14:paraId="5A11613E">
      <w:pPr>
        <w:keepNext w:val="0"/>
        <w:keepLines w:val="0"/>
        <w:pageBreakBefore w:val="0"/>
        <w:widowControl/>
        <w:kinsoku/>
        <w:wordWrap/>
        <w:overflowPunct/>
        <w:topLinePunct w:val="0"/>
        <w:autoSpaceDE/>
        <w:autoSpaceDN/>
        <w:bidi w:val="0"/>
        <w:spacing w:line="360" w:lineRule="auto"/>
        <w:ind w:right="0" w:righ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30.5磋商文件不能详细列明采购标的的技术、服务要求，需经磋商由供应商提供最终整修方案或解决方案的，磋商结束后，磋商小组应当按照少数服从多数的原则投票推荐3家以上供应商的整修方案或者解决方案，并要求其在规定时间内提交最后报价。</w:t>
      </w:r>
    </w:p>
    <w:p w14:paraId="0CF2FE37">
      <w:pPr>
        <w:keepNext w:val="0"/>
        <w:keepLines w:val="0"/>
        <w:pageBreakBefore w:val="0"/>
        <w:widowControl/>
        <w:kinsoku/>
        <w:wordWrap/>
        <w:overflowPunct/>
        <w:topLinePunct w:val="0"/>
        <w:autoSpaceDE/>
        <w:autoSpaceDN/>
        <w:bidi w:val="0"/>
        <w:spacing w:line="360" w:lineRule="auto"/>
        <w:ind w:right="0" w:righ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30.6已提交响应文件的供应商，在提交最后报价之前，可以根据磋商情况退出磋商。</w:t>
      </w:r>
    </w:p>
    <w:p w14:paraId="4A4E4960">
      <w:pPr>
        <w:keepNext w:val="0"/>
        <w:keepLines w:val="0"/>
        <w:pageBreakBefore w:val="0"/>
        <w:kinsoku/>
        <w:wordWrap/>
        <w:overflowPunct/>
        <w:topLinePunct w:val="0"/>
        <w:autoSpaceDE/>
        <w:autoSpaceDN/>
        <w:bidi w:val="0"/>
        <w:spacing w:line="360" w:lineRule="auto"/>
        <w:ind w:right="0" w:rightChars="0"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highlight w:val="none"/>
        </w:rPr>
        <w:t>30.7</w:t>
      </w:r>
      <w:r>
        <w:rPr>
          <w:rFonts w:hint="eastAsia" w:ascii="宋体" w:hAnsi="宋体" w:eastAsia="宋体" w:cs="宋体"/>
          <w:color w:val="auto"/>
          <w:sz w:val="24"/>
          <w:szCs w:val="20"/>
          <w:highlight w:val="none"/>
        </w:rPr>
        <w:t>磋商小组判断响应文件的响应性仅基于响应文件本身而不依靠任何外部证据，但响应文件有不真实、不正确的内容除外。</w:t>
      </w:r>
    </w:p>
    <w:p w14:paraId="5E89A171">
      <w:pPr>
        <w:wordWrap/>
        <w:adjustRightInd/>
        <w:snapToGrid/>
        <w:spacing w:line="360" w:lineRule="auto"/>
        <w:ind w:firstLine="480" w:firstLineChars="200"/>
        <w:jc w:val="left"/>
        <w:textAlignment w:val="auto"/>
        <w:outlineLvl w:val="9"/>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30.8如果响应文件实质上没有响应磋商文件的要求，磋商小组将予以拒绝，供应商不得通过修正或撤消不符合要求的偏离或保留，而使其成为实质上响应。</w:t>
      </w:r>
    </w:p>
    <w:p w14:paraId="3B616F00">
      <w:pPr>
        <w:spacing w:line="360" w:lineRule="auto"/>
        <w:ind w:firstLine="480" w:firstLineChars="200"/>
        <w:outlineLvl w:val="1"/>
        <w:rPr>
          <w:rFonts w:hint="eastAsia" w:ascii="宋体" w:hAnsi="宋体" w:cs="宋体"/>
          <w:color w:val="auto"/>
          <w:sz w:val="24"/>
          <w:highlight w:val="none"/>
        </w:rPr>
      </w:pPr>
      <w:bookmarkStart w:id="120" w:name="_Toc224620150"/>
      <w:bookmarkStart w:id="121" w:name="_Toc243907606"/>
      <w:bookmarkStart w:id="122" w:name="_Toc224624628"/>
      <w:bookmarkStart w:id="123" w:name="_Toc224623557"/>
      <w:bookmarkStart w:id="124" w:name="_Toc224624488"/>
      <w:bookmarkStart w:id="125" w:name="_Toc224623451"/>
      <w:bookmarkStart w:id="126" w:name="_Toc245897305"/>
      <w:bookmarkStart w:id="127" w:name="_Toc224624767"/>
      <w:bookmarkStart w:id="128" w:name="_Toc224623663"/>
      <w:bookmarkStart w:id="129" w:name="_Toc224622928"/>
      <w:bookmarkStart w:id="130" w:name="_Toc224620071"/>
      <w:bookmarkStart w:id="131" w:name="_Toc243906345"/>
      <w:r>
        <w:rPr>
          <w:rFonts w:hint="eastAsia" w:ascii="宋体" w:hAnsi="宋体" w:cs="宋体"/>
          <w:color w:val="auto"/>
          <w:sz w:val="24"/>
          <w:highlight w:val="none"/>
        </w:rPr>
        <w:t>31、评审</w:t>
      </w:r>
    </w:p>
    <w:p w14:paraId="690E7DED">
      <w:pPr>
        <w:spacing w:line="360" w:lineRule="auto"/>
        <w:ind w:firstLine="480" w:firstLineChars="200"/>
        <w:outlineLvl w:val="1"/>
        <w:rPr>
          <w:rFonts w:hint="eastAsia" w:ascii="宋体" w:hAnsi="宋体" w:cs="宋体"/>
          <w:b/>
          <w:bCs/>
          <w:color w:val="auto"/>
          <w:sz w:val="24"/>
          <w:highlight w:val="none"/>
        </w:rPr>
      </w:pPr>
      <w:r>
        <w:rPr>
          <w:rFonts w:hint="eastAsia" w:ascii="宋体" w:hAnsi="宋体" w:cs="宋体"/>
          <w:color w:val="auto"/>
          <w:sz w:val="24"/>
          <w:highlight w:val="none"/>
        </w:rPr>
        <w:t>31.1经磋商确定最终采购需求和提交最后报价的供应商后，</w:t>
      </w:r>
      <w:r>
        <w:rPr>
          <w:rFonts w:hint="eastAsia" w:ascii="宋体" w:hAnsi="宋体" w:cs="宋体"/>
          <w:b/>
          <w:bCs/>
          <w:color w:val="auto"/>
          <w:sz w:val="24"/>
          <w:highlight w:val="none"/>
        </w:rPr>
        <w:t>由磋商小组采用综合评分法对提交最后报价的供应商响应文件和最后报价进行综合评分。</w:t>
      </w:r>
    </w:p>
    <w:p w14:paraId="1C066E25">
      <w:pPr>
        <w:spacing w:line="360" w:lineRule="auto"/>
        <w:ind w:firstLine="480" w:firstLineChars="200"/>
        <w:rPr>
          <w:rFonts w:hint="eastAsia" w:ascii="宋体" w:hAnsi="宋体" w:cs="宋体"/>
          <w:color w:val="auto"/>
          <w:sz w:val="24"/>
          <w:szCs w:val="20"/>
          <w:highlight w:val="none"/>
        </w:rPr>
      </w:pPr>
      <w:r>
        <w:rPr>
          <w:rFonts w:hint="eastAsia" w:ascii="宋体" w:hAnsi="宋体" w:cs="宋体"/>
          <w:color w:val="auto"/>
          <w:sz w:val="24"/>
          <w:szCs w:val="20"/>
          <w:highlight w:val="none"/>
        </w:rPr>
        <w:t>31.2磋商小组将对实质性响应磋商文件的响应文件进行详细评审和比较。对服务、价格等进行比较，并与磋商文件、项目采购需求和采购人的实际需要进行比较和评价。</w:t>
      </w:r>
    </w:p>
    <w:p w14:paraId="05FB10AF">
      <w:pPr>
        <w:spacing w:line="360" w:lineRule="auto"/>
        <w:ind w:firstLine="480" w:firstLineChars="200"/>
        <w:rPr>
          <w:rFonts w:hint="eastAsia" w:ascii="宋体" w:hAnsi="宋体" w:cs="宋体"/>
          <w:color w:val="auto"/>
          <w:sz w:val="24"/>
          <w:szCs w:val="20"/>
          <w:highlight w:val="none"/>
        </w:rPr>
      </w:pPr>
      <w:r>
        <w:rPr>
          <w:rFonts w:hint="eastAsia" w:ascii="宋体" w:hAnsi="宋体" w:cs="宋体"/>
          <w:color w:val="auto"/>
          <w:sz w:val="24"/>
          <w:szCs w:val="20"/>
          <w:highlight w:val="none"/>
        </w:rPr>
        <w:t>31.3商务报价错误的修正</w:t>
      </w:r>
    </w:p>
    <w:p w14:paraId="6292A45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如果发现商务报价存在计算或表达上错误，则按下列原则进行修正：</w:t>
      </w:r>
    </w:p>
    <w:p w14:paraId="4AA1EF3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（1）用数字表示的数额与用文字表示的数额不一致时，以文字数额为准；</w:t>
      </w:r>
    </w:p>
    <w:p w14:paraId="5198ABE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（2）单价与工程量的乘积与总价之间不一致时，以单价为准。若单价有明显小数点错位，应以总价为准，并修改单价。</w:t>
      </w:r>
    </w:p>
    <w:p w14:paraId="1E9819A7">
      <w:pPr>
        <w:spacing w:line="360" w:lineRule="auto"/>
        <w:ind w:firstLine="480" w:firstLineChars="200"/>
        <w:rPr>
          <w:rFonts w:hint="eastAsia" w:ascii="宋体" w:hAnsi="宋体" w:cs="宋体"/>
          <w:color w:val="auto"/>
          <w:sz w:val="24"/>
          <w:szCs w:val="20"/>
          <w:highlight w:val="none"/>
        </w:rPr>
      </w:pPr>
      <w:r>
        <w:rPr>
          <w:rFonts w:hint="eastAsia" w:ascii="宋体" w:hAnsi="宋体" w:cs="宋体"/>
          <w:color w:val="auto"/>
          <w:sz w:val="24"/>
          <w:highlight w:val="none"/>
        </w:rPr>
        <w:t>31.4磋商小组将按第31.3条原则修正商务报价，并要求供应商进行确认。确认后的报价和文件将对供应商具有约束力。并以修正后的报价作为评审的依据。</w:t>
      </w:r>
    </w:p>
    <w:bookmarkEnd w:id="120"/>
    <w:bookmarkEnd w:id="121"/>
    <w:bookmarkEnd w:id="122"/>
    <w:bookmarkEnd w:id="123"/>
    <w:bookmarkEnd w:id="124"/>
    <w:bookmarkEnd w:id="125"/>
    <w:bookmarkEnd w:id="126"/>
    <w:bookmarkEnd w:id="127"/>
    <w:bookmarkEnd w:id="128"/>
    <w:bookmarkEnd w:id="129"/>
    <w:bookmarkEnd w:id="130"/>
    <w:bookmarkEnd w:id="131"/>
    <w:p w14:paraId="67B4B8F0">
      <w:pPr>
        <w:spacing w:line="360" w:lineRule="auto"/>
        <w:ind w:firstLine="480" w:firstLineChars="200"/>
        <w:outlineLvl w:val="1"/>
        <w:rPr>
          <w:rFonts w:hint="eastAsia" w:ascii="宋体" w:hAnsi="宋体" w:cs="宋体"/>
          <w:color w:val="auto"/>
          <w:highlight w:val="none"/>
        </w:rPr>
      </w:pPr>
      <w:r>
        <w:rPr>
          <w:rFonts w:hint="eastAsia" w:ascii="宋体" w:hAnsi="宋体" w:cs="宋体"/>
          <w:color w:val="auto"/>
          <w:sz w:val="24"/>
          <w:highlight w:val="none"/>
        </w:rPr>
        <w:t>32、响应文件的澄清</w:t>
      </w:r>
    </w:p>
    <w:p w14:paraId="7DDED55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32.1为有助于对响应文件的审查、评价和比较，磋商小组在评审过程中有权随时请供应商对其响应文件进行澄清，有关澄清的要求和答复应以书面形式提交，供应商对澄清问题的书面答复应有法定代表或委托代理人签字或盖章，但不得寻求、提供或允许对最后报价或响应文件中的其他实质性内容做任何更改。</w:t>
      </w:r>
    </w:p>
    <w:p w14:paraId="077EEDF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32.2供应商法定代表或委托代理人在评审过程中应保证随时接受磋商小组质询。若供应商法定代表或委托代理人因故不能接受质询，其响应文件仍有效，但应视为供应商已默认磋商小组对缺席的质询所作出的结论。</w:t>
      </w:r>
    </w:p>
    <w:p w14:paraId="10F0C5F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32.3 磋商小组允许供应商通过澄清答复修正其最后报价中不构成重大偏离的、微小的、非正规的、不一致的或不规范的地方，但这些修正不能影响任何供应商的相关名次排列。</w:t>
      </w:r>
    </w:p>
    <w:p w14:paraId="69AFD6F0">
      <w:pPr>
        <w:spacing w:line="360" w:lineRule="auto"/>
        <w:ind w:firstLine="482" w:firstLineChars="200"/>
        <w:rPr>
          <w:rFonts w:hint="eastAsia" w:ascii="宋体" w:hAnsi="宋体" w:cs="宋体"/>
          <w:color w:val="auto"/>
          <w:sz w:val="24"/>
          <w:szCs w:val="20"/>
          <w:highlight w:val="none"/>
        </w:rPr>
      </w:pPr>
      <w:r>
        <w:rPr>
          <w:rFonts w:hint="eastAsia" w:ascii="宋体" w:hAnsi="宋体" w:cs="宋体"/>
          <w:b/>
          <w:color w:val="auto"/>
          <w:sz w:val="24"/>
          <w:szCs w:val="20"/>
          <w:highlight w:val="none"/>
        </w:rPr>
        <w:t>32.4如果供应商在响应文件中未对磋商文件、技术规格及标准、项目采购需求、合同主要内容等提出偏离意见或澄清，将视同供应商同意上述文件的全部条款和要求。</w:t>
      </w:r>
    </w:p>
    <w:bookmarkEnd w:id="112"/>
    <w:bookmarkEnd w:id="113"/>
    <w:bookmarkEnd w:id="114"/>
    <w:bookmarkEnd w:id="115"/>
    <w:p w14:paraId="013BE2DB">
      <w:pPr>
        <w:spacing w:line="360" w:lineRule="auto"/>
        <w:ind w:firstLine="482" w:firstLineChars="200"/>
        <w:outlineLvl w:val="1"/>
        <w:rPr>
          <w:rFonts w:hint="eastAsia" w:ascii="宋体" w:hAnsi="宋体" w:cs="宋体"/>
          <w:color w:val="auto"/>
          <w:sz w:val="24"/>
          <w:szCs w:val="20"/>
          <w:highlight w:val="none"/>
        </w:rPr>
      </w:pPr>
      <w:bookmarkStart w:id="132" w:name="_Toc243907609"/>
      <w:bookmarkStart w:id="133" w:name="_Toc233274847"/>
      <w:bookmarkStart w:id="134" w:name="_Toc245897308"/>
      <w:bookmarkStart w:id="135" w:name="_Toc243906348"/>
      <w:r>
        <w:rPr>
          <w:rFonts w:hint="eastAsia" w:ascii="宋体" w:hAnsi="宋体" w:cs="宋体"/>
          <w:b/>
          <w:color w:val="auto"/>
          <w:sz w:val="24"/>
          <w:szCs w:val="20"/>
          <w:highlight w:val="none"/>
        </w:rPr>
        <w:t>33、重大偏离</w:t>
      </w:r>
    </w:p>
    <w:p w14:paraId="056A71FC">
      <w:pPr>
        <w:spacing w:line="360" w:lineRule="auto"/>
        <w:ind w:firstLine="482" w:firstLineChars="200"/>
        <w:rPr>
          <w:rFonts w:hint="eastAsia" w:ascii="宋体" w:hAnsi="宋体" w:cs="宋体"/>
          <w:b/>
          <w:color w:val="auto"/>
          <w:sz w:val="24"/>
          <w:szCs w:val="20"/>
          <w:highlight w:val="none"/>
        </w:rPr>
      </w:pPr>
      <w:bookmarkStart w:id="136" w:name="_Toc243907608"/>
      <w:bookmarkStart w:id="137" w:name="_Toc233274846"/>
      <w:bookmarkStart w:id="138" w:name="_Toc243906347"/>
      <w:bookmarkStart w:id="139" w:name="_Toc245897307"/>
      <w:r>
        <w:rPr>
          <w:rFonts w:hint="eastAsia" w:ascii="宋体" w:hAnsi="宋体" w:cs="宋体"/>
          <w:b/>
          <w:color w:val="auto"/>
          <w:sz w:val="24"/>
          <w:szCs w:val="20"/>
          <w:highlight w:val="none"/>
        </w:rPr>
        <w:t>重大偏离是指实质上影响合同的采购范围、质量和性能、服务</w:t>
      </w:r>
      <w:r>
        <w:rPr>
          <w:rFonts w:hint="eastAsia" w:ascii="宋体" w:hAnsi="宋体" w:cs="宋体"/>
          <w:b/>
          <w:color w:val="auto"/>
          <w:sz w:val="24"/>
          <w:szCs w:val="20"/>
          <w:highlight w:val="none"/>
          <w:lang w:eastAsia="zh-CN"/>
        </w:rPr>
        <w:t>期限</w:t>
      </w:r>
      <w:r>
        <w:rPr>
          <w:rFonts w:hint="eastAsia" w:ascii="宋体" w:hAnsi="宋体" w:cs="宋体"/>
          <w:b/>
          <w:color w:val="auto"/>
          <w:sz w:val="24"/>
          <w:szCs w:val="20"/>
          <w:highlight w:val="none"/>
        </w:rPr>
        <w:t>等，或者实质上不满足磋商文件的要求，而且限制了采购人的</w:t>
      </w:r>
      <w:r>
        <w:rPr>
          <w:rFonts w:hint="eastAsia" w:ascii="宋体" w:hAnsi="宋体" w:cs="宋体"/>
          <w:b/>
          <w:color w:val="auto"/>
          <w:sz w:val="24"/>
          <w:szCs w:val="20"/>
          <w:highlight w:val="none"/>
          <w:lang w:eastAsia="zh-CN"/>
        </w:rPr>
        <w:t>权利</w:t>
      </w:r>
      <w:r>
        <w:rPr>
          <w:rFonts w:hint="eastAsia" w:ascii="宋体" w:hAnsi="宋体" w:cs="宋体"/>
          <w:b/>
          <w:color w:val="auto"/>
          <w:sz w:val="24"/>
          <w:szCs w:val="20"/>
          <w:highlight w:val="none"/>
        </w:rPr>
        <w:t>或减轻了供应商的义务。纠正或承认这些偏离将会对其他实质上响应要求的供应商合理的竞争地位产生不公正的影响。</w:t>
      </w:r>
    </w:p>
    <w:p w14:paraId="11305062">
      <w:pPr>
        <w:spacing w:line="360" w:lineRule="auto"/>
        <w:ind w:firstLine="482" w:firstLineChars="200"/>
        <w:outlineLvl w:val="1"/>
        <w:rPr>
          <w:rFonts w:hint="eastAsia" w:ascii="宋体" w:hAnsi="宋体" w:cs="宋体"/>
          <w:b/>
          <w:color w:val="auto"/>
          <w:sz w:val="24"/>
          <w:szCs w:val="20"/>
          <w:highlight w:val="none"/>
        </w:rPr>
      </w:pPr>
      <w:r>
        <w:rPr>
          <w:rFonts w:hint="eastAsia" w:ascii="宋体" w:hAnsi="宋体" w:cs="宋体"/>
          <w:b/>
          <w:color w:val="auto"/>
          <w:sz w:val="24"/>
          <w:szCs w:val="20"/>
          <w:highlight w:val="none"/>
        </w:rPr>
        <w:t>34、</w:t>
      </w:r>
      <w:bookmarkEnd w:id="136"/>
      <w:bookmarkEnd w:id="137"/>
      <w:bookmarkEnd w:id="138"/>
      <w:bookmarkEnd w:id="139"/>
      <w:r>
        <w:rPr>
          <w:rFonts w:hint="eastAsia" w:ascii="宋体" w:hAnsi="宋体" w:cs="宋体"/>
          <w:b/>
          <w:color w:val="auto"/>
          <w:sz w:val="24"/>
          <w:szCs w:val="20"/>
          <w:highlight w:val="none"/>
        </w:rPr>
        <w:t>无效响应文件</w:t>
      </w:r>
    </w:p>
    <w:p w14:paraId="6C5DD012">
      <w:pPr>
        <w:spacing w:line="360" w:lineRule="auto"/>
        <w:ind w:firstLine="482" w:firstLineChars="200"/>
        <w:rPr>
          <w:rFonts w:hint="eastAsia" w:ascii="宋体" w:hAnsi="宋体" w:cs="宋体"/>
          <w:b/>
          <w:color w:val="auto"/>
          <w:sz w:val="24"/>
          <w:szCs w:val="20"/>
          <w:highlight w:val="none"/>
        </w:rPr>
      </w:pPr>
      <w:r>
        <w:rPr>
          <w:rFonts w:hint="eastAsia" w:ascii="宋体" w:hAnsi="宋体" w:cs="宋体"/>
          <w:b/>
          <w:color w:val="auto"/>
          <w:sz w:val="24"/>
          <w:highlight w:val="none"/>
        </w:rPr>
        <w:t>响应文件有下列情形之一的，由磋商小组评审后按无效响应文件处理：</w:t>
      </w:r>
    </w:p>
    <w:p w14:paraId="1B08341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34.1</w:t>
      </w:r>
      <w:r>
        <w:rPr>
          <w:rFonts w:hint="eastAsia" w:ascii="宋体" w:hAnsi="宋体" w:cs="宋体"/>
          <w:b/>
          <w:color w:val="auto"/>
          <w:kern w:val="0"/>
          <w:sz w:val="24"/>
          <w:highlight w:val="none"/>
        </w:rPr>
        <w:t>供应商的商务报价高于采购项目预算；</w:t>
      </w:r>
    </w:p>
    <w:p w14:paraId="01906E2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34.2响应文件附有采购人不能接受条件的；</w:t>
      </w:r>
    </w:p>
    <w:p w14:paraId="0F98FCDB">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34.3出现重大偏离的；</w:t>
      </w:r>
    </w:p>
    <w:p w14:paraId="243E1AC0">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34.4对磋商文件提出的实质性要求和条件未能实质性响应；</w:t>
      </w:r>
    </w:p>
    <w:p w14:paraId="20809D4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34.5《中华人民共和国政府采购法》、《中华人民共和国政府采购</w:t>
      </w:r>
      <w:r>
        <w:rPr>
          <w:rFonts w:hint="eastAsia" w:ascii="宋体" w:hAnsi="宋体" w:cs="宋体"/>
          <w:color w:val="auto"/>
          <w:sz w:val="24"/>
          <w:highlight w:val="none"/>
          <w:lang w:eastAsia="zh-CN"/>
        </w:rPr>
        <w:t>法</w:t>
      </w:r>
      <w:r>
        <w:rPr>
          <w:rFonts w:hint="eastAsia" w:ascii="宋体" w:hAnsi="宋体" w:cs="宋体"/>
          <w:color w:val="auto"/>
          <w:sz w:val="24"/>
          <w:highlight w:val="none"/>
        </w:rPr>
        <w:t>实施条例》、《政府采购竞争性磋商采购方式管理暂行办法》及相关法律法规及磋商文件明确规定可以作无效响应的其他情形。</w:t>
      </w:r>
    </w:p>
    <w:bookmarkEnd w:id="116"/>
    <w:bookmarkEnd w:id="117"/>
    <w:bookmarkEnd w:id="118"/>
    <w:bookmarkEnd w:id="119"/>
    <w:bookmarkEnd w:id="132"/>
    <w:bookmarkEnd w:id="133"/>
    <w:bookmarkEnd w:id="134"/>
    <w:bookmarkEnd w:id="135"/>
    <w:p w14:paraId="0DEF5A7E">
      <w:pPr>
        <w:spacing w:line="360" w:lineRule="auto"/>
        <w:ind w:firstLine="482" w:firstLineChars="200"/>
        <w:outlineLvl w:val="1"/>
        <w:rPr>
          <w:rFonts w:hint="eastAsia" w:ascii="宋体" w:hAnsi="宋体" w:cs="宋体"/>
          <w:b/>
          <w:color w:val="auto"/>
          <w:sz w:val="24"/>
          <w:szCs w:val="20"/>
          <w:highlight w:val="none"/>
        </w:rPr>
      </w:pPr>
      <w:r>
        <w:rPr>
          <w:rFonts w:hint="eastAsia" w:ascii="宋体" w:hAnsi="宋体" w:cs="宋体"/>
          <w:b/>
          <w:color w:val="auto"/>
          <w:sz w:val="24"/>
          <w:szCs w:val="20"/>
          <w:highlight w:val="none"/>
        </w:rPr>
        <w:t>35、评审标准</w:t>
      </w:r>
    </w:p>
    <w:p w14:paraId="0CD447AC">
      <w:pPr>
        <w:spacing w:line="360" w:lineRule="auto"/>
        <w:ind w:firstLine="482" w:firstLineChars="200"/>
        <w:rPr>
          <w:rFonts w:hint="eastAsia" w:ascii="宋体" w:hAnsi="宋体" w:cs="宋体"/>
          <w:color w:val="auto"/>
          <w:sz w:val="24"/>
          <w:szCs w:val="20"/>
          <w:highlight w:val="none"/>
        </w:rPr>
      </w:pPr>
      <w:r>
        <w:rPr>
          <w:rFonts w:hint="eastAsia" w:ascii="宋体" w:hAnsi="宋体" w:cs="宋体"/>
          <w:b/>
          <w:color w:val="auto"/>
          <w:sz w:val="24"/>
          <w:szCs w:val="20"/>
          <w:highlight w:val="none"/>
        </w:rPr>
        <w:t>35.1</w:t>
      </w:r>
      <w:r>
        <w:rPr>
          <w:rFonts w:hint="eastAsia" w:ascii="宋体" w:hAnsi="宋体" w:cs="宋体"/>
          <w:color w:val="auto"/>
          <w:sz w:val="24"/>
          <w:szCs w:val="20"/>
          <w:highlight w:val="none"/>
        </w:rPr>
        <w:t>本项目评审</w:t>
      </w:r>
      <w:r>
        <w:rPr>
          <w:rFonts w:hint="eastAsia" w:ascii="宋体" w:hAnsi="宋体" w:cs="宋体"/>
          <w:b/>
          <w:color w:val="auto"/>
          <w:sz w:val="24"/>
          <w:szCs w:val="20"/>
          <w:highlight w:val="none"/>
        </w:rPr>
        <w:t>采用综合评分法</w:t>
      </w:r>
      <w:r>
        <w:rPr>
          <w:rFonts w:hint="eastAsia" w:ascii="宋体" w:hAnsi="宋体" w:cs="宋体"/>
          <w:color w:val="auto"/>
          <w:sz w:val="24"/>
          <w:szCs w:val="20"/>
          <w:highlight w:val="none"/>
        </w:rPr>
        <w:t>，严格按照磋商文件的要求和条件进行。</w:t>
      </w:r>
    </w:p>
    <w:p w14:paraId="468D2287">
      <w:pPr>
        <w:spacing w:line="360" w:lineRule="auto"/>
        <w:ind w:firstLine="482" w:firstLineChars="200"/>
        <w:rPr>
          <w:rFonts w:hint="eastAsia" w:ascii="宋体" w:hAnsi="宋体" w:cs="宋体"/>
          <w:b/>
          <w:color w:val="auto"/>
          <w:sz w:val="24"/>
          <w:szCs w:val="20"/>
          <w:highlight w:val="none"/>
        </w:rPr>
      </w:pPr>
      <w:r>
        <w:rPr>
          <w:rFonts w:hint="eastAsia" w:ascii="宋体" w:hAnsi="宋体" w:cs="宋体"/>
          <w:b/>
          <w:color w:val="auto"/>
          <w:sz w:val="24"/>
          <w:szCs w:val="20"/>
          <w:highlight w:val="none"/>
        </w:rPr>
        <w:t>35.2信用查询</w:t>
      </w:r>
      <w:r>
        <w:rPr>
          <w:rFonts w:hint="eastAsia" w:ascii="宋体" w:hAnsi="宋体" w:cs="宋体"/>
          <w:b/>
          <w:color w:val="auto"/>
          <w:sz w:val="24"/>
          <w:szCs w:val="20"/>
          <w:highlight w:val="none"/>
        </w:rPr>
        <w:br w:type="textWrapping"/>
      </w:r>
      <w:r>
        <w:rPr>
          <w:rFonts w:hint="eastAsia" w:ascii="宋体" w:hAnsi="宋体" w:cs="宋体"/>
          <w:b/>
          <w:color w:val="auto"/>
          <w:sz w:val="24"/>
          <w:szCs w:val="20"/>
          <w:highlight w:val="none"/>
        </w:rPr>
        <w:t xml:space="preserve">    35.2.1按照《财政部关于在政府采购活动中查询及使用信用记录有关问题的通知》（财库〔2016〕125号）的要求，根据开标当日“信用中国”网站（</w:t>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"qq://txfile/" </w:instrText>
      </w:r>
      <w:r>
        <w:rPr>
          <w:rFonts w:hint="eastAsia" w:ascii="宋体" w:hAnsi="宋体" w:cs="宋体"/>
          <w:color w:val="auto"/>
          <w:highlight w:val="none"/>
        </w:rPr>
        <w:fldChar w:fldCharType="separate"/>
      </w:r>
      <w:r>
        <w:rPr>
          <w:rFonts w:hint="eastAsia" w:ascii="宋体" w:hAnsi="宋体" w:cs="宋体"/>
          <w:b/>
          <w:color w:val="auto"/>
          <w:sz w:val="24"/>
          <w:szCs w:val="20"/>
          <w:highlight w:val="none"/>
        </w:rPr>
        <w:t>www.creditchina.gov.cn</w:t>
      </w:r>
      <w:r>
        <w:rPr>
          <w:rFonts w:hint="eastAsia" w:ascii="宋体" w:hAnsi="宋体" w:cs="宋体"/>
          <w:b/>
          <w:color w:val="auto"/>
          <w:sz w:val="24"/>
          <w:szCs w:val="20"/>
          <w:highlight w:val="none"/>
        </w:rPr>
        <w:fldChar w:fldCharType="end"/>
      </w:r>
      <w:r>
        <w:rPr>
          <w:rFonts w:hint="eastAsia" w:ascii="宋体" w:hAnsi="宋体" w:cs="宋体"/>
          <w:b/>
          <w:color w:val="auto"/>
          <w:sz w:val="24"/>
          <w:szCs w:val="20"/>
          <w:highlight w:val="none"/>
        </w:rPr>
        <w:t>）、中国政府采购网（</w:t>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"qq://txfile/" </w:instrText>
      </w:r>
      <w:r>
        <w:rPr>
          <w:rFonts w:hint="eastAsia" w:ascii="宋体" w:hAnsi="宋体" w:cs="宋体"/>
          <w:color w:val="auto"/>
          <w:highlight w:val="none"/>
        </w:rPr>
        <w:fldChar w:fldCharType="separate"/>
      </w:r>
      <w:r>
        <w:rPr>
          <w:rFonts w:hint="eastAsia" w:ascii="宋体" w:hAnsi="宋体" w:cs="宋体"/>
          <w:b/>
          <w:color w:val="auto"/>
          <w:sz w:val="24"/>
          <w:szCs w:val="20"/>
          <w:highlight w:val="none"/>
        </w:rPr>
        <w:t>www.ccgp.gov.cn</w:t>
      </w:r>
      <w:r>
        <w:rPr>
          <w:rFonts w:hint="eastAsia" w:ascii="宋体" w:hAnsi="宋体" w:cs="宋体"/>
          <w:b/>
          <w:color w:val="auto"/>
          <w:sz w:val="24"/>
          <w:szCs w:val="20"/>
          <w:highlight w:val="none"/>
        </w:rPr>
        <w:fldChar w:fldCharType="end"/>
      </w:r>
      <w:r>
        <w:rPr>
          <w:rFonts w:hint="eastAsia" w:ascii="宋体" w:hAnsi="宋体" w:cs="宋体"/>
          <w:b/>
          <w:color w:val="auto"/>
          <w:sz w:val="24"/>
          <w:szCs w:val="20"/>
          <w:highlight w:val="none"/>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14:paraId="4902A21A">
      <w:pPr>
        <w:spacing w:line="360" w:lineRule="auto"/>
        <w:ind w:firstLine="482" w:firstLineChars="200"/>
        <w:rPr>
          <w:rFonts w:hint="eastAsia" w:ascii="宋体" w:hAnsi="宋体" w:cs="宋体"/>
          <w:b/>
          <w:color w:val="auto"/>
          <w:sz w:val="24"/>
          <w:szCs w:val="20"/>
          <w:highlight w:val="none"/>
        </w:rPr>
      </w:pPr>
      <w:r>
        <w:rPr>
          <w:rFonts w:hint="eastAsia" w:ascii="宋体" w:hAnsi="宋体" w:cs="宋体"/>
          <w:b/>
          <w:color w:val="auto"/>
          <w:sz w:val="24"/>
          <w:szCs w:val="20"/>
          <w:highlight w:val="none"/>
        </w:rPr>
        <w:t>35.3响应文件初审。初审分为资格性审查和符合性审查。响应文件初审</w:t>
      </w:r>
      <w:r>
        <w:rPr>
          <w:rFonts w:hint="eastAsia" w:ascii="宋体" w:hAnsi="宋体" w:cs="宋体"/>
          <w:b/>
          <w:color w:val="auto"/>
          <w:sz w:val="24"/>
          <w:highlight w:val="none"/>
        </w:rPr>
        <w:t>由磋商小组根据各供应商响应文件进行评审，</w:t>
      </w:r>
      <w:r>
        <w:rPr>
          <w:rFonts w:hint="eastAsia" w:ascii="宋体" w:hAnsi="宋体" w:cs="宋体"/>
          <w:b/>
          <w:color w:val="auto"/>
          <w:sz w:val="24"/>
          <w:szCs w:val="20"/>
          <w:highlight w:val="none"/>
        </w:rPr>
        <w:t>初</w:t>
      </w:r>
      <w:r>
        <w:rPr>
          <w:rFonts w:hint="eastAsia" w:ascii="宋体" w:hAnsi="宋体" w:cs="宋体"/>
          <w:b/>
          <w:color w:val="auto"/>
          <w:sz w:val="24"/>
          <w:highlight w:val="none"/>
        </w:rPr>
        <w:t>审内容详见第</w:t>
      </w:r>
      <w:r>
        <w:rPr>
          <w:rFonts w:hint="eastAsia" w:ascii="宋体" w:hAnsi="宋体" w:cs="宋体"/>
          <w:b/>
          <w:color w:val="auto"/>
          <w:sz w:val="24"/>
          <w:highlight w:val="none"/>
          <w:lang w:val="en-US" w:eastAsia="zh-CN"/>
        </w:rPr>
        <w:t>五</w:t>
      </w:r>
      <w:r>
        <w:rPr>
          <w:rFonts w:hint="eastAsia" w:ascii="宋体" w:hAnsi="宋体" w:cs="宋体"/>
          <w:b/>
          <w:color w:val="auto"/>
          <w:sz w:val="24"/>
          <w:highlight w:val="none"/>
        </w:rPr>
        <w:t>章“评审标准（综合评分法）”。未通过初审的供应商其响应文件将按照无效磋商处理。</w:t>
      </w:r>
    </w:p>
    <w:p w14:paraId="1E7D4F02">
      <w:pPr>
        <w:spacing w:line="360" w:lineRule="auto"/>
        <w:ind w:firstLine="482" w:firstLineChars="200"/>
        <w:rPr>
          <w:rFonts w:hint="eastAsia" w:ascii="宋体" w:hAnsi="宋体" w:cs="宋体"/>
          <w:b/>
          <w:color w:val="auto"/>
          <w:sz w:val="24"/>
          <w:szCs w:val="20"/>
          <w:highlight w:val="none"/>
        </w:rPr>
      </w:pPr>
      <w:r>
        <w:rPr>
          <w:rFonts w:hint="eastAsia" w:ascii="宋体" w:hAnsi="宋体" w:cs="宋体"/>
          <w:b/>
          <w:color w:val="auto"/>
          <w:sz w:val="24"/>
          <w:szCs w:val="20"/>
          <w:highlight w:val="none"/>
        </w:rPr>
        <w:t>35.3.1资格性审查。依据法律法规和磋商文件的规定，对响应文件中的资格证明等进行审查，以确定供应商是否具备磋商资格。</w:t>
      </w:r>
    </w:p>
    <w:p w14:paraId="78AA44E5">
      <w:pPr>
        <w:spacing w:line="360" w:lineRule="auto"/>
        <w:ind w:firstLine="482" w:firstLineChars="200"/>
        <w:rPr>
          <w:rFonts w:hint="eastAsia" w:ascii="宋体" w:hAnsi="宋体" w:cs="宋体"/>
          <w:b/>
          <w:color w:val="auto"/>
          <w:sz w:val="24"/>
          <w:szCs w:val="20"/>
          <w:highlight w:val="none"/>
        </w:rPr>
      </w:pPr>
      <w:r>
        <w:rPr>
          <w:rFonts w:hint="eastAsia" w:ascii="宋体" w:hAnsi="宋体" w:cs="宋体"/>
          <w:b/>
          <w:color w:val="auto"/>
          <w:sz w:val="24"/>
          <w:szCs w:val="20"/>
          <w:highlight w:val="none"/>
        </w:rPr>
        <w:t>35.3.2符合性审查。依据磋商文件的规定，从响应文件的有效性、完整性和对磋商文件的响应程度进行审查，以确定是否对磋商文件的实质性要求作出响应。</w:t>
      </w:r>
    </w:p>
    <w:p w14:paraId="69BB209E">
      <w:pPr>
        <w:spacing w:line="360" w:lineRule="auto"/>
        <w:ind w:firstLine="482" w:firstLineChars="200"/>
        <w:rPr>
          <w:rFonts w:hint="eastAsia" w:ascii="宋体" w:hAnsi="宋体" w:cs="宋体"/>
          <w:b/>
          <w:color w:val="auto"/>
          <w:sz w:val="24"/>
          <w:szCs w:val="20"/>
          <w:highlight w:val="none"/>
        </w:rPr>
      </w:pPr>
      <w:r>
        <w:rPr>
          <w:rFonts w:hint="eastAsia" w:ascii="宋体" w:hAnsi="宋体" w:cs="宋体"/>
          <w:b/>
          <w:color w:val="auto"/>
          <w:sz w:val="24"/>
          <w:szCs w:val="20"/>
          <w:highlight w:val="none"/>
        </w:rPr>
        <w:t>35.3.2.1澄清有关问题。对响应文件中含义不明确、同类问题表述不一致或者有明显文字和计算错误的内容，磋商小组可以书面形式要求供应商作出必要的澄清、说明或者纠正。供应商的澄清、说明或者补正应当采用书面形式，由其法定代表或委托代理人签字或盖章，并不得超出响应文件的范围或者改变响应文件的实质性内容。</w:t>
      </w:r>
    </w:p>
    <w:p w14:paraId="4BBC39AE">
      <w:pPr>
        <w:spacing w:line="360" w:lineRule="auto"/>
        <w:ind w:firstLine="482" w:firstLineChars="200"/>
        <w:rPr>
          <w:rFonts w:hint="eastAsia" w:ascii="宋体" w:hAnsi="宋体" w:cs="宋体"/>
          <w:b/>
          <w:color w:val="auto"/>
          <w:sz w:val="24"/>
          <w:szCs w:val="20"/>
          <w:highlight w:val="none"/>
        </w:rPr>
      </w:pPr>
      <w:r>
        <w:rPr>
          <w:rFonts w:hint="eastAsia" w:ascii="宋体" w:hAnsi="宋体" w:cs="宋体"/>
          <w:b/>
          <w:color w:val="auto"/>
          <w:sz w:val="24"/>
          <w:szCs w:val="20"/>
          <w:highlight w:val="none"/>
        </w:rPr>
        <w:t>35.3.2.2磋商结束后，磋商小组应当要求所有实质性响应的供应商在规定时间内提交最后报价。两轮（若有）以上报价的，供应商在未提高响应文件中承诺的产品及其服务质量的情况下，其最后报价不得高于对该项目之前的报价，否则，磋商小组应当对其响应文件按无效处理，不允许进入综合评分，并书面告知供应商，说明理由。</w:t>
      </w:r>
    </w:p>
    <w:p w14:paraId="3B6C2E95">
      <w:pPr>
        <w:spacing w:line="360" w:lineRule="auto"/>
        <w:ind w:firstLine="482" w:firstLineChars="200"/>
        <w:rPr>
          <w:rFonts w:hint="eastAsia" w:ascii="宋体" w:hAnsi="宋体" w:cs="宋体"/>
          <w:b/>
          <w:color w:val="auto"/>
          <w:sz w:val="24"/>
          <w:szCs w:val="20"/>
          <w:highlight w:val="none"/>
        </w:rPr>
      </w:pPr>
      <w:r>
        <w:rPr>
          <w:rFonts w:hint="eastAsia" w:ascii="宋体" w:hAnsi="宋体" w:cs="宋体"/>
          <w:b/>
          <w:color w:val="auto"/>
          <w:sz w:val="24"/>
          <w:szCs w:val="20"/>
          <w:highlight w:val="none"/>
        </w:rPr>
        <w:t>35.4比较与评价。磋商小组按磋商文件中规定的评审标准和标准，对资格性检查和符合性检查合格的响应文件进行商务和技术评估，综合比较与评价。</w:t>
      </w:r>
    </w:p>
    <w:p w14:paraId="2E0AECA1">
      <w:pPr>
        <w:spacing w:line="360" w:lineRule="auto"/>
        <w:ind w:firstLine="482" w:firstLineChars="200"/>
        <w:rPr>
          <w:rFonts w:hint="eastAsia" w:ascii="宋体" w:hAnsi="宋体" w:cs="宋体"/>
          <w:b/>
          <w:color w:val="auto"/>
          <w:sz w:val="24"/>
          <w:szCs w:val="20"/>
          <w:highlight w:val="none"/>
        </w:rPr>
      </w:pPr>
      <w:r>
        <w:rPr>
          <w:rFonts w:hint="eastAsia" w:ascii="宋体" w:hAnsi="宋体" w:cs="宋体"/>
          <w:b/>
          <w:color w:val="auto"/>
          <w:sz w:val="24"/>
          <w:szCs w:val="20"/>
          <w:highlight w:val="none"/>
        </w:rPr>
        <w:t>35.5评审分值：总分值为10</w:t>
      </w:r>
      <w:r>
        <w:rPr>
          <w:rFonts w:hint="eastAsia" w:ascii="宋体" w:hAnsi="宋体" w:cs="宋体"/>
          <w:b/>
          <w:color w:val="auto"/>
          <w:sz w:val="24"/>
          <w:szCs w:val="20"/>
          <w:highlight w:val="none"/>
          <w:lang w:val="en-US" w:eastAsia="zh-CN"/>
        </w:rPr>
        <w:t>0</w:t>
      </w:r>
      <w:r>
        <w:rPr>
          <w:rFonts w:hint="eastAsia" w:ascii="宋体" w:hAnsi="宋体" w:cs="宋体"/>
          <w:b/>
          <w:color w:val="auto"/>
          <w:sz w:val="24"/>
          <w:szCs w:val="20"/>
          <w:highlight w:val="none"/>
        </w:rPr>
        <w:t>分</w:t>
      </w:r>
      <w:r>
        <w:rPr>
          <w:rFonts w:hint="eastAsia" w:ascii="宋体" w:hAnsi="宋体" w:cs="宋体"/>
          <w:b/>
          <w:color w:val="auto"/>
          <w:sz w:val="24"/>
          <w:szCs w:val="20"/>
          <w:highlight w:val="none"/>
          <w:lang w:eastAsia="zh-CN"/>
        </w:rPr>
        <w:t>，</w:t>
      </w:r>
      <w:r>
        <w:rPr>
          <w:rFonts w:hint="eastAsia" w:ascii="宋体" w:hAnsi="宋体" w:cs="宋体"/>
          <w:b/>
          <w:color w:val="auto"/>
          <w:sz w:val="24"/>
          <w:szCs w:val="20"/>
          <w:highlight w:val="none"/>
        </w:rPr>
        <w:t>具体评审评分内容详本磋商文件第</w:t>
      </w:r>
      <w:r>
        <w:rPr>
          <w:rFonts w:hint="eastAsia" w:ascii="宋体" w:hAnsi="宋体" w:cs="宋体"/>
          <w:b/>
          <w:color w:val="auto"/>
          <w:sz w:val="24"/>
          <w:szCs w:val="20"/>
          <w:highlight w:val="none"/>
          <w:lang w:val="en-US" w:eastAsia="zh-CN"/>
        </w:rPr>
        <w:t>五</w:t>
      </w:r>
      <w:r>
        <w:rPr>
          <w:rFonts w:hint="eastAsia" w:ascii="宋体" w:hAnsi="宋体" w:cs="宋体"/>
          <w:b/>
          <w:color w:val="auto"/>
          <w:sz w:val="24"/>
          <w:szCs w:val="20"/>
          <w:highlight w:val="none"/>
        </w:rPr>
        <w:t>章“评审标准（综合评分法）”。</w:t>
      </w:r>
    </w:p>
    <w:p w14:paraId="2534FB1A">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szCs w:val="20"/>
          <w:highlight w:val="none"/>
        </w:rPr>
        <w:t>35.6推荐成交候选供应商</w:t>
      </w:r>
    </w:p>
    <w:p w14:paraId="5E815CF9">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35.6.1各供应商的评审得分由高至低排序，评审得分排列前3名的供应商被推荐为成交候选供应商。评审得分相同的，按照最后报价由低到高的顺序推荐。评审得分且最后报价相同的，按照技术指标优劣顺序推荐。</w:t>
      </w:r>
    </w:p>
    <w:p w14:paraId="2527EAAD">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35.6.2评分计算结果保留两位小数，第三位小数四舍五入。</w:t>
      </w:r>
    </w:p>
    <w:p w14:paraId="0BDA4674">
      <w:pPr>
        <w:spacing w:line="360" w:lineRule="auto"/>
        <w:ind w:firstLine="482" w:firstLineChars="200"/>
        <w:rPr>
          <w:rFonts w:hint="eastAsia" w:ascii="宋体" w:hAnsi="宋体" w:cs="宋体"/>
          <w:b/>
          <w:color w:val="auto"/>
          <w:sz w:val="24"/>
          <w:szCs w:val="20"/>
          <w:highlight w:val="none"/>
        </w:rPr>
      </w:pPr>
      <w:r>
        <w:rPr>
          <w:rFonts w:hint="eastAsia" w:ascii="宋体" w:hAnsi="宋体" w:cs="宋体"/>
          <w:b/>
          <w:color w:val="auto"/>
          <w:sz w:val="24"/>
          <w:highlight w:val="none"/>
        </w:rPr>
        <w:t>35.7</w:t>
      </w:r>
      <w:r>
        <w:rPr>
          <w:rFonts w:hint="eastAsia" w:ascii="宋体" w:hAnsi="宋体" w:cs="宋体"/>
          <w:b/>
          <w:color w:val="auto"/>
          <w:sz w:val="24"/>
          <w:szCs w:val="20"/>
          <w:highlight w:val="none"/>
        </w:rPr>
        <w:t>磋商小组复核。磋商小组评分汇总结束后，磋商小组应当进行评审复核，对拟推荐为成交候选供应商的、报价最低的、供应商资格审查未通过的、供应商响应文件作无效处理的重点复核。</w:t>
      </w:r>
    </w:p>
    <w:p w14:paraId="731F33F8">
      <w:pPr>
        <w:wordWrap/>
        <w:adjustRightInd/>
        <w:snapToGrid/>
        <w:spacing w:line="360" w:lineRule="auto"/>
        <w:ind w:firstLine="482" w:firstLineChars="200"/>
        <w:jc w:val="left"/>
        <w:textAlignment w:val="auto"/>
        <w:outlineLvl w:val="9"/>
        <w:rPr>
          <w:rFonts w:hint="eastAsia" w:ascii="宋体" w:hAnsi="宋体" w:eastAsia="宋体" w:cs="宋体"/>
          <w:b/>
          <w:color w:val="auto"/>
          <w:sz w:val="24"/>
          <w:szCs w:val="20"/>
          <w:highlight w:val="none"/>
        </w:rPr>
      </w:pPr>
      <w:r>
        <w:rPr>
          <w:rFonts w:hint="eastAsia" w:ascii="宋体" w:hAnsi="宋体" w:cs="宋体"/>
          <w:b/>
          <w:color w:val="auto"/>
          <w:sz w:val="24"/>
          <w:highlight w:val="none"/>
        </w:rPr>
        <w:t>35.8采购人根据磋商小组推荐的成交候选供应商及有关规定确定成交供应商。</w:t>
      </w:r>
    </w:p>
    <w:p w14:paraId="5EA4D3F5">
      <w:pPr>
        <w:spacing w:line="360" w:lineRule="auto"/>
        <w:ind w:firstLine="480" w:firstLineChars="200"/>
        <w:outlineLvl w:val="1"/>
        <w:rPr>
          <w:rFonts w:hint="eastAsia" w:ascii="宋体" w:hAnsi="宋体" w:eastAsia="宋体" w:cs="宋体"/>
          <w:color w:val="auto"/>
          <w:sz w:val="24"/>
          <w:szCs w:val="20"/>
          <w:highlight w:val="none"/>
          <w:lang w:eastAsia="zh-CN"/>
        </w:rPr>
      </w:pPr>
      <w:r>
        <w:rPr>
          <w:rFonts w:hint="eastAsia" w:ascii="宋体" w:hAnsi="宋体" w:cs="宋体"/>
          <w:color w:val="auto"/>
          <w:sz w:val="24"/>
          <w:szCs w:val="20"/>
          <w:highlight w:val="none"/>
        </w:rPr>
        <w:t>36、采购人依法接受和拒绝任一或所有供应商的</w:t>
      </w:r>
      <w:r>
        <w:rPr>
          <w:rFonts w:hint="eastAsia" w:ascii="宋体" w:hAnsi="宋体" w:cs="宋体"/>
          <w:color w:val="auto"/>
          <w:sz w:val="24"/>
          <w:szCs w:val="20"/>
          <w:highlight w:val="none"/>
          <w:lang w:eastAsia="zh-CN"/>
        </w:rPr>
        <w:t>权力</w:t>
      </w:r>
    </w:p>
    <w:p w14:paraId="4F7852B9">
      <w:pPr>
        <w:spacing w:line="360" w:lineRule="auto"/>
        <w:ind w:firstLine="480" w:firstLineChars="200"/>
        <w:rPr>
          <w:rFonts w:hint="eastAsia" w:ascii="宋体" w:hAnsi="宋体" w:cs="宋体"/>
          <w:color w:val="auto"/>
          <w:sz w:val="24"/>
          <w:szCs w:val="20"/>
          <w:highlight w:val="none"/>
        </w:rPr>
      </w:pPr>
      <w:r>
        <w:rPr>
          <w:rFonts w:hint="eastAsia" w:ascii="宋体" w:hAnsi="宋体" w:cs="宋体"/>
          <w:color w:val="auto"/>
          <w:sz w:val="24"/>
          <w:szCs w:val="20"/>
          <w:highlight w:val="none"/>
        </w:rPr>
        <w:t>采购人保留确定成交供应商之前的任何时候依法接受或拒绝任一或所有供应商的</w:t>
      </w:r>
      <w:r>
        <w:rPr>
          <w:rFonts w:hint="eastAsia" w:ascii="宋体" w:hAnsi="宋体" w:cs="宋体"/>
          <w:color w:val="auto"/>
          <w:sz w:val="24"/>
          <w:szCs w:val="20"/>
          <w:highlight w:val="none"/>
          <w:lang w:eastAsia="zh-CN"/>
        </w:rPr>
        <w:t>权力</w:t>
      </w:r>
      <w:r>
        <w:rPr>
          <w:rFonts w:hint="eastAsia" w:ascii="宋体" w:hAnsi="宋体" w:cs="宋体"/>
          <w:color w:val="auto"/>
          <w:sz w:val="24"/>
          <w:szCs w:val="20"/>
          <w:highlight w:val="none"/>
        </w:rPr>
        <w:t>，对受影响的供应商不承担任何责任，也无义务向受影响的供应商解释采取这一行动的理由。</w:t>
      </w:r>
    </w:p>
    <w:p w14:paraId="200F03E3">
      <w:pPr>
        <w:spacing w:line="360" w:lineRule="auto"/>
        <w:ind w:firstLine="480" w:firstLineChars="200"/>
        <w:outlineLvl w:val="1"/>
        <w:rPr>
          <w:rFonts w:hint="eastAsia" w:ascii="宋体" w:hAnsi="宋体" w:cs="宋体"/>
          <w:color w:val="auto"/>
          <w:sz w:val="24"/>
          <w:szCs w:val="20"/>
          <w:highlight w:val="none"/>
        </w:rPr>
      </w:pPr>
      <w:r>
        <w:rPr>
          <w:rFonts w:hint="eastAsia" w:ascii="宋体" w:hAnsi="宋体" w:cs="宋体"/>
          <w:color w:val="auto"/>
          <w:sz w:val="24"/>
          <w:szCs w:val="20"/>
          <w:highlight w:val="none"/>
        </w:rPr>
        <w:t>37、成交通知书</w:t>
      </w:r>
    </w:p>
    <w:p w14:paraId="1B05F038">
      <w:pPr>
        <w:spacing w:line="360" w:lineRule="auto"/>
        <w:ind w:firstLine="480" w:firstLineChars="200"/>
        <w:rPr>
          <w:rFonts w:hint="eastAsia" w:ascii="宋体" w:hAnsi="宋体" w:cs="宋体"/>
          <w:color w:val="auto"/>
          <w:sz w:val="24"/>
          <w:szCs w:val="20"/>
          <w:highlight w:val="none"/>
        </w:rPr>
      </w:pPr>
      <w:r>
        <w:rPr>
          <w:rFonts w:hint="eastAsia" w:ascii="宋体" w:hAnsi="宋体" w:cs="宋体"/>
          <w:color w:val="auto"/>
          <w:sz w:val="24"/>
          <w:szCs w:val="20"/>
          <w:highlight w:val="none"/>
        </w:rPr>
        <w:t>37.1采购人确定成交供应商后，及时通知采购代理机构，采购代理机构将按程序公告成交结果，同时向成交供应商发出成交通知书，成交通知书一经发出即发生法律效力。</w:t>
      </w:r>
    </w:p>
    <w:p w14:paraId="59A7ADCB">
      <w:pPr>
        <w:spacing w:line="360" w:lineRule="auto"/>
        <w:ind w:firstLine="480" w:firstLineChars="200"/>
        <w:rPr>
          <w:rFonts w:hint="eastAsia" w:ascii="宋体" w:hAnsi="宋体" w:cs="宋体"/>
          <w:color w:val="auto"/>
          <w:sz w:val="24"/>
          <w:szCs w:val="20"/>
          <w:highlight w:val="none"/>
        </w:rPr>
      </w:pPr>
      <w:r>
        <w:rPr>
          <w:rFonts w:hint="eastAsia" w:ascii="宋体" w:hAnsi="宋体" w:cs="宋体"/>
          <w:color w:val="auto"/>
          <w:sz w:val="24"/>
          <w:szCs w:val="20"/>
          <w:highlight w:val="none"/>
        </w:rPr>
        <w:t>37.2《成交通知书》将是合同的组成部分。</w:t>
      </w:r>
    </w:p>
    <w:p w14:paraId="7798C8FF">
      <w:pPr>
        <w:spacing w:line="360" w:lineRule="auto"/>
        <w:ind w:firstLine="480" w:firstLineChars="200"/>
        <w:rPr>
          <w:rFonts w:hint="eastAsia" w:ascii="宋体" w:hAnsi="宋体" w:cs="宋体"/>
          <w:color w:val="auto"/>
          <w:sz w:val="24"/>
          <w:szCs w:val="20"/>
          <w:highlight w:val="none"/>
        </w:rPr>
      </w:pPr>
      <w:r>
        <w:rPr>
          <w:rFonts w:hint="eastAsia" w:ascii="宋体" w:hAnsi="宋体" w:cs="宋体"/>
          <w:color w:val="auto"/>
          <w:sz w:val="24"/>
          <w:szCs w:val="20"/>
          <w:highlight w:val="none"/>
        </w:rPr>
        <w:t>37.3采购人将通知其他未成交的供应商。</w:t>
      </w:r>
    </w:p>
    <w:p w14:paraId="766015C8">
      <w:pPr>
        <w:spacing w:line="360" w:lineRule="auto"/>
        <w:ind w:firstLine="480" w:firstLineChars="200"/>
        <w:outlineLvl w:val="1"/>
        <w:rPr>
          <w:rFonts w:hint="eastAsia" w:ascii="宋体" w:hAnsi="宋体" w:cs="宋体"/>
          <w:color w:val="auto"/>
          <w:sz w:val="24"/>
          <w:szCs w:val="20"/>
          <w:highlight w:val="none"/>
        </w:rPr>
      </w:pPr>
      <w:bookmarkStart w:id="140" w:name="_Toc243907611"/>
      <w:bookmarkStart w:id="141" w:name="_Toc233274849"/>
      <w:bookmarkStart w:id="142" w:name="_Toc245897310"/>
      <w:bookmarkStart w:id="143" w:name="_Toc243906350"/>
      <w:r>
        <w:rPr>
          <w:rFonts w:hint="eastAsia" w:ascii="宋体" w:hAnsi="宋体" w:cs="宋体"/>
          <w:color w:val="auto"/>
          <w:sz w:val="24"/>
          <w:szCs w:val="20"/>
          <w:highlight w:val="none"/>
        </w:rPr>
        <w:t>38、纪律与保密事项</w:t>
      </w:r>
      <w:bookmarkEnd w:id="140"/>
      <w:bookmarkEnd w:id="141"/>
      <w:bookmarkEnd w:id="142"/>
      <w:bookmarkEnd w:id="143"/>
    </w:p>
    <w:p w14:paraId="745741C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38.1凡参与磋商工作的有关人员均应自觉接受有关主管部门的监督，不得向他人透露可能影响公平竞争的有关磋商的其他情况。</w:t>
      </w:r>
    </w:p>
    <w:p w14:paraId="0A92605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38.2领取本磋商文件及其它相关资料者，应对文件进行保密，不得用作本次磋商以外的任何用途。由采购人向供应商提供的图纸、技术资料和所有其它资料，均视为保密资料，除非得到采购人的同意，不得向第三方透露。</w:t>
      </w:r>
    </w:p>
    <w:p w14:paraId="4FE626A7">
      <w:pPr>
        <w:wordWrap/>
        <w:adjustRightInd/>
        <w:snapToGrid/>
        <w:spacing w:line="360" w:lineRule="auto"/>
        <w:ind w:firstLine="480" w:firstLineChars="200"/>
        <w:jc w:val="left"/>
        <w:textAlignment w:val="auto"/>
        <w:outlineLvl w:val="9"/>
        <w:rPr>
          <w:rFonts w:hint="eastAsia" w:ascii="宋体" w:hAnsi="宋体" w:eastAsia="宋体" w:cs="宋体"/>
          <w:color w:val="auto"/>
          <w:sz w:val="24"/>
          <w:highlight w:val="none"/>
        </w:rPr>
      </w:pPr>
      <w:r>
        <w:rPr>
          <w:rFonts w:hint="eastAsia" w:ascii="宋体" w:hAnsi="宋体" w:cs="宋体"/>
          <w:color w:val="auto"/>
          <w:sz w:val="24"/>
          <w:highlight w:val="none"/>
        </w:rPr>
        <w:t>38.3供应商不得与采购人串通磋商，不得向采购人或者磋商小组成员行贿谋取成交，不得以他人名义参与磋商或者以其它任何方式弄虚作假骗取参与磋商。供应商不得以任何方式干扰、影响评审工作。</w:t>
      </w:r>
    </w:p>
    <w:p w14:paraId="771A7E8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38.4供应商不得在磋商过程中互相串通、结盟、损害磋商的公正性和竞争性，或以任何方式影响其他供应商参与正当磋商。扰乱磋商市场，破坏公平竞争原则。如供应商在磋商过程中互相串通，一经查实，将取消磋商资格。</w:t>
      </w:r>
    </w:p>
    <w:p w14:paraId="6D06F39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38.5 磋商之日起直至授予成交供应商合同为止，凡属于对响应文件的审查、澄清、评价、比较有关的资料和成交候选人的推荐情况及与评审有关的其他任何情况均严格保密。</w:t>
      </w:r>
    </w:p>
    <w:p w14:paraId="4E21608A">
      <w:pPr>
        <w:spacing w:line="360" w:lineRule="auto"/>
        <w:ind w:firstLine="480" w:firstLineChars="200"/>
        <w:rPr>
          <w:rFonts w:hint="eastAsia" w:ascii="宋体" w:hAnsi="宋体" w:cs="宋体"/>
          <w:color w:val="auto"/>
          <w:sz w:val="24"/>
          <w:szCs w:val="20"/>
          <w:highlight w:val="none"/>
        </w:rPr>
      </w:pPr>
      <w:r>
        <w:rPr>
          <w:rFonts w:hint="eastAsia" w:ascii="宋体" w:hAnsi="宋体" w:cs="宋体"/>
          <w:color w:val="auto"/>
          <w:sz w:val="24"/>
          <w:szCs w:val="20"/>
          <w:highlight w:val="none"/>
        </w:rPr>
        <w:t>38.6从磋商之日起至授予合同期间，供应商试图向磋商小组、采购代理机构施加任何影响或对采购人的比较及授予合同的决定进行影响，都可能导致其响应文件被拒绝。</w:t>
      </w:r>
    </w:p>
    <w:p w14:paraId="603E0E1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38.7除供应商被要求对响应文件进行澄清外，从磋商之时起至授予合同期间，供应商不得就与其响应文件有关的事项主动与磋商小组、采购代理机构以及采购人联系。</w:t>
      </w:r>
    </w:p>
    <w:p w14:paraId="2A57F7A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38.8成交供应商确定后，采购人不对未成交供应商就评审过程以及未能成交原因作出任何解释，未成交供应商不得向磋商小组或其他有关人员询问评审过程的情况和索取评审过程的资料。</w:t>
      </w:r>
    </w:p>
    <w:p w14:paraId="27638F6A">
      <w:pPr>
        <w:pStyle w:val="33"/>
        <w:wordWrap/>
        <w:spacing w:line="360" w:lineRule="auto"/>
        <w:ind w:firstLine="562" w:firstLineChars="200"/>
        <w:jc w:val="center"/>
        <w:outlineLvl w:val="1"/>
        <w:rPr>
          <w:rFonts w:hint="eastAsia" w:ascii="宋体" w:hAnsi="宋体" w:eastAsia="宋体" w:cs="宋体"/>
          <w:b/>
          <w:bCs/>
          <w:color w:val="auto"/>
          <w:sz w:val="28"/>
          <w:szCs w:val="28"/>
          <w:highlight w:val="none"/>
        </w:rPr>
      </w:pPr>
    </w:p>
    <w:p w14:paraId="41227356">
      <w:pPr>
        <w:pStyle w:val="33"/>
        <w:wordWrap/>
        <w:spacing w:line="360" w:lineRule="auto"/>
        <w:ind w:firstLine="562" w:firstLineChars="200"/>
        <w:jc w:val="cente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F   授予合同</w:t>
      </w:r>
      <w:bookmarkStart w:id="144" w:name="_Toc243907618"/>
      <w:bookmarkStart w:id="145" w:name="_Toc243906355"/>
      <w:bookmarkStart w:id="146" w:name="_Toc233274853"/>
      <w:bookmarkStart w:id="147" w:name="_Toc245897315"/>
    </w:p>
    <w:p w14:paraId="66E48D6A">
      <w:pPr>
        <w:pStyle w:val="33"/>
        <w:wordWrap/>
        <w:spacing w:line="360" w:lineRule="auto"/>
        <w:ind w:firstLine="562" w:firstLineChars="200"/>
        <w:jc w:val="center"/>
        <w:outlineLvl w:val="1"/>
        <w:rPr>
          <w:rFonts w:hint="eastAsia" w:ascii="宋体" w:hAnsi="宋体" w:eastAsia="宋体" w:cs="宋体"/>
          <w:b/>
          <w:bCs/>
          <w:color w:val="auto"/>
          <w:sz w:val="28"/>
          <w:szCs w:val="28"/>
          <w:highlight w:val="none"/>
        </w:rPr>
      </w:pPr>
    </w:p>
    <w:bookmarkEnd w:id="144"/>
    <w:bookmarkEnd w:id="145"/>
    <w:bookmarkEnd w:id="146"/>
    <w:bookmarkEnd w:id="147"/>
    <w:p w14:paraId="375B2654">
      <w:pPr>
        <w:pStyle w:val="33"/>
        <w:spacing w:line="360" w:lineRule="auto"/>
        <w:ind w:firstLine="480" w:firstLineChars="200"/>
        <w:outlineLvl w:val="1"/>
        <w:rPr>
          <w:rFonts w:hint="eastAsia" w:hAnsi="宋体" w:cs="宋体"/>
          <w:bCs/>
          <w:color w:val="auto"/>
          <w:sz w:val="24"/>
          <w:szCs w:val="24"/>
          <w:highlight w:val="none"/>
        </w:rPr>
      </w:pPr>
      <w:r>
        <w:rPr>
          <w:rFonts w:hint="eastAsia" w:hAnsi="宋体" w:cs="宋体"/>
          <w:bCs/>
          <w:color w:val="auto"/>
          <w:sz w:val="24"/>
          <w:szCs w:val="24"/>
          <w:highlight w:val="none"/>
        </w:rPr>
        <w:t>39、授予合同标准</w:t>
      </w:r>
    </w:p>
    <w:p w14:paraId="3E5CD908">
      <w:pPr>
        <w:pStyle w:val="33"/>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39.1本采购项目的采购合同将授予按本须知第35.7条所确定成交供应商。</w:t>
      </w:r>
    </w:p>
    <w:p w14:paraId="035D1263">
      <w:pPr>
        <w:pStyle w:val="33"/>
        <w:spacing w:line="360" w:lineRule="auto"/>
        <w:ind w:firstLine="480" w:firstLineChars="200"/>
        <w:outlineLvl w:val="1"/>
        <w:rPr>
          <w:rFonts w:hint="eastAsia" w:hAnsi="宋体" w:cs="宋体"/>
          <w:color w:val="auto"/>
          <w:sz w:val="24"/>
          <w:highlight w:val="none"/>
        </w:rPr>
      </w:pPr>
      <w:bookmarkStart w:id="148" w:name="_Toc243907620"/>
      <w:bookmarkStart w:id="149" w:name="_Toc243906357"/>
      <w:bookmarkStart w:id="150" w:name="_Toc233274855"/>
      <w:bookmarkStart w:id="151" w:name="_Toc245897317"/>
      <w:r>
        <w:rPr>
          <w:rFonts w:hint="eastAsia" w:hAnsi="宋体" w:cs="宋体"/>
          <w:color w:val="auto"/>
          <w:sz w:val="24"/>
          <w:highlight w:val="none"/>
        </w:rPr>
        <w:t>40、签订合同</w:t>
      </w:r>
      <w:bookmarkEnd w:id="148"/>
      <w:bookmarkEnd w:id="149"/>
      <w:bookmarkEnd w:id="150"/>
      <w:bookmarkEnd w:id="151"/>
    </w:p>
    <w:p w14:paraId="23082DB5">
      <w:pPr>
        <w:pStyle w:val="33"/>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40.1成交供应商应当自成交通知书发出之日起三十日内，按照磋商文件和成交供应商的响应文件订立书面合同。成交供应商不得要求订立背离本响应文件合同主要内容等响应文件实质性内容的其他协议。</w:t>
      </w:r>
    </w:p>
    <w:p w14:paraId="2F3065F2">
      <w:pPr>
        <w:pStyle w:val="33"/>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40.2 成交通知书、成交供应商的响应文件及其澄清文件、技术规范及标准、项目采购需求、本磋商文件（含修改文件或补充文件）及答疑纪要等，均为签订合同的依据。</w:t>
      </w:r>
    </w:p>
    <w:p w14:paraId="4FF87831">
      <w:pPr>
        <w:pStyle w:val="33"/>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40.3采购人如不按本须知40.1条规定与成交供应商签订合同，或者采购人、成交供应商签订背离合同实质性内容的协议，由监督管理部门责令其改正。</w:t>
      </w:r>
    </w:p>
    <w:p w14:paraId="099A0773">
      <w:pPr>
        <w:pStyle w:val="33"/>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40.4成交供应商如不按本须知40.1条规定与采购人签订合同，则按违约处理，采购人将有权取消成交供应商资格，给采购人造成损失的，还应当予以赔偿，同时依法承担相应的法律责任。</w:t>
      </w:r>
    </w:p>
    <w:p w14:paraId="784B026A">
      <w:pPr>
        <w:spacing w:line="360" w:lineRule="auto"/>
        <w:ind w:firstLine="482" w:firstLineChars="200"/>
        <w:rPr>
          <w:rFonts w:hint="eastAsia" w:ascii="宋体" w:hAnsi="宋体" w:cs="宋体"/>
          <w:color w:val="auto"/>
          <w:highlight w:val="none"/>
        </w:rPr>
      </w:pPr>
      <w:r>
        <w:rPr>
          <w:rFonts w:hint="eastAsia" w:ascii="宋体" w:hAnsi="宋体" w:cs="宋体"/>
          <w:b/>
          <w:color w:val="auto"/>
          <w:sz w:val="24"/>
          <w:highlight w:val="none"/>
        </w:rPr>
        <w:t>40.5成交供应商拒绝与采购人签订合同的，采购人可以按照评审报告推荐的成交候选人名单排序，确定下一名候选人为成交供应商，并组织重新选定的成交供应商和采购人签订合同，也可以重新开展政府采购活动。</w:t>
      </w:r>
    </w:p>
    <w:p w14:paraId="04B36FEB">
      <w:pPr>
        <w:spacing w:line="360" w:lineRule="auto"/>
        <w:ind w:firstLine="480" w:firstLineChars="200"/>
        <w:outlineLvl w:val="1"/>
        <w:rPr>
          <w:rFonts w:hint="eastAsia" w:ascii="宋体" w:hAnsi="宋体" w:cs="宋体"/>
          <w:color w:val="auto"/>
          <w:highlight w:val="none"/>
        </w:rPr>
      </w:pPr>
      <w:bookmarkStart w:id="152" w:name="_Toc245897318"/>
      <w:bookmarkStart w:id="153" w:name="_Toc243907621"/>
      <w:r>
        <w:rPr>
          <w:rFonts w:hint="eastAsia" w:ascii="宋体" w:hAnsi="宋体" w:cs="宋体"/>
          <w:color w:val="auto"/>
          <w:sz w:val="24"/>
          <w:highlight w:val="none"/>
        </w:rPr>
        <w:t>41、合同的签订准则</w:t>
      </w:r>
      <w:bookmarkEnd w:id="152"/>
      <w:bookmarkEnd w:id="153"/>
    </w:p>
    <w:p w14:paraId="4AA209C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41.1合同签订必须由采购人、成交供应商双方法定代表或其委托代理人签署并加盖法人公章后方能生效。</w:t>
      </w:r>
    </w:p>
    <w:p w14:paraId="1404A52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41.2合同转包（实质性要求）</w:t>
      </w:r>
    </w:p>
    <w:p w14:paraId="5C6BA8D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14:paraId="587C186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成交供应商转包的，视同拒绝履行政府采购合同义务，将依法追究法律责任。</w:t>
      </w:r>
    </w:p>
    <w:p w14:paraId="79B1FFFD">
      <w:pPr>
        <w:spacing w:line="360" w:lineRule="auto"/>
        <w:ind w:firstLine="482" w:firstLineChars="200"/>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rPr>
        <w:t>41.3</w:t>
      </w:r>
      <w:r>
        <w:rPr>
          <w:rFonts w:hint="eastAsia" w:ascii="宋体" w:hAnsi="宋体" w:cs="宋体"/>
          <w:b/>
          <w:bCs/>
          <w:color w:val="auto"/>
          <w:sz w:val="24"/>
          <w:highlight w:val="none"/>
          <w:lang w:val="en-US" w:eastAsia="zh-CN"/>
        </w:rPr>
        <w:t xml:space="preserve"> </w:t>
      </w:r>
      <w:r>
        <w:rPr>
          <w:rFonts w:hint="eastAsia" w:ascii="宋体" w:hAnsi="宋体" w:cs="宋体"/>
          <w:b/>
          <w:bCs/>
          <w:color w:val="auto"/>
          <w:sz w:val="24"/>
          <w:highlight w:val="none"/>
        </w:rPr>
        <w:t>本采购项目严禁成交供应商将任何政府采购合同义务</w:t>
      </w:r>
      <w:r>
        <w:rPr>
          <w:rFonts w:hint="eastAsia" w:ascii="宋体" w:hAnsi="宋体" w:cs="宋体"/>
          <w:b/>
          <w:bCs/>
          <w:color w:val="auto"/>
          <w:sz w:val="24"/>
          <w:highlight w:val="none"/>
          <w:lang w:val="zh-CN" w:eastAsia="zh-CN"/>
        </w:rPr>
        <w:t>分包。</w:t>
      </w:r>
    </w:p>
    <w:p w14:paraId="3A10D414">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41.4</w:t>
      </w:r>
      <w:r>
        <w:rPr>
          <w:rFonts w:hint="eastAsia" w:ascii="宋体" w:hAnsi="宋体" w:cs="宋体"/>
          <w:b/>
          <w:bCs/>
          <w:color w:val="auto"/>
          <w:sz w:val="24"/>
          <w:highlight w:val="none"/>
        </w:rPr>
        <w:t>补充合同</w:t>
      </w:r>
    </w:p>
    <w:p w14:paraId="1C9CCE84">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 xml:space="preserve">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 </w:t>
      </w:r>
    </w:p>
    <w:p w14:paraId="74E36FC9">
      <w:pPr>
        <w:keepNext/>
        <w:keepLines/>
        <w:widowControl w:val="0"/>
        <w:wordWrap/>
        <w:adjustRightInd/>
        <w:snapToGrid/>
        <w:spacing w:line="416" w:lineRule="auto"/>
        <w:jc w:val="left"/>
        <w:textAlignment w:val="auto"/>
        <w:outlineLvl w:val="9"/>
        <w:rPr>
          <w:rFonts w:hint="eastAsia"/>
          <w:color w:val="auto"/>
          <w:highlight w:val="none"/>
        </w:rPr>
      </w:pPr>
    </w:p>
    <w:p w14:paraId="4B3A29D0">
      <w:pPr>
        <w:wordWrap/>
        <w:snapToGrid w:val="0"/>
        <w:spacing w:line="360" w:lineRule="auto"/>
        <w:ind w:firstLine="562" w:firstLineChars="200"/>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G  询问、质疑、投诉</w:t>
      </w:r>
    </w:p>
    <w:p w14:paraId="7E68A76B">
      <w:pPr>
        <w:wordWrap/>
        <w:spacing w:line="360" w:lineRule="auto"/>
        <w:ind w:firstLine="480" w:firstLineChars="200"/>
        <w:jc w:val="center"/>
        <w:rPr>
          <w:rFonts w:hint="eastAsia" w:ascii="宋体" w:hAnsi="宋体" w:eastAsia="宋体" w:cs="宋体"/>
          <w:color w:val="auto"/>
          <w:sz w:val="24"/>
          <w:highlight w:val="none"/>
        </w:rPr>
      </w:pPr>
    </w:p>
    <w:p w14:paraId="4EEEFC47">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43、询问</w:t>
      </w:r>
    </w:p>
    <w:p w14:paraId="3827E291">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43.1供应商对采购活动事项有疑问的，可以向采购人或采购代理机构提出询问，采购人或采购代理机构应当在三个工作日内对供应商依法提出的询问作出答复，但答复的内容不得涉及商业秘密。</w:t>
      </w:r>
    </w:p>
    <w:p w14:paraId="1FD97F06">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44、质疑</w:t>
      </w:r>
    </w:p>
    <w:p w14:paraId="4A0CCC4D">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44.1 供应商认为采购文件、采购过程和中标、成交结果使自己的合法权益受到损害的，可以在知道或者应知其权益受到损害之日起七个工作日内，将质疑文件原件和必要的证明材料送达采购代理机构。</w:t>
      </w:r>
    </w:p>
    <w:p w14:paraId="6A77CE33">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44.2供应商如对</w:t>
      </w:r>
      <w:r>
        <w:rPr>
          <w:rFonts w:hint="eastAsia" w:ascii="宋体" w:hAnsi="宋体" w:cs="宋体"/>
          <w:color w:val="auto"/>
          <w:sz w:val="24"/>
          <w:highlight w:val="none"/>
          <w:lang w:val="en-US" w:eastAsia="zh-CN"/>
        </w:rPr>
        <w:t>简易</w:t>
      </w:r>
      <w:r>
        <w:rPr>
          <w:rFonts w:hint="eastAsia" w:ascii="宋体" w:hAnsi="宋体" w:cs="宋体"/>
          <w:color w:val="auto"/>
          <w:sz w:val="24"/>
          <w:highlight w:val="none"/>
        </w:rPr>
        <w:t>磋商采购文件技术指标、参数、评分标准有质疑，向采购人提出，由采购人按相关规定作出答复或委托采购代理机构代为答复。供应商如对采购过程和采购结果有质疑，向采购代理机构提出，由采购代理机构按相关规定作出答复。</w:t>
      </w:r>
    </w:p>
    <w:p w14:paraId="2C5EFA25">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44.3上述应知其权益受到损害之日是指： </w:t>
      </w:r>
    </w:p>
    <w:p w14:paraId="5DB5A3D8">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（1）对采购文件提出质疑的，为采购文件公告期限届满之日起计算； </w:t>
      </w:r>
    </w:p>
    <w:p w14:paraId="0A407FDA">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（2）对采购过程提出质疑的，自采购程序环节结束之日起计算；</w:t>
      </w:r>
    </w:p>
    <w:p w14:paraId="322D0A3D">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（3）对中标或者成交结果提出质疑的，自中标或者成交结果公告期限届满之日起计算。</w:t>
      </w:r>
    </w:p>
    <w:p w14:paraId="59B53DE1">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44.4质疑供应商在法定质疑期内应当一次性提出针对同一采购环节提出质疑。</w:t>
      </w:r>
    </w:p>
    <w:p w14:paraId="69D5708E">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44.5质疑文件应包括以下主要内容，并按照“谁主张、谁举证”的原则，附上相关证明材料。否则，采购代理机构不予受理【财政部发布了《政府采购投标人质疑函范本》和《政府采购投标人投诉书范本》，两范本指投标人提出质疑、投诉人提起投诉时，应提交的质疑函、投诉书和必要的证明材料（下载路径：中国政府采购网→下载专区）】：　　　　　　　</w:t>
      </w:r>
    </w:p>
    <w:p w14:paraId="591328E6">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（1）供应商的姓名或者名称、地址、邮编、联系人及联系电话（包括座机、手机、传真号码等）； </w:t>
      </w:r>
    </w:p>
    <w:p w14:paraId="46BD516D">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（2）质疑项目的名称、项目编号、包号、采购公告发布时间、递交投标文件或响应文件截止时间； </w:t>
      </w:r>
    </w:p>
    <w:p w14:paraId="01C8E83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（3）具体、明确的质疑事项和与质疑事项相关的请求； </w:t>
      </w:r>
    </w:p>
    <w:p w14:paraId="599CD98F">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（4）事实依据（具体条款，认为自己合法权益受到损害或可能受到损害的相关证据材料。如涉及到产品功能或技术指标的，应出具相关制造商的证明文件）； </w:t>
      </w:r>
    </w:p>
    <w:p w14:paraId="03FB51FF">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（5）必要的法律依据； </w:t>
      </w:r>
    </w:p>
    <w:p w14:paraId="12600E84">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（6）提起质疑的日期；</w:t>
      </w:r>
    </w:p>
    <w:p w14:paraId="2B243F2C">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（7）质疑文件应当署</w:t>
      </w:r>
      <w:r>
        <w:rPr>
          <w:rFonts w:hint="eastAsia" w:ascii="宋体" w:hAnsi="宋体" w:cs="宋体"/>
          <w:color w:val="auto"/>
          <w:sz w:val="24"/>
          <w:highlight w:val="none"/>
          <w:lang w:eastAsia="zh-CN"/>
        </w:rPr>
        <w:t>实</w:t>
      </w:r>
      <w:r>
        <w:rPr>
          <w:rFonts w:hint="eastAsia" w:ascii="宋体" w:hAnsi="宋体" w:cs="宋体"/>
          <w:color w:val="auto"/>
          <w:sz w:val="24"/>
          <w:highlight w:val="none"/>
        </w:rPr>
        <w:t>名，质疑人为自然人的，应当由本人签字并附有效身份证明；质疑人为法人或其他组织的，应当由法定代表人签字并加盖单位公章；</w:t>
      </w:r>
    </w:p>
    <w:p w14:paraId="3AE2BFBF">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（8）供应商委托代理质疑的，应当提交授权委托书，并载明代理人的姓名或者名称、代理事项、 具体权限、期限和相关事项。</w:t>
      </w:r>
    </w:p>
    <w:p w14:paraId="410DD8BA">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44.6质疑供应商是指直接参加本项目采购活动的供应商，未参加政府采购活动的供应商或在采购活动中自身权益未受到损害的供应商所提出的质疑不予受理。</w:t>
      </w:r>
    </w:p>
    <w:p w14:paraId="7967ADC1">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44.7采购人、采购代理机构在收到供应商的书面质疑后将及时组织调查核实，在七个工作日内作出答复，并以书面形式通知质疑供应商和其他有关供应商，答复的内容不涉及商业秘密。</w:t>
      </w:r>
    </w:p>
    <w:p w14:paraId="437A58F9">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45、投诉</w:t>
      </w:r>
    </w:p>
    <w:p w14:paraId="708C98D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45.1 质疑供应商对采购人、采购代理机构的答复不满意，或采购人、采购代理机构未在规定的时间内作出答复的，可以在答复期满后十五个工作日内向采购</w:t>
      </w:r>
      <w:r>
        <w:rPr>
          <w:rFonts w:hint="eastAsia" w:ascii="宋体" w:hAnsi="宋体" w:cs="宋体"/>
          <w:color w:val="auto"/>
          <w:sz w:val="24"/>
          <w:highlight w:val="none"/>
          <w:lang w:val="en-US" w:eastAsia="zh-CN"/>
        </w:rPr>
        <w:t>人</w:t>
      </w:r>
      <w:r>
        <w:rPr>
          <w:rFonts w:hint="eastAsia" w:ascii="宋体" w:hAnsi="宋体" w:cs="宋体"/>
          <w:color w:val="auto"/>
          <w:sz w:val="24"/>
          <w:highlight w:val="none"/>
        </w:rPr>
        <w:t>提起投诉。</w:t>
      </w:r>
    </w:p>
    <w:p w14:paraId="66244506">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45.2供应商投诉的事项不得超出已质疑事项的范围，但基于质疑答复内容提出的投诉事项除外。</w:t>
      </w:r>
    </w:p>
    <w:p w14:paraId="329D634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46、诚实信用</w:t>
      </w:r>
    </w:p>
    <w:p w14:paraId="4F2AA7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46.1供应商不得虚假承诺，否则，按照提供虚假材料谋取中标或成交处理。</w:t>
      </w:r>
    </w:p>
    <w:p w14:paraId="378C6348">
      <w:pPr>
        <w:widowControl w:val="0"/>
        <w:wordWrap/>
        <w:adjustRightInd/>
        <w:spacing w:line="360" w:lineRule="auto"/>
        <w:ind w:firstLine="480" w:firstLineChars="200"/>
        <w:jc w:val="left"/>
        <w:textAlignment w:val="auto"/>
        <w:rPr>
          <w:rFonts w:hint="eastAsia" w:ascii="宋体" w:hAnsi="宋体" w:eastAsia="宋体" w:cs="宋体"/>
          <w:color w:val="auto"/>
          <w:sz w:val="24"/>
          <w:highlight w:val="none"/>
        </w:rPr>
      </w:pPr>
    </w:p>
    <w:p w14:paraId="5F8C97C1">
      <w:pPr>
        <w:wordWrap/>
        <w:snapToGrid w:val="0"/>
        <w:spacing w:line="360" w:lineRule="auto"/>
        <w:ind w:firstLine="562" w:firstLineChars="200"/>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H   义务、工作纪律</w:t>
      </w:r>
    </w:p>
    <w:p w14:paraId="51753EDB">
      <w:pPr>
        <w:widowControl w:val="0"/>
        <w:wordWrap/>
        <w:adjustRightInd/>
        <w:snapToGrid w:val="0"/>
        <w:spacing w:line="360" w:lineRule="auto"/>
        <w:ind w:left="0" w:leftChars="0" w:firstLine="562" w:firstLineChars="200"/>
        <w:jc w:val="left"/>
        <w:textAlignment w:val="auto"/>
        <w:rPr>
          <w:rFonts w:hint="eastAsia" w:ascii="宋体" w:hAnsi="宋体" w:eastAsia="宋体" w:cs="宋体"/>
          <w:b/>
          <w:bCs/>
          <w:color w:val="auto"/>
          <w:kern w:val="0"/>
          <w:sz w:val="28"/>
          <w:szCs w:val="28"/>
          <w:highlight w:val="none"/>
        </w:rPr>
      </w:pPr>
    </w:p>
    <w:p w14:paraId="4EDE56D3">
      <w:pPr>
        <w:tabs>
          <w:tab w:val="left" w:pos="7665"/>
        </w:tabs>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47、磋商小组在政府采购活动中承担以下义务：</w:t>
      </w:r>
    </w:p>
    <w:p w14:paraId="41A989D2">
      <w:pPr>
        <w:tabs>
          <w:tab w:val="left" w:pos="7665"/>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（一）遵守评审工作纪律；</w:t>
      </w:r>
    </w:p>
    <w:p w14:paraId="62EBDFB6">
      <w:pPr>
        <w:tabs>
          <w:tab w:val="left" w:pos="7665"/>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（二）按照客观、公正、审慎的原则，根据磋商文件规定的评审程序、评审方法和评审标准进行独立评审；</w:t>
      </w:r>
    </w:p>
    <w:p w14:paraId="7C01995C">
      <w:pPr>
        <w:tabs>
          <w:tab w:val="left" w:pos="7665"/>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（三）不得泄露评审文件、评审情况和在评审过程中获悉的商业秘密；</w:t>
      </w:r>
    </w:p>
    <w:p w14:paraId="047482A0">
      <w:pPr>
        <w:tabs>
          <w:tab w:val="left" w:pos="7665"/>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（四）及时向财政部门报告评审过程中发现的采购人、采购代理机构向评审专家做倾向性、误导性的解释或者说明，以及供应商行贿、提供虚假材料或者串通等违法行为；</w:t>
      </w:r>
    </w:p>
    <w:p w14:paraId="2DA0D3B7">
      <w:pPr>
        <w:tabs>
          <w:tab w:val="left" w:pos="7665"/>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（五）发现磋商文件内容违反国家有关强制性规定或者磋商文件存在歧义、重大缺陷导致评审工作无法进行时，停止评审并向采购人或者采购代理机构书面说明情况；</w:t>
      </w:r>
    </w:p>
    <w:p w14:paraId="141AFAF9">
      <w:pPr>
        <w:tabs>
          <w:tab w:val="left" w:pos="7665"/>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（六）及时向财政、监察等部门举报在评审过程中受到非法干预的情况；</w:t>
      </w:r>
    </w:p>
    <w:p w14:paraId="4DC55D67">
      <w:pPr>
        <w:tabs>
          <w:tab w:val="left" w:pos="7665"/>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（七）配合答复处理供应商的询问、质疑和投诉等事项；</w:t>
      </w:r>
    </w:p>
    <w:p w14:paraId="7F9425DA">
      <w:pPr>
        <w:tabs>
          <w:tab w:val="left" w:pos="7665"/>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（八）法律、法规和规章规定的其他义务。</w:t>
      </w:r>
    </w:p>
    <w:p w14:paraId="53777642">
      <w:pPr>
        <w:tabs>
          <w:tab w:val="left" w:pos="7665"/>
        </w:tabs>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48、评审专家在政府采购活动中应当遵守以下工作纪律</w:t>
      </w:r>
      <w:r>
        <w:rPr>
          <w:rFonts w:hint="eastAsia" w:ascii="宋体" w:hAnsi="宋体" w:cs="宋体"/>
          <w:color w:val="auto"/>
          <w:sz w:val="24"/>
          <w:highlight w:val="none"/>
        </w:rPr>
        <w:t>：</w:t>
      </w:r>
    </w:p>
    <w:p w14:paraId="397C3CD6">
      <w:pPr>
        <w:tabs>
          <w:tab w:val="left" w:pos="7665"/>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（一）不得参加与自己有《中华人民共和国政府采购法实施条例》第九条规定的利害关系的政府采购项目的评标活动。发现参加了</w:t>
      </w:r>
      <w:bookmarkStart w:id="171" w:name="_GoBack"/>
      <w:bookmarkEnd w:id="171"/>
      <w:r>
        <w:rPr>
          <w:rFonts w:hint="eastAsia" w:ascii="宋体" w:hAnsi="宋体" w:cs="宋体"/>
          <w:color w:val="auto"/>
          <w:sz w:val="24"/>
          <w:highlight w:val="none"/>
        </w:rPr>
        <w:t>与自己有利害关系的评审活动，须主动提出回避，退出评审；</w:t>
      </w:r>
    </w:p>
    <w:p w14:paraId="4F5D5D4B">
      <w:pPr>
        <w:tabs>
          <w:tab w:val="left" w:pos="7665"/>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（二）评审前，应当将通讯工具或者相关电子设备交由采购代理机构统一保管；</w:t>
      </w:r>
    </w:p>
    <w:p w14:paraId="282E50D6">
      <w:pPr>
        <w:tabs>
          <w:tab w:val="left" w:pos="7665"/>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（三）评审过程中，不得与外界联系，因发生不可预见情况，确实需要与外界联系的，应当在监督人员监督之下办理；</w:t>
      </w:r>
    </w:p>
    <w:p w14:paraId="642F518A">
      <w:pPr>
        <w:tabs>
          <w:tab w:val="left" w:pos="7665"/>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评审过程中，不得发表影响评审公正的倾向性、歧视性言论，不得征询或者接受采购人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14:paraId="4E51FBFB">
      <w:pPr>
        <w:tabs>
          <w:tab w:val="left" w:pos="7665"/>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（五）在评审过程中和评审结束后，不得记录、复制或带走任何评审资料，不得向外界透露评审内容；</w:t>
      </w:r>
    </w:p>
    <w:p w14:paraId="19BA01F1">
      <w:pPr>
        <w:tabs>
          <w:tab w:val="left" w:pos="7665"/>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（六）评审现场服从采购代理机构工作人员的管理，接受现场监督人员的合法监督；</w:t>
      </w:r>
    </w:p>
    <w:p w14:paraId="0A79428F">
      <w:pPr>
        <w:tabs>
          <w:tab w:val="left" w:pos="7665"/>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（七）遵守有关廉洁自律规定，不得私下接触供应商，不得收受供应商及有关业务单位和个人的财物或好处，不得接受采购代理机构的请托。</w:t>
      </w:r>
    </w:p>
    <w:p w14:paraId="55D4BDF9">
      <w:pPr>
        <w:pStyle w:val="26"/>
        <w:rPr>
          <w:rFonts w:hint="eastAsia" w:ascii="宋体" w:hAnsi="宋体" w:cs="宋体"/>
          <w:color w:val="auto"/>
          <w:sz w:val="24"/>
          <w:highlight w:val="none"/>
        </w:rPr>
      </w:pPr>
    </w:p>
    <w:p w14:paraId="59C2C47B">
      <w:pPr>
        <w:rPr>
          <w:rFonts w:hint="eastAsia" w:ascii="宋体" w:hAnsi="宋体" w:cs="宋体"/>
          <w:color w:val="auto"/>
          <w:sz w:val="24"/>
          <w:highlight w:val="none"/>
        </w:rPr>
      </w:pPr>
    </w:p>
    <w:p w14:paraId="54F56499">
      <w:pPr>
        <w:pStyle w:val="26"/>
        <w:rPr>
          <w:rFonts w:hint="eastAsia" w:ascii="宋体" w:hAnsi="宋体" w:cs="宋体"/>
          <w:color w:val="auto"/>
          <w:sz w:val="24"/>
          <w:highlight w:val="none"/>
        </w:rPr>
      </w:pPr>
    </w:p>
    <w:p w14:paraId="08851B63">
      <w:pPr>
        <w:rPr>
          <w:rFonts w:hint="eastAsia"/>
          <w:color w:val="auto"/>
          <w:highlight w:val="none"/>
        </w:rPr>
      </w:pPr>
    </w:p>
    <w:p w14:paraId="2E987E62">
      <w:pPr>
        <w:pStyle w:val="33"/>
        <w:wordWrap/>
        <w:adjustRightInd w:val="0"/>
        <w:snapToGrid w:val="0"/>
        <w:spacing w:line="360" w:lineRule="auto"/>
        <w:jc w:val="center"/>
        <w:outlineLvl w:val="0"/>
        <w:rPr>
          <w:rFonts w:hint="eastAsia" w:ascii="宋体" w:hAnsi="宋体" w:eastAsia="宋体" w:cs="宋体"/>
          <w:b/>
          <w:bCs/>
          <w:color w:val="auto"/>
          <w:sz w:val="28"/>
          <w:szCs w:val="28"/>
          <w:highlight w:val="none"/>
        </w:rPr>
      </w:pPr>
    </w:p>
    <w:p w14:paraId="03DE1EDA">
      <w:pPr>
        <w:pStyle w:val="33"/>
        <w:wordWrap/>
        <w:adjustRightInd w:val="0"/>
        <w:snapToGrid w:val="0"/>
        <w:spacing w:line="360" w:lineRule="auto"/>
        <w:jc w:val="center"/>
        <w:outlineLvl w:val="0"/>
        <w:rPr>
          <w:rFonts w:hint="eastAsia" w:ascii="宋体" w:hAnsi="宋体" w:eastAsia="宋体" w:cs="宋体"/>
          <w:b/>
          <w:bCs/>
          <w:color w:val="auto"/>
          <w:sz w:val="28"/>
          <w:szCs w:val="28"/>
          <w:highlight w:val="none"/>
        </w:rPr>
      </w:pPr>
    </w:p>
    <w:p w14:paraId="6CBE9FC8">
      <w:pPr>
        <w:pStyle w:val="33"/>
        <w:wordWrap/>
        <w:adjustRightInd w:val="0"/>
        <w:snapToGrid w:val="0"/>
        <w:spacing w:line="360" w:lineRule="auto"/>
        <w:jc w:val="center"/>
        <w:outlineLvl w:val="0"/>
        <w:rPr>
          <w:rFonts w:hint="eastAsia" w:ascii="宋体" w:hAnsi="宋体" w:eastAsia="宋体" w:cs="宋体"/>
          <w:b/>
          <w:bCs/>
          <w:color w:val="auto"/>
          <w:sz w:val="28"/>
          <w:szCs w:val="28"/>
          <w:highlight w:val="none"/>
        </w:rPr>
      </w:pPr>
    </w:p>
    <w:p w14:paraId="3650BCC5">
      <w:pPr>
        <w:pStyle w:val="33"/>
        <w:wordWrap/>
        <w:adjustRightInd w:val="0"/>
        <w:snapToGrid w:val="0"/>
        <w:spacing w:line="360" w:lineRule="auto"/>
        <w:jc w:val="center"/>
        <w:outlineLvl w:val="0"/>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rPr>
        <w:t xml:space="preserve">第三章 </w:t>
      </w:r>
      <w:r>
        <w:rPr>
          <w:rFonts w:hint="eastAsia" w:ascii="宋体" w:hAnsi="宋体" w:eastAsia="宋体" w:cs="宋体"/>
          <w:b/>
          <w:color w:val="auto"/>
          <w:sz w:val="28"/>
          <w:szCs w:val="28"/>
          <w:highlight w:val="none"/>
        </w:rPr>
        <w:t>项目采购需求及合同主要条款</w:t>
      </w:r>
    </w:p>
    <w:p w14:paraId="50ACB8F0">
      <w:pPr>
        <w:pStyle w:val="536"/>
        <w:keepNext w:val="0"/>
        <w:keepLines w:val="0"/>
        <w:pageBreakBefore w:val="0"/>
        <w:kinsoku/>
        <w:wordWrap/>
        <w:overflowPunct/>
        <w:topLinePunct w:val="0"/>
        <w:autoSpaceDE/>
        <w:autoSpaceDN/>
        <w:bidi w:val="0"/>
        <w:adjustRightInd/>
        <w:snapToGrid w:val="0"/>
        <w:spacing w:line="360" w:lineRule="auto"/>
        <w:ind w:firstLine="482" w:firstLineChars="200"/>
        <w:jc w:val="left"/>
        <w:textAlignment w:val="auto"/>
        <w:outlineLvl w:val="9"/>
        <w:rPr>
          <w:rFonts w:hint="eastAsia" w:asciiTheme="minorEastAsia" w:hAnsiTheme="minorEastAsia" w:eastAsiaTheme="minorEastAsia" w:cstheme="minorEastAsia"/>
          <w:color w:val="auto"/>
          <w:sz w:val="24"/>
          <w:szCs w:val="24"/>
          <w:highlight w:val="none"/>
        </w:rPr>
      </w:pPr>
      <w:bookmarkStart w:id="154" w:name="_Toc21480"/>
      <w:r>
        <w:rPr>
          <w:rFonts w:hint="eastAsia" w:asciiTheme="minorEastAsia" w:hAnsiTheme="minorEastAsia" w:eastAsiaTheme="minorEastAsia" w:cstheme="minorEastAsia"/>
          <w:color w:val="auto"/>
          <w:sz w:val="24"/>
          <w:szCs w:val="24"/>
          <w:highlight w:val="none"/>
        </w:rPr>
        <w:t>一、项目基本情况</w:t>
      </w:r>
      <w:bookmarkEnd w:id="154"/>
    </w:p>
    <w:p w14:paraId="07107390">
      <w:pPr>
        <w:keepNext w:val="0"/>
        <w:keepLines w:val="0"/>
        <w:pageBreakBefore w:val="0"/>
        <w:kinsoku/>
        <w:wordWrap/>
        <w:overflowPunct/>
        <w:topLinePunct w:val="0"/>
        <w:autoSpaceDE/>
        <w:autoSpaceDN/>
        <w:bidi w:val="0"/>
        <w:adjustRightInd/>
        <w:spacing w:line="360" w:lineRule="auto"/>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国家税务总局克拉玛依市克拉玛依区税务局位于</w:t>
      </w:r>
      <w:r>
        <w:rPr>
          <w:rFonts w:hint="eastAsia" w:asciiTheme="minorEastAsia" w:hAnsiTheme="minorEastAsia" w:eastAsiaTheme="minorEastAsia" w:cstheme="minorEastAsia"/>
          <w:color w:val="auto"/>
          <w:sz w:val="24"/>
          <w:szCs w:val="24"/>
          <w:highlight w:val="none"/>
          <w:lang w:val="en-US" w:eastAsia="zh-CN"/>
        </w:rPr>
        <w:t>迎宾路46号，</w:t>
      </w:r>
      <w:r>
        <w:rPr>
          <w:rFonts w:hint="eastAsia" w:asciiTheme="minorEastAsia" w:hAnsiTheme="minorEastAsia" w:eastAsiaTheme="minorEastAsia" w:cstheme="minorEastAsia"/>
          <w:color w:val="auto"/>
          <w:sz w:val="24"/>
          <w:szCs w:val="24"/>
          <w:highlight w:val="none"/>
        </w:rPr>
        <w:t>总建筑面积</w:t>
      </w:r>
      <w:r>
        <w:rPr>
          <w:rFonts w:hint="eastAsia" w:asciiTheme="minorEastAsia" w:hAnsiTheme="minorEastAsia" w:eastAsiaTheme="minorEastAsia" w:cstheme="minorEastAsia"/>
          <w:color w:val="auto"/>
          <w:sz w:val="24"/>
          <w:szCs w:val="24"/>
          <w:highlight w:val="none"/>
          <w:lang w:val="en-US" w:eastAsia="zh-CN"/>
        </w:rPr>
        <w:t>12849.44</w:t>
      </w:r>
      <w:r>
        <w:rPr>
          <w:rFonts w:hint="eastAsia" w:asciiTheme="minorEastAsia" w:hAnsiTheme="minorEastAsia" w:eastAsiaTheme="minorEastAsia" w:cstheme="minorEastAsia"/>
          <w:color w:val="auto"/>
          <w:sz w:val="24"/>
          <w:szCs w:val="24"/>
          <w:highlight w:val="none"/>
        </w:rPr>
        <w:t>平方米。地上九层、地下一层，</w:t>
      </w:r>
      <w:r>
        <w:rPr>
          <w:rFonts w:hint="eastAsia" w:asciiTheme="minorEastAsia" w:hAnsiTheme="minorEastAsia" w:eastAsiaTheme="minorEastAsia" w:cstheme="minorEastAsia"/>
          <w:color w:val="auto"/>
          <w:sz w:val="24"/>
          <w:szCs w:val="24"/>
          <w:highlight w:val="none"/>
          <w:lang w:val="en-US" w:eastAsia="zh-CN"/>
        </w:rPr>
        <w:t>分主副楼宇，楼内</w:t>
      </w:r>
      <w:r>
        <w:rPr>
          <w:rFonts w:hint="eastAsia" w:asciiTheme="minorEastAsia" w:hAnsiTheme="minorEastAsia" w:eastAsiaTheme="minorEastAsia" w:cstheme="minorEastAsia"/>
          <w:color w:val="auto"/>
          <w:sz w:val="24"/>
          <w:szCs w:val="24"/>
          <w:highlight w:val="none"/>
        </w:rPr>
        <w:t>设有</w:t>
      </w:r>
      <w:r>
        <w:rPr>
          <w:rFonts w:hint="eastAsia" w:asciiTheme="minorEastAsia" w:hAnsiTheme="minorEastAsia" w:eastAsiaTheme="minorEastAsia" w:cstheme="minorEastAsia"/>
          <w:color w:val="auto"/>
          <w:sz w:val="24"/>
          <w:szCs w:val="24"/>
          <w:highlight w:val="none"/>
          <w:lang w:val="en-US" w:eastAsia="zh-CN"/>
        </w:rPr>
        <w:t>办公区、会议区、活动区、就餐区、地下车库</w:t>
      </w:r>
      <w:r>
        <w:rPr>
          <w:rFonts w:hint="eastAsia" w:asciiTheme="minorEastAsia" w:hAnsiTheme="minorEastAsia" w:eastAsiaTheme="minorEastAsia" w:cstheme="minorEastAsia"/>
          <w:color w:val="auto"/>
          <w:sz w:val="24"/>
          <w:szCs w:val="24"/>
          <w:highlight w:val="none"/>
        </w:rPr>
        <w:t>等五大功能区以及</w:t>
      </w:r>
      <w:r>
        <w:rPr>
          <w:rFonts w:hint="eastAsia" w:asciiTheme="minorEastAsia" w:hAnsiTheme="minorEastAsia" w:eastAsiaTheme="minorEastAsia" w:cstheme="minorEastAsia"/>
          <w:color w:val="auto"/>
          <w:sz w:val="24"/>
          <w:szCs w:val="24"/>
          <w:highlight w:val="none"/>
          <w:lang w:val="en-US" w:eastAsia="zh-CN"/>
        </w:rPr>
        <w:t>各类多功能用房</w:t>
      </w:r>
      <w:r>
        <w:rPr>
          <w:rFonts w:hint="eastAsia" w:asciiTheme="minorEastAsia" w:hAnsiTheme="minorEastAsia" w:eastAsiaTheme="minorEastAsia" w:cstheme="minorEastAsia"/>
          <w:color w:val="auto"/>
          <w:sz w:val="24"/>
          <w:szCs w:val="24"/>
          <w:highlight w:val="none"/>
        </w:rPr>
        <w:t>等。</w:t>
      </w:r>
    </w:p>
    <w:p w14:paraId="6D16CAC9">
      <w:pPr>
        <w:pStyle w:val="536"/>
        <w:keepNext w:val="0"/>
        <w:keepLines w:val="0"/>
        <w:pageBreakBefore w:val="0"/>
        <w:kinsoku/>
        <w:wordWrap/>
        <w:overflowPunct/>
        <w:topLinePunct w:val="0"/>
        <w:autoSpaceDE/>
        <w:autoSpaceDN/>
        <w:bidi w:val="0"/>
        <w:adjustRightInd/>
        <w:snapToGrid w:val="0"/>
        <w:spacing w:line="360" w:lineRule="auto"/>
        <w:ind w:firstLine="482"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安保服务</w:t>
      </w:r>
      <w:r>
        <w:rPr>
          <w:rFonts w:hint="eastAsia" w:asciiTheme="minorEastAsia" w:hAnsiTheme="minorEastAsia" w:eastAsiaTheme="minorEastAsia" w:cstheme="minorEastAsia"/>
          <w:color w:val="auto"/>
          <w:sz w:val="24"/>
          <w:szCs w:val="24"/>
          <w:highlight w:val="none"/>
          <w:lang w:val="en-US" w:eastAsia="zh-CN"/>
        </w:rPr>
        <w:t>内容及标准</w:t>
      </w:r>
    </w:p>
    <w:p w14:paraId="77639EE4">
      <w:pPr>
        <w:keepNext w:val="0"/>
        <w:keepLines w:val="0"/>
        <w:pageBreakBefore w:val="0"/>
        <w:kinsoku/>
        <w:wordWrap/>
        <w:overflowPunct/>
        <w:topLinePunct w:val="0"/>
        <w:autoSpaceDE/>
        <w:autoSpaceDN/>
        <w:bidi w:val="0"/>
        <w:adjustRightInd/>
        <w:spacing w:line="360" w:lineRule="auto"/>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安保服务</w:t>
      </w:r>
      <w:r>
        <w:rPr>
          <w:rFonts w:hint="eastAsia" w:asciiTheme="minorEastAsia" w:hAnsiTheme="minorEastAsia" w:eastAsiaTheme="minorEastAsia" w:cstheme="minorEastAsia"/>
          <w:color w:val="auto"/>
          <w:sz w:val="24"/>
          <w:szCs w:val="24"/>
          <w:highlight w:val="none"/>
        </w:rPr>
        <w:t>包括</w:t>
      </w:r>
      <w:r>
        <w:rPr>
          <w:rFonts w:hint="eastAsia" w:asciiTheme="minorEastAsia" w:hAnsiTheme="minorEastAsia" w:eastAsiaTheme="minorEastAsia" w:cstheme="minorEastAsia"/>
          <w:color w:val="auto"/>
          <w:sz w:val="24"/>
          <w:szCs w:val="24"/>
          <w:highlight w:val="none"/>
          <w:lang w:val="en-US" w:eastAsia="zh-CN"/>
        </w:rPr>
        <w:t>基本服务、安保服务、建筑消防设施日常运行维保服务以及其他服务</w:t>
      </w:r>
      <w:r>
        <w:rPr>
          <w:rFonts w:hint="eastAsia" w:asciiTheme="minorEastAsia" w:hAnsiTheme="minorEastAsia" w:eastAsiaTheme="minorEastAsia" w:cstheme="minorEastAsia"/>
          <w:color w:val="auto"/>
          <w:sz w:val="24"/>
          <w:szCs w:val="24"/>
          <w:highlight w:val="none"/>
        </w:rPr>
        <w:t>等。</w:t>
      </w:r>
    </w:p>
    <w:p w14:paraId="4A46B347">
      <w:pPr>
        <w:keepNext w:val="0"/>
        <w:keepLines w:val="0"/>
        <w:pageBreakBefore w:val="0"/>
        <w:kinsoku/>
        <w:wordWrap/>
        <w:overflowPunct/>
        <w:topLinePunct w:val="0"/>
        <w:autoSpaceDE/>
        <w:autoSpaceDN/>
        <w:bidi w:val="0"/>
        <w:adjustRightInd/>
        <w:spacing w:line="360" w:lineRule="auto"/>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2.1基本服务</w:t>
      </w:r>
    </w:p>
    <w:tbl>
      <w:tblPr>
        <w:tblStyle w:val="60"/>
        <w:tblW w:w="9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1395"/>
        <w:gridCol w:w="7087"/>
      </w:tblGrid>
      <w:tr w14:paraId="2D85D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noWrap w:val="0"/>
            <w:vAlign w:val="center"/>
          </w:tcPr>
          <w:p w14:paraId="57770E0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序号</w:t>
            </w:r>
          </w:p>
        </w:tc>
        <w:tc>
          <w:tcPr>
            <w:tcW w:w="1395" w:type="dxa"/>
            <w:noWrap w:val="0"/>
            <w:vAlign w:val="center"/>
          </w:tcPr>
          <w:p w14:paraId="6D400D8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服务内容</w:t>
            </w:r>
          </w:p>
        </w:tc>
        <w:tc>
          <w:tcPr>
            <w:tcW w:w="7087" w:type="dxa"/>
            <w:noWrap w:val="0"/>
            <w:vAlign w:val="center"/>
          </w:tcPr>
          <w:p w14:paraId="66A8712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服务标准</w:t>
            </w:r>
          </w:p>
        </w:tc>
      </w:tr>
      <w:tr w14:paraId="77BB5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14:paraId="02B94AA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1395" w:type="dxa"/>
            <w:vMerge w:val="restart"/>
            <w:noWrap w:val="0"/>
            <w:vAlign w:val="center"/>
          </w:tcPr>
          <w:p w14:paraId="3649A42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目标与责任</w:t>
            </w:r>
          </w:p>
        </w:tc>
        <w:tc>
          <w:tcPr>
            <w:tcW w:w="7087" w:type="dxa"/>
            <w:noWrap w:val="0"/>
            <w:vAlign w:val="center"/>
          </w:tcPr>
          <w:p w14:paraId="71ABDB7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（1）结合采购方要求及安保服务实际情况，制定年度管理目标，明确责任分工，并制定配套实施方案。</w:t>
            </w:r>
          </w:p>
        </w:tc>
      </w:tr>
      <w:tr w14:paraId="4E2B3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161FBF7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95" w:type="dxa"/>
            <w:vMerge w:val="continue"/>
            <w:noWrap w:val="0"/>
            <w:vAlign w:val="center"/>
          </w:tcPr>
          <w:p w14:paraId="2C09FA9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514302A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（2）每月初定期给采购方报送上月安保服务工作报告、本月安保服务工作计划。</w:t>
            </w:r>
          </w:p>
        </w:tc>
      </w:tr>
      <w:tr w14:paraId="16459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14:paraId="24E31C3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1395" w:type="dxa"/>
            <w:vMerge w:val="restart"/>
            <w:noWrap w:val="0"/>
            <w:vAlign w:val="center"/>
          </w:tcPr>
          <w:p w14:paraId="1758701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服务人员</w:t>
            </w:r>
          </w:p>
          <w:p w14:paraId="127FE5E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要求</w:t>
            </w:r>
          </w:p>
        </w:tc>
        <w:tc>
          <w:tcPr>
            <w:tcW w:w="7087" w:type="dxa"/>
            <w:noWrap w:val="0"/>
            <w:vAlign w:val="center"/>
          </w:tcPr>
          <w:p w14:paraId="386CA79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（1）每季度至少开展1次岗位技能、职业素质、服务知识、绿色节能环保等教育培训，并进行适当形式的考核。</w:t>
            </w:r>
          </w:p>
        </w:tc>
      </w:tr>
      <w:tr w14:paraId="69C32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6F0CD56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95" w:type="dxa"/>
            <w:vMerge w:val="continue"/>
            <w:noWrap w:val="0"/>
            <w:vAlign w:val="center"/>
          </w:tcPr>
          <w:p w14:paraId="3FBCF8F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1FE1AE4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（2）根据采购方要求对服务人员进行从业资格审查，审查结果向采购方报备。</w:t>
            </w:r>
          </w:p>
        </w:tc>
      </w:tr>
      <w:tr w14:paraId="49C6E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74F5A9B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95" w:type="dxa"/>
            <w:vMerge w:val="continue"/>
            <w:noWrap w:val="0"/>
            <w:vAlign w:val="center"/>
          </w:tcPr>
          <w:p w14:paraId="3120261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6C00A18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服务人员的年龄、学历、工作经验及资格条件应当与所在岗位能力要求相匹配，到岗前应当经过必要的岗前培训以达到岗位能力要求，国家、行业规定应当取得职业资格证书或特种作业证书的，应当按规定持证上岗。</w:t>
            </w:r>
          </w:p>
        </w:tc>
      </w:tr>
      <w:tr w14:paraId="6078D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70ED41A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95" w:type="dxa"/>
            <w:vMerge w:val="continue"/>
            <w:noWrap w:val="0"/>
            <w:vAlign w:val="center"/>
          </w:tcPr>
          <w:p w14:paraId="21642D6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2F1BD73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供应方应当按照服务人员需求，足额配备岗位人员，如岗位人员缺失，采购方要根据实际情况核减当月服务费用。如采购方认为服务人员不适应岗位要求或存在其他影响工作的，可要求供应方进行调换。如因供应方原因对服务人员进行调换，应当经采购方同意，更换比例不得超过本项目服务人员总数的20%。本项目服务人员不得在其他项目兼职。</w:t>
            </w:r>
          </w:p>
        </w:tc>
      </w:tr>
      <w:tr w14:paraId="4CF36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188AF14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95" w:type="dxa"/>
            <w:vMerge w:val="continue"/>
            <w:noWrap w:val="0"/>
            <w:vAlign w:val="center"/>
          </w:tcPr>
          <w:p w14:paraId="7BFFFC5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00994FE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（5）着装分类统一。仪容整洁、姿态端正。发型配饰符合工作岗位。举止文明、用语文明礼貌，态度温和耐心。工作装由供应方提供。</w:t>
            </w:r>
          </w:p>
        </w:tc>
      </w:tr>
      <w:tr w14:paraId="602BD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16A4EC1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95" w:type="dxa"/>
            <w:vMerge w:val="continue"/>
            <w:noWrap w:val="0"/>
            <w:vAlign w:val="center"/>
          </w:tcPr>
          <w:p w14:paraId="059C8FE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09DC0B0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（6）服务人员身体健康，无妨碍工作的病症。</w:t>
            </w:r>
          </w:p>
        </w:tc>
      </w:tr>
      <w:tr w14:paraId="3B19E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14:paraId="4560DED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1395" w:type="dxa"/>
            <w:vMerge w:val="restart"/>
            <w:noWrap w:val="0"/>
            <w:vAlign w:val="center"/>
          </w:tcPr>
          <w:p w14:paraId="2935FAA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保密和思想政治教育</w:t>
            </w:r>
          </w:p>
        </w:tc>
        <w:tc>
          <w:tcPr>
            <w:tcW w:w="7087" w:type="dxa"/>
            <w:noWrap w:val="0"/>
            <w:vAlign w:val="center"/>
          </w:tcPr>
          <w:p w14:paraId="15A4FD3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（1）建立保密管理制度。制度内容应当包括但不限于：①明确重点要害岗位保密职责。②对涉密工作岗位的保密要求。</w:t>
            </w:r>
          </w:p>
        </w:tc>
      </w:tr>
      <w:tr w14:paraId="54465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1889DC0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95" w:type="dxa"/>
            <w:vMerge w:val="continue"/>
            <w:noWrap w:val="0"/>
            <w:vAlign w:val="center"/>
          </w:tcPr>
          <w:p w14:paraId="43813A5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1F036B3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（2）根据采购方要求与涉密工作岗位的服务人员签订保密协议。保密协议应当向采购方报备。</w:t>
            </w:r>
          </w:p>
        </w:tc>
      </w:tr>
      <w:tr w14:paraId="213D2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339E430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95" w:type="dxa"/>
            <w:vMerge w:val="continue"/>
            <w:noWrap w:val="0"/>
            <w:vAlign w:val="center"/>
          </w:tcPr>
          <w:p w14:paraId="5638866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0D45FEB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每半年至少开展1次对服务人员进行保密、思想政治教育的培训，提高服务人员保密意识和思想政治意识。新入职员工应当接受保密、思想政治教育培训，进行必要的人员经历审查，合格后签订保密协议方可上岗。</w:t>
            </w:r>
          </w:p>
        </w:tc>
      </w:tr>
      <w:tr w14:paraId="7BC79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4ADF681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95" w:type="dxa"/>
            <w:vMerge w:val="continue"/>
            <w:noWrap w:val="0"/>
            <w:vAlign w:val="center"/>
          </w:tcPr>
          <w:p w14:paraId="0438692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15E446D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（4）发现服务人员违法违规或重大过失，及时报告采购方，并采取必要补救措施。</w:t>
            </w:r>
          </w:p>
        </w:tc>
      </w:tr>
      <w:tr w14:paraId="1A8D2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493E5A1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95" w:type="dxa"/>
            <w:vMerge w:val="continue"/>
            <w:noWrap w:val="0"/>
            <w:vAlign w:val="center"/>
          </w:tcPr>
          <w:p w14:paraId="0DC5FCB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1BA6D8D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服务人员严守保密底线，不随意打探、传播工作中接触到的采购单位的所有内部信息，对在电梯、走廊等公共区域听到的谈话内容做到“左耳进右耳出”；服务人员不轻易相信未经证实的信息，不参与口头、微信等任何方式的传谣；服务人员与他人交流不猜测、不评论、不议论采购单位内部的敏感话题，对各类消息保持审慎态度，严禁“听风就是雨”。</w:t>
            </w:r>
          </w:p>
        </w:tc>
      </w:tr>
      <w:tr w14:paraId="2510A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14:paraId="3128820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1395" w:type="dxa"/>
            <w:vMerge w:val="restart"/>
            <w:noWrap w:val="0"/>
            <w:vAlign w:val="center"/>
          </w:tcPr>
          <w:p w14:paraId="6DCB7CF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档案管理</w:t>
            </w:r>
          </w:p>
        </w:tc>
        <w:tc>
          <w:tcPr>
            <w:tcW w:w="7087" w:type="dxa"/>
            <w:noWrap w:val="0"/>
            <w:vAlign w:val="center"/>
          </w:tcPr>
          <w:p w14:paraId="4034B84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（1）准确、及时地对文件资料和服务记录进行归档保存，并确保其物理安全。</w:t>
            </w:r>
          </w:p>
        </w:tc>
      </w:tr>
      <w:tr w14:paraId="1551B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7A73768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95" w:type="dxa"/>
            <w:vMerge w:val="continue"/>
            <w:noWrap w:val="0"/>
            <w:vAlign w:val="center"/>
          </w:tcPr>
          <w:p w14:paraId="4FB5401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348764CA">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档案和记录齐全，包括但不限于：</w:t>
            </w:r>
          </w:p>
          <w:p w14:paraId="573425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①安保服务：监控记录、突发事件演习与处置记录等。</w:t>
            </w:r>
          </w:p>
          <w:p w14:paraId="657E8D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②建筑消防设施日常运行维保服务：消防设备台账、消防设备卡、使用说明、消防设备维保记录、巡查记录、消防设施</w:t>
            </w:r>
            <w:r>
              <w:rPr>
                <w:rFonts w:hint="eastAsia" w:asciiTheme="minorEastAsia" w:hAnsiTheme="minorEastAsia" w:eastAsiaTheme="minorEastAsia" w:cstheme="minorEastAsia"/>
                <w:color w:val="auto"/>
                <w:sz w:val="24"/>
                <w:szCs w:val="24"/>
                <w:highlight w:val="none"/>
                <w:lang w:eastAsia="zh-CN"/>
              </w:rPr>
              <w:t>设备安全运行、</w:t>
            </w:r>
            <w:r>
              <w:rPr>
                <w:rFonts w:hint="eastAsia" w:asciiTheme="minorEastAsia" w:hAnsiTheme="minorEastAsia" w:eastAsiaTheme="minorEastAsia" w:cstheme="minorEastAsia"/>
                <w:color w:val="auto"/>
                <w:sz w:val="24"/>
                <w:szCs w:val="24"/>
                <w:highlight w:val="none"/>
                <w:lang w:val="en-US" w:eastAsia="zh-CN"/>
              </w:rPr>
              <w:t>消防</w:t>
            </w:r>
            <w:r>
              <w:rPr>
                <w:rFonts w:hint="eastAsia" w:asciiTheme="minorEastAsia" w:hAnsiTheme="minorEastAsia" w:eastAsiaTheme="minorEastAsia" w:cstheme="minorEastAsia"/>
                <w:color w:val="auto"/>
                <w:sz w:val="24"/>
                <w:szCs w:val="24"/>
                <w:highlight w:val="none"/>
                <w:lang w:eastAsia="zh-CN"/>
              </w:rPr>
              <w:t>设施设备定期巡检、维护保养、维修档案</w:t>
            </w:r>
            <w:r>
              <w:rPr>
                <w:rFonts w:hint="eastAsia" w:asciiTheme="minorEastAsia" w:hAnsiTheme="minorEastAsia" w:eastAsiaTheme="minorEastAsia" w:cstheme="minorEastAsia"/>
                <w:color w:val="auto"/>
                <w:sz w:val="24"/>
                <w:szCs w:val="24"/>
                <w:highlight w:val="none"/>
                <w:lang w:val="en-US" w:eastAsia="zh-CN"/>
              </w:rPr>
              <w:t>等。</w:t>
            </w:r>
          </w:p>
        </w:tc>
      </w:tr>
      <w:tr w14:paraId="653A9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62735B9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95" w:type="dxa"/>
            <w:vMerge w:val="continue"/>
            <w:noWrap w:val="0"/>
            <w:vAlign w:val="center"/>
          </w:tcPr>
          <w:p w14:paraId="457A56E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669095E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（3）遵守采购方的信息、档案资料保密要求，未经许可，不得将建筑物平面图、消防系统有关竣工图、设备逻辑关系表、端子图、消防系统各设备详细资料等文件资料转作其他用途或向其他单位、个人提供。</w:t>
            </w:r>
          </w:p>
        </w:tc>
      </w:tr>
      <w:tr w14:paraId="5E318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0DF956D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95" w:type="dxa"/>
            <w:vMerge w:val="continue"/>
            <w:noWrap w:val="0"/>
            <w:vAlign w:val="center"/>
          </w:tcPr>
          <w:p w14:paraId="2CE6FF8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1CECE71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（4）全年各类档案和记录资料齐全，并定期汇总。</w:t>
            </w:r>
          </w:p>
        </w:tc>
      </w:tr>
      <w:tr w14:paraId="76102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25AE38D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95" w:type="dxa"/>
            <w:vMerge w:val="continue"/>
            <w:noWrap w:val="0"/>
            <w:vAlign w:val="center"/>
          </w:tcPr>
          <w:p w14:paraId="312820A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46B7471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（5）履约结束后，相关资料交还采购方，采购方按相关规定存档。</w:t>
            </w:r>
          </w:p>
        </w:tc>
      </w:tr>
      <w:tr w14:paraId="18D34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14:paraId="40EB1BC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c>
          <w:tcPr>
            <w:tcW w:w="1395" w:type="dxa"/>
            <w:vMerge w:val="restart"/>
            <w:noWrap w:val="0"/>
            <w:vAlign w:val="center"/>
          </w:tcPr>
          <w:p w14:paraId="3E5BCFA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重大活动</w:t>
            </w:r>
          </w:p>
          <w:p w14:paraId="31DFBBC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服务保障</w:t>
            </w:r>
          </w:p>
        </w:tc>
        <w:tc>
          <w:tcPr>
            <w:tcW w:w="7087" w:type="dxa"/>
            <w:noWrap w:val="0"/>
            <w:vAlign w:val="center"/>
          </w:tcPr>
          <w:p w14:paraId="3D35617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（1）制订流程。配合采购方制订重大活动后勤保障工作流程，需对任务进行详细了解，并根据工作安排制定详细的后勤保障计划。</w:t>
            </w:r>
          </w:p>
        </w:tc>
      </w:tr>
      <w:tr w14:paraId="62950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26F6FD2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95" w:type="dxa"/>
            <w:vMerge w:val="continue"/>
            <w:noWrap w:val="0"/>
            <w:vAlign w:val="center"/>
          </w:tcPr>
          <w:p w14:paraId="301233B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78DC5A8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实施保障。按计划在关键区域和重点部位进行部署，确保任务顺利进行，对活动区域进行全面安全检查，发现并排除安全隐患，对车辆进行有序引导和管理，确保交通安全畅通，以礼貌、专业的态度对待来宾，展现良好形象。</w:t>
            </w:r>
          </w:p>
        </w:tc>
      </w:tr>
      <w:tr w14:paraId="6CCA0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295A0F2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95" w:type="dxa"/>
            <w:vMerge w:val="continue"/>
            <w:noWrap w:val="0"/>
            <w:vAlign w:val="center"/>
          </w:tcPr>
          <w:p w14:paraId="7894920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34121FA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（3）收尾工作。对现场进行检查，协助物业做好清理工作。</w:t>
            </w:r>
          </w:p>
        </w:tc>
      </w:tr>
      <w:tr w14:paraId="7F76B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14:paraId="339E517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w:t>
            </w:r>
          </w:p>
        </w:tc>
        <w:tc>
          <w:tcPr>
            <w:tcW w:w="1395" w:type="dxa"/>
            <w:vMerge w:val="restart"/>
            <w:noWrap w:val="0"/>
            <w:vAlign w:val="center"/>
          </w:tcPr>
          <w:p w14:paraId="15F7EB2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应急保障</w:t>
            </w:r>
          </w:p>
          <w:p w14:paraId="357BFF4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预案</w:t>
            </w:r>
          </w:p>
        </w:tc>
        <w:tc>
          <w:tcPr>
            <w:tcW w:w="7087" w:type="dxa"/>
            <w:noWrap w:val="0"/>
            <w:vAlign w:val="center"/>
          </w:tcPr>
          <w:p w14:paraId="23CEF58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重点区域及安全隐患排查。结合项目的实际情况，对重点部位及危险隐患进行排查，并建立清单/台账；应当对危险隐患进行风险分析，制定相应措施进行控制或整改并定期监控；随着设施设备、服务内容的变化，及时更新清单/台账，使风险隐患始终处于受控状态。</w:t>
            </w:r>
          </w:p>
        </w:tc>
      </w:tr>
      <w:tr w14:paraId="61FE5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2177C84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95" w:type="dxa"/>
            <w:vMerge w:val="continue"/>
            <w:noWrap w:val="0"/>
            <w:vAlign w:val="center"/>
          </w:tcPr>
          <w:p w14:paraId="20300EF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41A0B31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应急预案的建立。根据办公楼隐患排查的结果和实际情况，制定专项预案，包括但不限于：火情火警紧急处理应急预案、紧急疏散应急预案、停水停电应急预案、有限空间救援应急预案、高空作业救援应急预案、恶劣天气应对应急预案等。</w:t>
            </w:r>
          </w:p>
        </w:tc>
      </w:tr>
      <w:tr w14:paraId="6049A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4020B30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95" w:type="dxa"/>
            <w:vMerge w:val="continue"/>
            <w:noWrap w:val="0"/>
            <w:vAlign w:val="center"/>
          </w:tcPr>
          <w:p w14:paraId="4A9A877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264C6E0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（3）应急预案的培训和演练。应急预案定期培训和演练，组织相关岗位每半年至少开展1次专项应急预案演练；留存培训及演练记录和影像资料，并对预案进行评价，确保与实际情况相结合。</w:t>
            </w:r>
          </w:p>
        </w:tc>
      </w:tr>
      <w:tr w14:paraId="1930C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5124B1A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95" w:type="dxa"/>
            <w:vMerge w:val="continue"/>
            <w:noWrap w:val="0"/>
            <w:vAlign w:val="center"/>
          </w:tcPr>
          <w:p w14:paraId="0B1FD12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5C46AC2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（4）应急物资的管理。根据专项预案中的应对需要、必要的应急物资，建立清单或台账，并由专人定期对应急物资进行检查，如有应急物资不足应及时购置齐全，确保能够随时正常使用。</w:t>
            </w:r>
          </w:p>
        </w:tc>
      </w:tr>
      <w:tr w14:paraId="641D8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14:paraId="7469C67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w:t>
            </w:r>
          </w:p>
        </w:tc>
        <w:tc>
          <w:tcPr>
            <w:tcW w:w="1395" w:type="dxa"/>
            <w:vMerge w:val="restart"/>
            <w:noWrap w:val="0"/>
            <w:vAlign w:val="center"/>
          </w:tcPr>
          <w:p w14:paraId="31E86CC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服务方案及工作制度</w:t>
            </w:r>
          </w:p>
        </w:tc>
        <w:tc>
          <w:tcPr>
            <w:tcW w:w="7087" w:type="dxa"/>
            <w:noWrap w:val="0"/>
            <w:vAlign w:val="center"/>
          </w:tcPr>
          <w:p w14:paraId="08B8DDD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（1）制定工作制度，</w:t>
            </w:r>
            <w:r>
              <w:rPr>
                <w:rFonts w:hint="eastAsia" w:asciiTheme="minorEastAsia" w:hAnsiTheme="minorEastAsia" w:eastAsiaTheme="minorEastAsia" w:cstheme="minorEastAsia"/>
                <w:color w:val="auto"/>
                <w:sz w:val="24"/>
                <w:szCs w:val="24"/>
                <w:highlight w:val="none"/>
                <w:lang w:eastAsia="zh-CN"/>
              </w:rPr>
              <w:t>主要包括但不限于：</w:t>
            </w:r>
            <w:r>
              <w:rPr>
                <w:rFonts w:hint="eastAsia" w:asciiTheme="minorEastAsia" w:hAnsiTheme="minorEastAsia" w:eastAsiaTheme="minorEastAsia" w:cstheme="minorEastAsia"/>
                <w:color w:val="auto"/>
                <w:sz w:val="24"/>
                <w:szCs w:val="24"/>
                <w:highlight w:val="none"/>
                <w:lang w:val="en-US" w:eastAsia="zh-CN"/>
              </w:rPr>
              <w:t>人员录用、档案管理、公用及消防设施设备等相关管理制度</w:t>
            </w:r>
            <w:r>
              <w:rPr>
                <w:rFonts w:hint="eastAsia" w:asciiTheme="minorEastAsia" w:hAnsiTheme="minorEastAsia" w:eastAsiaTheme="minorEastAsia" w:cstheme="minorEastAsia"/>
                <w:color w:val="auto"/>
                <w:sz w:val="24"/>
                <w:szCs w:val="24"/>
                <w:highlight w:val="none"/>
                <w:lang w:eastAsia="zh-CN"/>
              </w:rPr>
              <w:t>。</w:t>
            </w:r>
          </w:p>
        </w:tc>
      </w:tr>
      <w:tr w14:paraId="66132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4E12537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95" w:type="dxa"/>
            <w:vMerge w:val="continue"/>
            <w:noWrap w:val="0"/>
            <w:vAlign w:val="center"/>
          </w:tcPr>
          <w:p w14:paraId="0F158ED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2DB7BBE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（2）制定</w:t>
            </w:r>
            <w:r>
              <w:rPr>
                <w:rFonts w:hint="eastAsia" w:asciiTheme="minorEastAsia" w:hAnsiTheme="minorEastAsia" w:eastAsiaTheme="minorEastAsia" w:cstheme="minorEastAsia"/>
                <w:color w:val="auto"/>
                <w:sz w:val="24"/>
                <w:szCs w:val="24"/>
                <w:highlight w:val="none"/>
                <w:lang w:eastAsia="zh-CN"/>
              </w:rPr>
              <w:t>项目实施方案，主要包括但不限于：</w:t>
            </w:r>
            <w:r>
              <w:rPr>
                <w:rFonts w:hint="eastAsia" w:asciiTheme="minorEastAsia" w:hAnsiTheme="minorEastAsia" w:eastAsiaTheme="minorEastAsia" w:cstheme="minorEastAsia"/>
                <w:color w:val="auto"/>
                <w:sz w:val="24"/>
                <w:szCs w:val="24"/>
                <w:highlight w:val="none"/>
                <w:lang w:val="en-US" w:eastAsia="zh-CN"/>
              </w:rPr>
              <w:t>交接</w:t>
            </w:r>
            <w:r>
              <w:rPr>
                <w:rFonts w:hint="eastAsia" w:asciiTheme="minorEastAsia" w:hAnsiTheme="minorEastAsia" w:eastAsiaTheme="minorEastAsia" w:cstheme="minorEastAsia"/>
                <w:color w:val="auto"/>
                <w:sz w:val="24"/>
                <w:szCs w:val="24"/>
                <w:highlight w:val="none"/>
                <w:lang w:eastAsia="zh-CN"/>
              </w:rPr>
              <w:t>方案、人员培训方案、人员稳定性方案、保密方案等。</w:t>
            </w:r>
          </w:p>
        </w:tc>
      </w:tr>
      <w:tr w14:paraId="44D7F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347203B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395" w:type="dxa"/>
            <w:vMerge w:val="continue"/>
            <w:noWrap w:val="0"/>
            <w:vAlign w:val="center"/>
          </w:tcPr>
          <w:p w14:paraId="0D1D180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5BCC9C7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（3）制定</w:t>
            </w:r>
            <w:r>
              <w:rPr>
                <w:rFonts w:hint="eastAsia" w:asciiTheme="minorEastAsia" w:hAnsiTheme="minorEastAsia" w:eastAsiaTheme="minorEastAsia" w:cstheme="minorEastAsia"/>
                <w:color w:val="auto"/>
                <w:sz w:val="24"/>
                <w:szCs w:val="24"/>
                <w:highlight w:val="none"/>
                <w:lang w:eastAsia="zh-CN"/>
              </w:rPr>
              <w:t>安保服务方案。</w:t>
            </w:r>
          </w:p>
        </w:tc>
      </w:tr>
    </w:tbl>
    <w:p w14:paraId="4BC6C7E6">
      <w:pPr>
        <w:keepNext w:val="0"/>
        <w:keepLines w:val="0"/>
        <w:pageBreakBefore w:val="0"/>
        <w:kinsoku/>
        <w:wordWrap/>
        <w:overflowPunct/>
        <w:topLinePunct w:val="0"/>
        <w:autoSpaceDE/>
        <w:autoSpaceDN/>
        <w:bidi w:val="0"/>
        <w:adjustRightInd/>
        <w:spacing w:line="360" w:lineRule="auto"/>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2.2安保服务</w:t>
      </w:r>
    </w:p>
    <w:tbl>
      <w:tblPr>
        <w:tblStyle w:val="60"/>
        <w:tblW w:w="9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406"/>
        <w:gridCol w:w="7087"/>
      </w:tblGrid>
      <w:tr w14:paraId="3EF5F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noWrap w:val="0"/>
            <w:vAlign w:val="center"/>
          </w:tcPr>
          <w:p w14:paraId="4A07333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序号</w:t>
            </w:r>
          </w:p>
        </w:tc>
        <w:tc>
          <w:tcPr>
            <w:tcW w:w="1406" w:type="dxa"/>
            <w:noWrap w:val="0"/>
            <w:vAlign w:val="center"/>
          </w:tcPr>
          <w:p w14:paraId="143E0F6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服务内容</w:t>
            </w:r>
          </w:p>
        </w:tc>
        <w:tc>
          <w:tcPr>
            <w:tcW w:w="7087" w:type="dxa"/>
            <w:noWrap w:val="0"/>
            <w:vAlign w:val="center"/>
          </w:tcPr>
          <w:p w14:paraId="4619F84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服务标准</w:t>
            </w:r>
          </w:p>
        </w:tc>
      </w:tr>
      <w:tr w14:paraId="7ED49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restart"/>
            <w:noWrap w:val="0"/>
            <w:vAlign w:val="center"/>
          </w:tcPr>
          <w:p w14:paraId="2F00304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1406" w:type="dxa"/>
            <w:vMerge w:val="restart"/>
            <w:noWrap w:val="0"/>
            <w:vAlign w:val="center"/>
          </w:tcPr>
          <w:p w14:paraId="1DB7855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基本要求</w:t>
            </w:r>
          </w:p>
        </w:tc>
        <w:tc>
          <w:tcPr>
            <w:tcW w:w="7087" w:type="dxa"/>
            <w:noWrap w:val="0"/>
            <w:vAlign w:val="center"/>
          </w:tcPr>
          <w:p w14:paraId="28B9867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（1）建立安保服务相关制度，并按照执行。</w:t>
            </w:r>
          </w:p>
        </w:tc>
      </w:tr>
      <w:tr w14:paraId="7F4E2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1829BEC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06" w:type="dxa"/>
            <w:vMerge w:val="continue"/>
            <w:noWrap w:val="0"/>
            <w:vAlign w:val="center"/>
          </w:tcPr>
          <w:p w14:paraId="0645C38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018A633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（2）对巡查、值守、交接班及异常情况等做好相关记录，填写规范，保存完好。</w:t>
            </w:r>
          </w:p>
        </w:tc>
      </w:tr>
      <w:tr w14:paraId="06AB3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15F679F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06" w:type="dxa"/>
            <w:vMerge w:val="continue"/>
            <w:noWrap w:val="0"/>
            <w:vAlign w:val="center"/>
          </w:tcPr>
          <w:p w14:paraId="003EB22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69A2A16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（3）配备安保服务必要的器材，器材由采购方提供。</w:t>
            </w:r>
          </w:p>
        </w:tc>
      </w:tr>
      <w:tr w14:paraId="4987F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317AD4D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06" w:type="dxa"/>
            <w:vMerge w:val="continue"/>
            <w:noWrap w:val="0"/>
            <w:vAlign w:val="center"/>
          </w:tcPr>
          <w:p w14:paraId="3E26898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049A6A2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（4）管理值班台、监控室，保持整洁、干净。</w:t>
            </w:r>
          </w:p>
        </w:tc>
      </w:tr>
      <w:tr w14:paraId="21244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restart"/>
            <w:noWrap w:val="0"/>
            <w:vAlign w:val="center"/>
          </w:tcPr>
          <w:p w14:paraId="3CB1361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1406" w:type="dxa"/>
            <w:vMerge w:val="restart"/>
            <w:noWrap w:val="0"/>
            <w:vAlign w:val="center"/>
          </w:tcPr>
          <w:p w14:paraId="1642BA1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出入管理</w:t>
            </w:r>
          </w:p>
        </w:tc>
        <w:tc>
          <w:tcPr>
            <w:tcW w:w="7087" w:type="dxa"/>
            <w:noWrap w:val="0"/>
            <w:vAlign w:val="center"/>
          </w:tcPr>
          <w:p w14:paraId="3A4C86C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（1）办公楼（区）主出入口应当实行 24小时值班制，每班不少于2人。</w:t>
            </w:r>
          </w:p>
        </w:tc>
      </w:tr>
      <w:tr w14:paraId="25E3B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35015FC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06" w:type="dxa"/>
            <w:vMerge w:val="continue"/>
            <w:noWrap w:val="0"/>
            <w:vAlign w:val="center"/>
          </w:tcPr>
          <w:p w14:paraId="64E850D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2C42BF7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（2）办公楼（区）主出入口设置门岗。</w:t>
            </w:r>
          </w:p>
        </w:tc>
      </w:tr>
      <w:tr w14:paraId="74AAD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68CC0EE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06" w:type="dxa"/>
            <w:vMerge w:val="continue"/>
            <w:noWrap w:val="0"/>
            <w:vAlign w:val="center"/>
          </w:tcPr>
          <w:p w14:paraId="642C557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4A3340E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（3）在出入口对外来人员及其携带大件物品、外来车辆进行询问和记录，并与相关（当值）部门取得联系，同意后方可进入。</w:t>
            </w:r>
          </w:p>
        </w:tc>
      </w:tr>
      <w:tr w14:paraId="6FC34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7BC71C5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06" w:type="dxa"/>
            <w:vMerge w:val="continue"/>
            <w:noWrap w:val="0"/>
            <w:vAlign w:val="center"/>
          </w:tcPr>
          <w:p w14:paraId="6A3AFFA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0C273FA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（4）大件物品搬出经核实后放行。</w:t>
            </w:r>
          </w:p>
        </w:tc>
      </w:tr>
      <w:tr w14:paraId="1DD04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255" w:type="dxa"/>
            <w:vMerge w:val="continue"/>
            <w:noWrap w:val="0"/>
            <w:vAlign w:val="center"/>
          </w:tcPr>
          <w:p w14:paraId="6141A53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06" w:type="dxa"/>
            <w:vMerge w:val="continue"/>
            <w:noWrap w:val="0"/>
            <w:vAlign w:val="center"/>
          </w:tcPr>
          <w:p w14:paraId="50C5522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67E7EB4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（5）排查可疑人员，对于不出示证件、不按规定登记、不听劝阻而强行闯入者，及时劝离，必要时通知公安机关进行处理。</w:t>
            </w:r>
          </w:p>
        </w:tc>
      </w:tr>
      <w:tr w14:paraId="37235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1DD88B0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06" w:type="dxa"/>
            <w:vMerge w:val="continue"/>
            <w:noWrap w:val="0"/>
            <w:vAlign w:val="center"/>
          </w:tcPr>
          <w:p w14:paraId="4B6C63D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06D36E1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（6）配合相关部门积极疏导上访人员，有效疏导如出入口人群集聚、车辆拥堵、货物堵塞道路等情况。</w:t>
            </w:r>
          </w:p>
        </w:tc>
      </w:tr>
      <w:tr w14:paraId="62474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0B1B64D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06" w:type="dxa"/>
            <w:vMerge w:val="continue"/>
            <w:noWrap w:val="0"/>
            <w:vAlign w:val="center"/>
          </w:tcPr>
          <w:p w14:paraId="123A582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3BE11AD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（7）对物品进出实行安检、登记、电话确认等分类管理措施。大宗物品进出会同接收单位收件人审检，严防违禁品、限带品进入。</w:t>
            </w:r>
          </w:p>
        </w:tc>
      </w:tr>
      <w:tr w14:paraId="60B5C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6CB5FDA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06" w:type="dxa"/>
            <w:vMerge w:val="continue"/>
            <w:noWrap w:val="0"/>
            <w:vAlign w:val="center"/>
          </w:tcPr>
          <w:p w14:paraId="77D1CF9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5E7D4F9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（8）提供现场引导服务：</w:t>
            </w:r>
          </w:p>
          <w:p w14:paraId="743CCCC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①做好来访人员、车辆进出证件登记，及时通报。</w:t>
            </w:r>
          </w:p>
          <w:p w14:paraId="5667BE1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②严禁无关人员、可疑人员和危险物品进入办公楼（区）内。</w:t>
            </w:r>
          </w:p>
          <w:p w14:paraId="52D7960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③物品摆放整齐有序、分类放置。</w:t>
            </w:r>
          </w:p>
          <w:p w14:paraId="3EE67DB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④对来访人员咨询、建议、求助等事项，及时处理或答复。</w:t>
            </w:r>
          </w:p>
          <w:p w14:paraId="244D31D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⑤接待服务工作时间应当覆盖采购方工作时间。</w:t>
            </w:r>
          </w:p>
        </w:tc>
      </w:tr>
      <w:tr w14:paraId="4B295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restart"/>
            <w:noWrap w:val="0"/>
            <w:vAlign w:val="center"/>
          </w:tcPr>
          <w:p w14:paraId="24E0F55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1406" w:type="dxa"/>
            <w:vMerge w:val="restart"/>
            <w:noWrap w:val="0"/>
            <w:vAlign w:val="center"/>
          </w:tcPr>
          <w:p w14:paraId="4E8A8A8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值班</w:t>
            </w:r>
            <w:r>
              <w:rPr>
                <w:rFonts w:hint="eastAsia" w:asciiTheme="minorEastAsia" w:hAnsiTheme="minorEastAsia" w:eastAsiaTheme="minorEastAsia" w:cstheme="minorEastAsia"/>
                <w:color w:val="auto"/>
                <w:sz w:val="24"/>
                <w:szCs w:val="24"/>
                <w:highlight w:val="none"/>
                <w:lang w:eastAsia="zh-CN"/>
              </w:rPr>
              <w:t>巡查</w:t>
            </w:r>
          </w:p>
        </w:tc>
        <w:tc>
          <w:tcPr>
            <w:tcW w:w="7087" w:type="dxa"/>
            <w:noWrap w:val="0"/>
            <w:vAlign w:val="center"/>
          </w:tcPr>
          <w:p w14:paraId="7E2FA17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（1）建立24小时值班巡查制度。</w:t>
            </w:r>
          </w:p>
        </w:tc>
      </w:tr>
      <w:tr w14:paraId="4CF6D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1C83911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06" w:type="dxa"/>
            <w:vMerge w:val="continue"/>
            <w:noWrap w:val="0"/>
            <w:vAlign w:val="center"/>
          </w:tcPr>
          <w:p w14:paraId="3EF1398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4081D35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（2）制定巡查路线，按照指定时间和路线执行，加强重点区域、重点部位及装修区域的巡查。</w:t>
            </w:r>
          </w:p>
        </w:tc>
      </w:tr>
      <w:tr w14:paraId="1F381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3D1DC64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06" w:type="dxa"/>
            <w:vMerge w:val="continue"/>
            <w:noWrap w:val="0"/>
            <w:vAlign w:val="center"/>
          </w:tcPr>
          <w:p w14:paraId="4D66239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4BAE50D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（3）巡查期间保持通信设施设备畅通，遇到异常情况立即上报并在现场采取相应措施。</w:t>
            </w:r>
          </w:p>
        </w:tc>
      </w:tr>
      <w:tr w14:paraId="5ABAB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7983265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06" w:type="dxa"/>
            <w:vMerge w:val="continue"/>
            <w:noWrap w:val="0"/>
            <w:vAlign w:val="center"/>
          </w:tcPr>
          <w:p w14:paraId="4F7BAC5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6762641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（4）收到监控室指令后，巡查人员及时到达指定地点并迅速采取相应措施。</w:t>
            </w:r>
          </w:p>
        </w:tc>
      </w:tr>
      <w:tr w14:paraId="20107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restart"/>
            <w:noWrap w:val="0"/>
            <w:vAlign w:val="center"/>
          </w:tcPr>
          <w:p w14:paraId="69591A6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1406" w:type="dxa"/>
            <w:vMerge w:val="restart"/>
            <w:noWrap w:val="0"/>
            <w:vAlign w:val="center"/>
          </w:tcPr>
          <w:p w14:paraId="419E8C2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监控值守</w:t>
            </w:r>
          </w:p>
        </w:tc>
        <w:tc>
          <w:tcPr>
            <w:tcW w:w="7087" w:type="dxa"/>
            <w:noWrap w:val="0"/>
            <w:vAlign w:val="center"/>
          </w:tcPr>
          <w:p w14:paraId="104D766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（1）监控室环境符合系统设备运行要求，定期进行检查和检测，确保系统功能正常。</w:t>
            </w:r>
          </w:p>
        </w:tc>
      </w:tr>
      <w:tr w14:paraId="2C00C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4BF8983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06" w:type="dxa"/>
            <w:vMerge w:val="continue"/>
            <w:noWrap w:val="0"/>
            <w:vAlign w:val="center"/>
          </w:tcPr>
          <w:p w14:paraId="61A9CDC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1D8258B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（2）监控设备24小时正常运行。</w:t>
            </w:r>
          </w:p>
        </w:tc>
      </w:tr>
      <w:tr w14:paraId="37F8D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235E1C6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06" w:type="dxa"/>
            <w:vMerge w:val="continue"/>
            <w:noWrap w:val="0"/>
            <w:vAlign w:val="center"/>
          </w:tcPr>
          <w:p w14:paraId="7F6CD0B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4B78018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（3）监控记录画面清晰，有异常情况及时上报。</w:t>
            </w:r>
          </w:p>
        </w:tc>
      </w:tr>
      <w:tr w14:paraId="62B2B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63B0713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06" w:type="dxa"/>
            <w:vMerge w:val="continue"/>
            <w:noWrap w:val="0"/>
            <w:vAlign w:val="center"/>
          </w:tcPr>
          <w:p w14:paraId="0CD82A4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538B042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（4）值守人员遵守操作规程和保密制度。</w:t>
            </w:r>
          </w:p>
        </w:tc>
      </w:tr>
      <w:tr w14:paraId="3BF23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4F22A40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06" w:type="dxa"/>
            <w:vMerge w:val="continue"/>
            <w:noWrap w:val="0"/>
            <w:vAlign w:val="center"/>
          </w:tcPr>
          <w:p w14:paraId="4B6EBA2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6BAFAF5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（5）监控记录保持完整，保存时间不应少于90天。</w:t>
            </w:r>
          </w:p>
        </w:tc>
      </w:tr>
      <w:tr w14:paraId="4E408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255" w:type="dxa"/>
            <w:vMerge w:val="continue"/>
            <w:noWrap w:val="0"/>
            <w:vAlign w:val="center"/>
          </w:tcPr>
          <w:p w14:paraId="37F567A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06" w:type="dxa"/>
            <w:vMerge w:val="continue"/>
            <w:noWrap w:val="0"/>
            <w:vAlign w:val="center"/>
          </w:tcPr>
          <w:p w14:paraId="59C1FC1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6BF3F85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（6）无关人员进入监控室或查阅监控记录，经授权人批准并做好相关记录。</w:t>
            </w:r>
          </w:p>
        </w:tc>
      </w:tr>
      <w:tr w14:paraId="031B4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33B070C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06" w:type="dxa"/>
            <w:vMerge w:val="continue"/>
            <w:noWrap w:val="0"/>
            <w:vAlign w:val="center"/>
          </w:tcPr>
          <w:p w14:paraId="32ED54D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3607A77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（7）监控室收到火情等报警信号、其他异常情况信号后，及时报警并安排其他安保人员前往现场进行处理。</w:t>
            </w:r>
          </w:p>
        </w:tc>
      </w:tr>
      <w:tr w14:paraId="2449E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restart"/>
            <w:noWrap w:val="0"/>
            <w:vAlign w:val="center"/>
          </w:tcPr>
          <w:p w14:paraId="3280441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c>
          <w:tcPr>
            <w:tcW w:w="1406" w:type="dxa"/>
            <w:vMerge w:val="restart"/>
            <w:noWrap w:val="0"/>
            <w:vAlign w:val="center"/>
          </w:tcPr>
          <w:p w14:paraId="2ABA618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车辆停放</w:t>
            </w:r>
          </w:p>
        </w:tc>
        <w:tc>
          <w:tcPr>
            <w:tcW w:w="7087" w:type="dxa"/>
            <w:noWrap w:val="0"/>
            <w:vAlign w:val="center"/>
          </w:tcPr>
          <w:p w14:paraId="79F09BA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（1）车辆行驶路线设置合理、规范，导向标志完整、清晰。</w:t>
            </w:r>
          </w:p>
        </w:tc>
      </w:tr>
      <w:tr w14:paraId="289FF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1D6E6B3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06" w:type="dxa"/>
            <w:vMerge w:val="continue"/>
            <w:noWrap w:val="0"/>
            <w:vAlign w:val="center"/>
          </w:tcPr>
          <w:p w14:paraId="32764FF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5E0E151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（2）合理规划车辆停放区域，张贴车辆引导标识，对车辆及停放区域实行规范管理。</w:t>
            </w:r>
          </w:p>
        </w:tc>
      </w:tr>
      <w:tr w14:paraId="6C077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05197CE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06" w:type="dxa"/>
            <w:vMerge w:val="continue"/>
            <w:noWrap w:val="0"/>
            <w:vAlign w:val="center"/>
          </w:tcPr>
          <w:p w14:paraId="3C56D57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6EEB1D8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（3）严禁在办公楼的公用走道、楼梯间、安全出口处等公共区域停放车辆或充电。非机动车定点有序停放。</w:t>
            </w:r>
          </w:p>
        </w:tc>
      </w:tr>
      <w:tr w14:paraId="6DF6B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10D874E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06" w:type="dxa"/>
            <w:vMerge w:val="continue"/>
            <w:noWrap w:val="0"/>
            <w:vAlign w:val="center"/>
          </w:tcPr>
          <w:p w14:paraId="2F3CD7C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44676F7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（4）每日下班时间后对办公用车进行清点，做好记录，发现异常及时汇报采购方。</w:t>
            </w:r>
          </w:p>
        </w:tc>
      </w:tr>
      <w:tr w14:paraId="197CB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65DC95B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06" w:type="dxa"/>
            <w:vMerge w:val="continue"/>
            <w:noWrap w:val="0"/>
            <w:vAlign w:val="center"/>
          </w:tcPr>
          <w:p w14:paraId="672D3BE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0415D21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（5）发现车辆异常情况及时通知车主；发生交通事故、自然灾害等意外事故时及时赶赴现场疏导和协助处理，响应时间不超过3分钟。</w:t>
            </w:r>
          </w:p>
        </w:tc>
      </w:tr>
      <w:tr w14:paraId="7B6AC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restart"/>
            <w:noWrap w:val="0"/>
            <w:vAlign w:val="center"/>
          </w:tcPr>
          <w:p w14:paraId="4E8DA01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w:t>
            </w:r>
          </w:p>
        </w:tc>
        <w:tc>
          <w:tcPr>
            <w:tcW w:w="1406" w:type="dxa"/>
            <w:vMerge w:val="restart"/>
            <w:noWrap w:val="0"/>
            <w:vAlign w:val="center"/>
          </w:tcPr>
          <w:p w14:paraId="29C5260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突发事件</w:t>
            </w:r>
          </w:p>
          <w:p w14:paraId="01CE54A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处理</w:t>
            </w:r>
          </w:p>
        </w:tc>
        <w:tc>
          <w:tcPr>
            <w:tcW w:w="7087" w:type="dxa"/>
            <w:noWrap w:val="0"/>
            <w:vAlign w:val="center"/>
          </w:tcPr>
          <w:p w14:paraId="7F20AA9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（1）制定突发事件安全责任书，明确突发事件责任人及应承担的安全责任。</w:t>
            </w:r>
          </w:p>
        </w:tc>
      </w:tr>
      <w:tr w14:paraId="5BF69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0C5465F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06" w:type="dxa"/>
            <w:vMerge w:val="continue"/>
            <w:noWrap w:val="0"/>
            <w:vAlign w:val="center"/>
          </w:tcPr>
          <w:p w14:paraId="1C672AD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7C15C91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（2）建立应急突发事件处置队伍，明确各自的职责。</w:t>
            </w:r>
          </w:p>
        </w:tc>
      </w:tr>
      <w:tr w14:paraId="6B648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640E59B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06" w:type="dxa"/>
            <w:vMerge w:val="continue"/>
            <w:noWrap w:val="0"/>
            <w:vAlign w:val="center"/>
          </w:tcPr>
          <w:p w14:paraId="5CB73A2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075268B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（3）识别、分析各种潜在风险，针对不同风险类型制定相应解决方案，并配备应急物资。</w:t>
            </w:r>
          </w:p>
        </w:tc>
      </w:tr>
      <w:tr w14:paraId="42F78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1B89197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06" w:type="dxa"/>
            <w:vMerge w:val="continue"/>
            <w:noWrap w:val="0"/>
            <w:vAlign w:val="center"/>
          </w:tcPr>
          <w:p w14:paraId="57F2B29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13B4486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（4）每半年至少开展1次突发事件应急演练，并有相应记录。</w:t>
            </w:r>
          </w:p>
        </w:tc>
      </w:tr>
      <w:tr w14:paraId="431F0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29F36FB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06" w:type="dxa"/>
            <w:vMerge w:val="continue"/>
            <w:noWrap w:val="0"/>
            <w:vAlign w:val="center"/>
          </w:tcPr>
          <w:p w14:paraId="22F8986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24E4C26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（5）发生意外事件时，及时采取应急措施，维护办公区域秩序，保护人身财产安全。</w:t>
            </w:r>
          </w:p>
        </w:tc>
      </w:tr>
      <w:tr w14:paraId="7EFE4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0CE2483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06" w:type="dxa"/>
            <w:vMerge w:val="continue"/>
            <w:noWrap w:val="0"/>
            <w:vAlign w:val="center"/>
          </w:tcPr>
          <w:p w14:paraId="7A0E9E2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2F0597A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（6）办公区域应急预案终止实施后，积极采取措施，在尽可能短的时间内，消除事故带来的不良影响，妥善安置和慰问受害及受影响的人员和部门。</w:t>
            </w:r>
          </w:p>
        </w:tc>
      </w:tr>
      <w:tr w14:paraId="3673B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18903AE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06" w:type="dxa"/>
            <w:vMerge w:val="continue"/>
            <w:noWrap w:val="0"/>
            <w:vAlign w:val="center"/>
          </w:tcPr>
          <w:p w14:paraId="0D95DEF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3C30072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（7）事故处理后，及时形成事故应急总结报告，完善应急救援工作方案。</w:t>
            </w:r>
          </w:p>
        </w:tc>
      </w:tr>
      <w:tr w14:paraId="2EF49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restart"/>
            <w:noWrap w:val="0"/>
            <w:vAlign w:val="center"/>
          </w:tcPr>
          <w:p w14:paraId="60634AF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w:t>
            </w:r>
          </w:p>
        </w:tc>
        <w:tc>
          <w:tcPr>
            <w:tcW w:w="1406" w:type="dxa"/>
            <w:vMerge w:val="restart"/>
            <w:noWrap w:val="0"/>
            <w:vAlign w:val="center"/>
          </w:tcPr>
          <w:p w14:paraId="610E0DF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大型活动</w:t>
            </w:r>
          </w:p>
          <w:p w14:paraId="2E6E30A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秩序</w:t>
            </w:r>
          </w:p>
        </w:tc>
        <w:tc>
          <w:tcPr>
            <w:tcW w:w="7087" w:type="dxa"/>
            <w:noWrap w:val="0"/>
            <w:vAlign w:val="center"/>
          </w:tcPr>
          <w:p w14:paraId="415B782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（1）制定相应的活动秩序维护方案，合理安排人员，并对场所的安全隐患进行排查。</w:t>
            </w:r>
          </w:p>
        </w:tc>
      </w:tr>
      <w:tr w14:paraId="33904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6ECE17E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06" w:type="dxa"/>
            <w:vMerge w:val="continue"/>
            <w:noWrap w:val="0"/>
            <w:vAlign w:val="center"/>
          </w:tcPr>
          <w:p w14:paraId="118B12B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28684F4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（2）应当保障通道、出入口、停车场等区域畅通。</w:t>
            </w:r>
          </w:p>
        </w:tc>
      </w:tr>
      <w:tr w14:paraId="33B4B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4BE27B2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06" w:type="dxa"/>
            <w:vMerge w:val="continue"/>
            <w:noWrap w:val="0"/>
            <w:vAlign w:val="center"/>
          </w:tcPr>
          <w:p w14:paraId="7A953FC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3BB7AFF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（3）活动举办过程中，做好现场秩序的维护和突发事故的处置工作，确保活动正常进行。</w:t>
            </w:r>
          </w:p>
        </w:tc>
      </w:tr>
    </w:tbl>
    <w:p w14:paraId="751C597D">
      <w:pPr>
        <w:keepNext w:val="0"/>
        <w:keepLines w:val="0"/>
        <w:pageBreakBefore w:val="0"/>
        <w:kinsoku/>
        <w:wordWrap/>
        <w:overflowPunct/>
        <w:topLinePunct w:val="0"/>
        <w:autoSpaceDE/>
        <w:autoSpaceDN/>
        <w:bidi w:val="0"/>
        <w:adjustRightInd/>
        <w:spacing w:line="360" w:lineRule="auto"/>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2.3建筑消防设施日常运行维保服务</w:t>
      </w:r>
    </w:p>
    <w:tbl>
      <w:tblPr>
        <w:tblStyle w:val="60"/>
        <w:tblW w:w="9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406"/>
        <w:gridCol w:w="7087"/>
      </w:tblGrid>
      <w:tr w14:paraId="369E2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noWrap w:val="0"/>
            <w:vAlign w:val="center"/>
          </w:tcPr>
          <w:p w14:paraId="47300D0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序号</w:t>
            </w:r>
          </w:p>
        </w:tc>
        <w:tc>
          <w:tcPr>
            <w:tcW w:w="1406" w:type="dxa"/>
            <w:noWrap w:val="0"/>
            <w:vAlign w:val="center"/>
          </w:tcPr>
          <w:p w14:paraId="49BBF74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服务内容</w:t>
            </w:r>
          </w:p>
        </w:tc>
        <w:tc>
          <w:tcPr>
            <w:tcW w:w="7087" w:type="dxa"/>
            <w:noWrap w:val="0"/>
            <w:vAlign w:val="center"/>
          </w:tcPr>
          <w:p w14:paraId="009108C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服务标准</w:t>
            </w:r>
          </w:p>
        </w:tc>
      </w:tr>
      <w:tr w14:paraId="409B9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restart"/>
            <w:noWrap w:val="0"/>
            <w:vAlign w:val="center"/>
          </w:tcPr>
          <w:p w14:paraId="27A7D23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1406" w:type="dxa"/>
            <w:vMerge w:val="restart"/>
            <w:noWrap w:val="0"/>
            <w:vAlign w:val="center"/>
          </w:tcPr>
          <w:p w14:paraId="7C6DF1D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基本要求</w:t>
            </w:r>
          </w:p>
        </w:tc>
        <w:tc>
          <w:tcPr>
            <w:tcW w:w="7087" w:type="dxa"/>
            <w:noWrap w:val="0"/>
            <w:vAlign w:val="center"/>
          </w:tcPr>
          <w:p w14:paraId="070F1B1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（1）建立消防安全责任制，并按照执行。</w:t>
            </w:r>
          </w:p>
        </w:tc>
      </w:tr>
      <w:tr w14:paraId="7FF75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35C1F35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06" w:type="dxa"/>
            <w:vMerge w:val="continue"/>
            <w:noWrap w:val="0"/>
            <w:vAlign w:val="center"/>
          </w:tcPr>
          <w:p w14:paraId="3148595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3C89283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（2）对巡查、值守、交接班及异常情况等做好相关记录，填写规范，保存完好。</w:t>
            </w:r>
          </w:p>
        </w:tc>
      </w:tr>
      <w:tr w14:paraId="3093C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7A2EC26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06" w:type="dxa"/>
            <w:vMerge w:val="continue"/>
            <w:noWrap w:val="0"/>
            <w:vAlign w:val="center"/>
          </w:tcPr>
          <w:p w14:paraId="5EE6F87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54F200E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（3）配备建筑消防设施日常运行维保服务必要的器材。</w:t>
            </w:r>
          </w:p>
        </w:tc>
      </w:tr>
      <w:tr w14:paraId="1BB50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19E9EDB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06" w:type="dxa"/>
            <w:vMerge w:val="continue"/>
            <w:noWrap w:val="0"/>
            <w:vAlign w:val="center"/>
          </w:tcPr>
          <w:p w14:paraId="217C1C5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1E363F2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（4）管理微型消防站（消防控制室），保持整洁、干净。</w:t>
            </w:r>
          </w:p>
        </w:tc>
      </w:tr>
      <w:tr w14:paraId="7D390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restart"/>
            <w:noWrap w:val="0"/>
            <w:vAlign w:val="center"/>
          </w:tcPr>
          <w:p w14:paraId="6B6420E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1406" w:type="dxa"/>
            <w:vMerge w:val="restart"/>
            <w:noWrap w:val="0"/>
            <w:vAlign w:val="center"/>
          </w:tcPr>
          <w:p w14:paraId="0E5412E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值班</w:t>
            </w:r>
            <w:r>
              <w:rPr>
                <w:rFonts w:hint="eastAsia" w:asciiTheme="minorEastAsia" w:hAnsiTheme="minorEastAsia" w:eastAsiaTheme="minorEastAsia" w:cstheme="minorEastAsia"/>
                <w:color w:val="auto"/>
                <w:sz w:val="24"/>
                <w:szCs w:val="24"/>
                <w:highlight w:val="none"/>
                <w:lang w:eastAsia="zh-CN"/>
              </w:rPr>
              <w:t>巡查</w:t>
            </w:r>
          </w:p>
        </w:tc>
        <w:tc>
          <w:tcPr>
            <w:tcW w:w="7087" w:type="dxa"/>
            <w:noWrap w:val="0"/>
            <w:vAlign w:val="center"/>
          </w:tcPr>
          <w:p w14:paraId="17B23DE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（1）建立24小时值班巡查制度。</w:t>
            </w:r>
          </w:p>
        </w:tc>
      </w:tr>
      <w:tr w14:paraId="49482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4CD05AA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06" w:type="dxa"/>
            <w:vMerge w:val="continue"/>
            <w:noWrap w:val="0"/>
            <w:vAlign w:val="center"/>
          </w:tcPr>
          <w:p w14:paraId="3542128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6FC9970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（2）制定巡查路线，按照指定时间和路线执行，加强重点区域、重点部位及装修区域的巡查。</w:t>
            </w:r>
          </w:p>
        </w:tc>
      </w:tr>
      <w:tr w14:paraId="163E2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70C4592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06" w:type="dxa"/>
            <w:vMerge w:val="continue"/>
            <w:noWrap w:val="0"/>
            <w:vAlign w:val="center"/>
          </w:tcPr>
          <w:p w14:paraId="5B1E5FC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4525514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（3）巡查期间保持通信设施设备畅通，遇到异常情况立即上报并在现场采取相应措施。</w:t>
            </w:r>
          </w:p>
        </w:tc>
      </w:tr>
      <w:tr w14:paraId="78E40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3CEFD5E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06" w:type="dxa"/>
            <w:vMerge w:val="continue"/>
            <w:noWrap w:val="0"/>
            <w:vAlign w:val="center"/>
          </w:tcPr>
          <w:p w14:paraId="7CD3DA1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4A2BAA6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（4）收到监控室指令后，巡查人员及时到达指定地点并迅速采取相应措施。</w:t>
            </w:r>
          </w:p>
        </w:tc>
      </w:tr>
      <w:tr w14:paraId="13A9C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restart"/>
            <w:noWrap w:val="0"/>
            <w:vAlign w:val="center"/>
          </w:tcPr>
          <w:p w14:paraId="41C5681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w:t>
            </w:r>
          </w:p>
          <w:p w14:paraId="01B10CE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06" w:type="dxa"/>
            <w:vMerge w:val="restart"/>
            <w:noWrap w:val="0"/>
            <w:vAlign w:val="center"/>
          </w:tcPr>
          <w:p w14:paraId="10141B3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eastAsia="zh-CN"/>
              </w:rPr>
              <w:t>消防管理</w:t>
            </w:r>
          </w:p>
          <w:p w14:paraId="1DD3738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6564FB4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（1）建立消防安全责任制，确定各级消防安全责任人及其职责。</w:t>
            </w:r>
          </w:p>
        </w:tc>
      </w:tr>
      <w:tr w14:paraId="05465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09BEA46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06" w:type="dxa"/>
            <w:vMerge w:val="continue"/>
            <w:noWrap w:val="0"/>
            <w:vAlign w:val="center"/>
          </w:tcPr>
          <w:p w14:paraId="75EB3D5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20D1D49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（2）微型消防站实行24小时值班制度，每班不少于2人，</w:t>
            </w:r>
            <w:r>
              <w:rPr>
                <w:rFonts w:hint="eastAsia" w:asciiTheme="minorEastAsia" w:hAnsiTheme="minorEastAsia" w:eastAsiaTheme="minorEastAsia" w:cstheme="minorEastAsia"/>
                <w:b w:val="0"/>
                <w:bCs w:val="0"/>
                <w:color w:val="auto"/>
                <w:sz w:val="24"/>
                <w:szCs w:val="24"/>
                <w:highlight w:val="none"/>
                <w:lang w:val="en-US" w:eastAsia="zh-CN"/>
              </w:rPr>
              <w:t>每班工作时间不大于8小时，</w:t>
            </w:r>
            <w:r>
              <w:rPr>
                <w:rFonts w:hint="eastAsia" w:asciiTheme="minorEastAsia" w:hAnsiTheme="minorEastAsia" w:eastAsiaTheme="minorEastAsia" w:cstheme="minorEastAsia"/>
                <w:color w:val="auto"/>
                <w:sz w:val="24"/>
                <w:szCs w:val="24"/>
                <w:highlight w:val="none"/>
                <w:lang w:val="en-US" w:eastAsia="zh-CN"/>
              </w:rPr>
              <w:t>且均应通过消防行业特有工种职业技能鉴定，持有初级以上等级的职业资格证书。</w:t>
            </w:r>
          </w:p>
        </w:tc>
      </w:tr>
      <w:tr w14:paraId="08A1D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1980DA6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06" w:type="dxa"/>
            <w:vMerge w:val="continue"/>
            <w:noWrap w:val="0"/>
            <w:vAlign w:val="center"/>
          </w:tcPr>
          <w:p w14:paraId="701D75B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085FCCE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（3）消火栓、应急照明、应急物资、消防及人员逃生通道、消防车通道可随时正常使用。</w:t>
            </w:r>
          </w:p>
        </w:tc>
      </w:tr>
      <w:tr w14:paraId="0FA99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7E0E68D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06" w:type="dxa"/>
            <w:vMerge w:val="continue"/>
            <w:noWrap w:val="0"/>
            <w:vAlign w:val="center"/>
          </w:tcPr>
          <w:p w14:paraId="1E8B96A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0D0089F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（4）定期组织消防安全宣传，每半年至少开展1次消防演练。</w:t>
            </w:r>
          </w:p>
        </w:tc>
      </w:tr>
      <w:tr w14:paraId="34394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restart"/>
            <w:noWrap w:val="0"/>
            <w:vAlign w:val="center"/>
          </w:tcPr>
          <w:p w14:paraId="2A93133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w:t>
            </w:r>
          </w:p>
        </w:tc>
        <w:tc>
          <w:tcPr>
            <w:tcW w:w="1406" w:type="dxa"/>
            <w:vMerge w:val="restart"/>
            <w:noWrap w:val="0"/>
            <w:vAlign w:val="center"/>
          </w:tcPr>
          <w:p w14:paraId="0BFF187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eastAsia="zh-CN"/>
              </w:rPr>
              <w:t>安全管理</w:t>
            </w:r>
          </w:p>
        </w:tc>
        <w:tc>
          <w:tcPr>
            <w:tcW w:w="7087" w:type="dxa"/>
            <w:noWrap w:val="0"/>
            <w:vAlign w:val="center"/>
          </w:tcPr>
          <w:p w14:paraId="0F6886A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（1）按照《新疆维吾尔自治区消防条例》规定做好办公楼内的消防设备的检查、运行、保养及巡检工作。建立消防安全责任制，确定各级消防安全责任人及其职责。</w:t>
            </w:r>
          </w:p>
        </w:tc>
      </w:tr>
      <w:tr w14:paraId="3485E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0A82D54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06" w:type="dxa"/>
            <w:vMerge w:val="continue"/>
            <w:noWrap w:val="0"/>
            <w:vAlign w:val="center"/>
          </w:tcPr>
          <w:p w14:paraId="7ED4C84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19748B6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（2）每日检查消防供水是否正常,有无漏水现象,能否正常报警（两小时一次）。</w:t>
            </w:r>
          </w:p>
        </w:tc>
      </w:tr>
      <w:tr w14:paraId="28377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05F7EF3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06" w:type="dxa"/>
            <w:vMerge w:val="continue"/>
            <w:noWrap w:val="0"/>
            <w:vAlign w:val="center"/>
          </w:tcPr>
          <w:p w14:paraId="689D508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7E0B93E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（3）每日对消防报警主机进行自检、楼层火灾显示盘检查。</w:t>
            </w:r>
          </w:p>
        </w:tc>
      </w:tr>
      <w:tr w14:paraId="3B292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1011E26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06" w:type="dxa"/>
            <w:vMerge w:val="continue"/>
            <w:noWrap w:val="0"/>
            <w:vAlign w:val="center"/>
          </w:tcPr>
          <w:p w14:paraId="623B218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0B0338F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 xml:space="preserve">（4）定期进行消防设备、设施的日常检查和除尘；                                               </w:t>
            </w:r>
          </w:p>
        </w:tc>
      </w:tr>
      <w:tr w14:paraId="678D9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160F657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06" w:type="dxa"/>
            <w:vMerge w:val="continue"/>
            <w:noWrap w:val="0"/>
            <w:vAlign w:val="center"/>
          </w:tcPr>
          <w:p w14:paraId="7868916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3EFF576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（5）每月对各楼层灭火器、应急照明、疏散指示标示、安全指示标识核查、记录。</w:t>
            </w:r>
          </w:p>
        </w:tc>
      </w:tr>
      <w:tr w14:paraId="7D2EC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14F4B5A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06" w:type="dxa"/>
            <w:vMerge w:val="continue"/>
            <w:noWrap w:val="0"/>
            <w:vAlign w:val="center"/>
          </w:tcPr>
          <w:p w14:paraId="28FBF9C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12D9767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（6）每月对楼内消火栓、消防报警设备、设施检查记录。</w:t>
            </w:r>
          </w:p>
        </w:tc>
      </w:tr>
      <w:tr w14:paraId="39082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0BA10F6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06" w:type="dxa"/>
            <w:vMerge w:val="continue"/>
            <w:noWrap w:val="0"/>
            <w:vAlign w:val="center"/>
          </w:tcPr>
          <w:p w14:paraId="51E1206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5D34D58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 xml:space="preserve">（7）定期配合甲方、消防救援支队开展消防演练。     </w:t>
            </w:r>
          </w:p>
        </w:tc>
      </w:tr>
      <w:tr w14:paraId="1FA29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6FB1E1E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06" w:type="dxa"/>
            <w:vMerge w:val="continue"/>
            <w:noWrap w:val="0"/>
            <w:vAlign w:val="center"/>
          </w:tcPr>
          <w:p w14:paraId="393BD43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0207F79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（8）不定期参加市、区消防救援部门组织的消防知识线上学习（考试）、各类会议。</w:t>
            </w:r>
          </w:p>
        </w:tc>
      </w:tr>
      <w:tr w14:paraId="7C21D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62B61C0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06" w:type="dxa"/>
            <w:vMerge w:val="continue"/>
            <w:noWrap w:val="0"/>
            <w:vAlign w:val="center"/>
          </w:tcPr>
          <w:p w14:paraId="56D577B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3C7B5C4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（9）巡查、消防安全隐患，检查消防监控系统、设施、设备，确保其正常运行。</w:t>
            </w:r>
          </w:p>
        </w:tc>
      </w:tr>
      <w:tr w14:paraId="2167D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708042F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06" w:type="dxa"/>
            <w:vMerge w:val="continue"/>
            <w:noWrap w:val="0"/>
            <w:vAlign w:val="center"/>
          </w:tcPr>
          <w:p w14:paraId="5A7D172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618CA09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（10）做好其他设施、设备的日常巡检工作及相关记录。</w:t>
            </w:r>
          </w:p>
        </w:tc>
      </w:tr>
      <w:tr w14:paraId="443EA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0AF8BD4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06" w:type="dxa"/>
            <w:vMerge w:val="continue"/>
            <w:noWrap w:val="0"/>
            <w:vAlign w:val="center"/>
          </w:tcPr>
          <w:p w14:paraId="360A8AE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72A699F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（11）定期擦拭各楼层消防设备、设施。</w:t>
            </w:r>
          </w:p>
        </w:tc>
      </w:tr>
      <w:tr w14:paraId="16D6C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4792630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06" w:type="dxa"/>
            <w:vMerge w:val="continue"/>
            <w:noWrap w:val="0"/>
            <w:vAlign w:val="center"/>
          </w:tcPr>
          <w:p w14:paraId="00901D6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0B8C268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（12）协助做好消防及空调系统的年检及月度测试、日常设施维修监督落实工作。</w:t>
            </w:r>
          </w:p>
        </w:tc>
      </w:tr>
      <w:tr w14:paraId="0B76E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1A6A2E2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06" w:type="dxa"/>
            <w:vMerge w:val="continue"/>
            <w:noWrap w:val="0"/>
            <w:vAlign w:val="center"/>
          </w:tcPr>
          <w:p w14:paraId="7A06958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0096C9B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（13）不定期协助消防救援支队熟悉楼宇环境，进行模拟疏散演练。</w:t>
            </w:r>
          </w:p>
        </w:tc>
      </w:tr>
      <w:tr w14:paraId="64798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0A04F4D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06" w:type="dxa"/>
            <w:vMerge w:val="continue"/>
            <w:noWrap w:val="0"/>
            <w:vAlign w:val="center"/>
          </w:tcPr>
          <w:p w14:paraId="7E79A2F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3F41747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（14）定期对消防报警主机进行充放电工作。</w:t>
            </w:r>
          </w:p>
        </w:tc>
      </w:tr>
      <w:tr w14:paraId="7483D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7CEB96E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06" w:type="dxa"/>
            <w:vMerge w:val="continue"/>
            <w:noWrap w:val="0"/>
            <w:vAlign w:val="center"/>
          </w:tcPr>
          <w:p w14:paraId="16E0DC9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12F2831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（15）做好其他临时性工作。</w:t>
            </w:r>
          </w:p>
        </w:tc>
      </w:tr>
      <w:tr w14:paraId="14999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restart"/>
            <w:noWrap w:val="0"/>
            <w:vAlign w:val="center"/>
          </w:tcPr>
          <w:p w14:paraId="1DE98A9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c>
          <w:tcPr>
            <w:tcW w:w="1406" w:type="dxa"/>
            <w:vMerge w:val="restart"/>
            <w:noWrap w:val="0"/>
            <w:vAlign w:val="center"/>
          </w:tcPr>
          <w:p w14:paraId="6BDD401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建筑消防设施日常运行维保内容</w:t>
            </w:r>
          </w:p>
          <w:p w14:paraId="2463319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4708C36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（1）消防设施的维护管理符合《建筑消防设施的维护管理》（GB 25201）的相关要求。</w:t>
            </w:r>
          </w:p>
        </w:tc>
      </w:tr>
      <w:tr w14:paraId="1A001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529BBDF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06" w:type="dxa"/>
            <w:vMerge w:val="continue"/>
            <w:noWrap w:val="0"/>
            <w:vAlign w:val="center"/>
          </w:tcPr>
          <w:p w14:paraId="76D0804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577D5D0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（2）消防设备检测符合《建筑消防设施检测技术规程》（XF 503）的相关要求。</w:t>
            </w:r>
          </w:p>
        </w:tc>
      </w:tr>
      <w:tr w14:paraId="58E75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73F5B62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06" w:type="dxa"/>
            <w:vMerge w:val="continue"/>
            <w:noWrap w:val="0"/>
            <w:vAlign w:val="center"/>
          </w:tcPr>
          <w:p w14:paraId="787E9C2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596C2EB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（3）消防设施平面图、火警疏散示意图、防火分区图等按幢设置在楼层醒目位置。</w:t>
            </w:r>
          </w:p>
        </w:tc>
      </w:tr>
      <w:tr w14:paraId="05270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23B2C86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06" w:type="dxa"/>
            <w:vMerge w:val="continue"/>
            <w:noWrap w:val="0"/>
            <w:vAlign w:val="center"/>
          </w:tcPr>
          <w:p w14:paraId="694AE9A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61E849D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（4）消防系统各设施设备清洁、有效，其使用说明和标识清晰、完整，说明宜图文结合。</w:t>
            </w:r>
          </w:p>
        </w:tc>
      </w:tr>
      <w:tr w14:paraId="44DCD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08531C3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06" w:type="dxa"/>
            <w:vMerge w:val="continue"/>
            <w:noWrap w:val="0"/>
            <w:vAlign w:val="center"/>
          </w:tcPr>
          <w:p w14:paraId="1456412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4F6D001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（5）自动喷水灭火系统启动正常。</w:t>
            </w:r>
          </w:p>
        </w:tc>
      </w:tr>
      <w:tr w14:paraId="38C3B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0FA42E1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06" w:type="dxa"/>
            <w:vMerge w:val="continue"/>
            <w:noWrap w:val="0"/>
            <w:vAlign w:val="center"/>
          </w:tcPr>
          <w:p w14:paraId="48BDD91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05FDBF9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（6）消火栓箱、防火门、灭火器、消防水泵、消防水池、消防水箱、喷淋设施、红外线报警器、应急照明、安全疏散等系统运行正常。</w:t>
            </w:r>
          </w:p>
        </w:tc>
      </w:tr>
      <w:tr w14:paraId="5ECA6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299FD15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06" w:type="dxa"/>
            <w:vMerge w:val="continue"/>
            <w:noWrap w:val="0"/>
            <w:vAlign w:val="center"/>
          </w:tcPr>
          <w:p w14:paraId="62DD70D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2EA5E2B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（7）消防监控系统运行良好，自动和手动报警设施启动正常。</w:t>
            </w:r>
          </w:p>
        </w:tc>
      </w:tr>
      <w:tr w14:paraId="1D0E2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0DACCEB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06" w:type="dxa"/>
            <w:vMerge w:val="continue"/>
            <w:noWrap w:val="0"/>
            <w:vAlign w:val="center"/>
          </w:tcPr>
          <w:p w14:paraId="3E190C6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6A08746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（8）正压送风、防排烟系统运行正常。</w:t>
            </w:r>
          </w:p>
        </w:tc>
      </w:tr>
      <w:tr w14:paraId="5EA7D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restart"/>
            <w:noWrap w:val="0"/>
            <w:vAlign w:val="center"/>
          </w:tcPr>
          <w:p w14:paraId="1895616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w:t>
            </w:r>
          </w:p>
        </w:tc>
        <w:tc>
          <w:tcPr>
            <w:tcW w:w="1406" w:type="dxa"/>
            <w:vMerge w:val="restart"/>
            <w:noWrap w:val="0"/>
            <w:vAlign w:val="center"/>
          </w:tcPr>
          <w:p w14:paraId="4802234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突发事件</w:t>
            </w:r>
          </w:p>
          <w:p w14:paraId="33A3A01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处理</w:t>
            </w:r>
          </w:p>
        </w:tc>
        <w:tc>
          <w:tcPr>
            <w:tcW w:w="7087" w:type="dxa"/>
            <w:noWrap w:val="0"/>
            <w:vAlign w:val="center"/>
          </w:tcPr>
          <w:p w14:paraId="747F391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（1）制定突发事件安全责任书，明确突发事件责任人及应承担的安全责任。</w:t>
            </w:r>
          </w:p>
        </w:tc>
      </w:tr>
      <w:tr w14:paraId="0ABF2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1FD5B51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06" w:type="dxa"/>
            <w:vMerge w:val="continue"/>
            <w:noWrap w:val="0"/>
            <w:vAlign w:val="center"/>
          </w:tcPr>
          <w:p w14:paraId="4B28B53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51DF9A1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（2）建立应急突发事件处置队伍，明确各自的职责。</w:t>
            </w:r>
          </w:p>
        </w:tc>
      </w:tr>
      <w:tr w14:paraId="728EB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35F786D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06" w:type="dxa"/>
            <w:vMerge w:val="continue"/>
            <w:noWrap w:val="0"/>
            <w:vAlign w:val="center"/>
          </w:tcPr>
          <w:p w14:paraId="68302D2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45BBFAB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（3）识别、分析各种潜在风险，针对不同风险类型制定相应解决方案，并配备应急物资。</w:t>
            </w:r>
          </w:p>
        </w:tc>
      </w:tr>
      <w:tr w14:paraId="44918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37B5F31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06" w:type="dxa"/>
            <w:vMerge w:val="continue"/>
            <w:noWrap w:val="0"/>
            <w:vAlign w:val="center"/>
          </w:tcPr>
          <w:p w14:paraId="62B71C4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7D491A9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（4）每半年至少开展1次突发事件应急演练，并有相应记录。</w:t>
            </w:r>
          </w:p>
        </w:tc>
      </w:tr>
      <w:tr w14:paraId="21FE0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255" w:type="dxa"/>
            <w:vMerge w:val="continue"/>
            <w:noWrap w:val="0"/>
            <w:vAlign w:val="center"/>
          </w:tcPr>
          <w:p w14:paraId="57C9107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06" w:type="dxa"/>
            <w:vMerge w:val="continue"/>
            <w:noWrap w:val="0"/>
            <w:vAlign w:val="center"/>
          </w:tcPr>
          <w:p w14:paraId="6D11521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2D2F132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（5）发生意外事件时，及时采取应急措施，维护办公区域物业服务正常进行，保护人身财产安全。</w:t>
            </w:r>
          </w:p>
        </w:tc>
      </w:tr>
      <w:tr w14:paraId="66729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268A5AE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06" w:type="dxa"/>
            <w:vMerge w:val="continue"/>
            <w:noWrap w:val="0"/>
            <w:vAlign w:val="center"/>
          </w:tcPr>
          <w:p w14:paraId="1520259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1C6C096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（6）办公区域应急预案终止实施后，积极采取措施，在尽可能短的时间内，消除事故带来的不良影响，妥善安置和慰问受害及受影响的人员和部门。</w:t>
            </w:r>
          </w:p>
        </w:tc>
      </w:tr>
      <w:tr w14:paraId="67694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7F93699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1406" w:type="dxa"/>
            <w:vMerge w:val="continue"/>
            <w:noWrap w:val="0"/>
            <w:vAlign w:val="center"/>
          </w:tcPr>
          <w:p w14:paraId="47DB4AB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eastAsia="zh-CN"/>
              </w:rPr>
            </w:pPr>
          </w:p>
        </w:tc>
        <w:tc>
          <w:tcPr>
            <w:tcW w:w="7087" w:type="dxa"/>
            <w:noWrap w:val="0"/>
            <w:vAlign w:val="center"/>
          </w:tcPr>
          <w:p w14:paraId="5164F6F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（7）事故处理后，及时形成事故应急总结报告，完善应急救援工作方案。</w:t>
            </w:r>
          </w:p>
        </w:tc>
      </w:tr>
    </w:tbl>
    <w:p w14:paraId="17D85984">
      <w:pPr>
        <w:keepNext w:val="0"/>
        <w:keepLines w:val="0"/>
        <w:pageBreakBefore w:val="0"/>
        <w:kinsoku/>
        <w:wordWrap/>
        <w:overflowPunct/>
        <w:topLinePunct w:val="0"/>
        <w:autoSpaceDE/>
        <w:autoSpaceDN/>
        <w:bidi w:val="0"/>
        <w:adjustRightInd/>
        <w:spacing w:line="360" w:lineRule="auto"/>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2.4其他服务</w:t>
      </w:r>
    </w:p>
    <w:tbl>
      <w:tblPr>
        <w:tblStyle w:val="60"/>
        <w:tblW w:w="9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1"/>
        <w:gridCol w:w="1392"/>
        <w:gridCol w:w="7087"/>
      </w:tblGrid>
      <w:tr w14:paraId="4DCB7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1" w:type="dxa"/>
            <w:noWrap w:val="0"/>
            <w:vAlign w:val="center"/>
          </w:tcPr>
          <w:p w14:paraId="3498DCF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序号</w:t>
            </w:r>
          </w:p>
        </w:tc>
        <w:tc>
          <w:tcPr>
            <w:tcW w:w="1392" w:type="dxa"/>
            <w:noWrap w:val="0"/>
            <w:vAlign w:val="center"/>
          </w:tcPr>
          <w:p w14:paraId="21204EF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服务内容</w:t>
            </w:r>
          </w:p>
        </w:tc>
        <w:tc>
          <w:tcPr>
            <w:tcW w:w="7087" w:type="dxa"/>
            <w:noWrap w:val="0"/>
            <w:vAlign w:val="center"/>
          </w:tcPr>
          <w:p w14:paraId="3E4D9DA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服务标准</w:t>
            </w:r>
          </w:p>
        </w:tc>
      </w:tr>
      <w:tr w14:paraId="5553C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1" w:type="dxa"/>
            <w:noWrap w:val="0"/>
            <w:vAlign w:val="center"/>
          </w:tcPr>
          <w:p w14:paraId="7B9B3F1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1392" w:type="dxa"/>
            <w:vMerge w:val="restart"/>
            <w:noWrap w:val="0"/>
            <w:vAlign w:val="center"/>
          </w:tcPr>
          <w:p w14:paraId="02EDA1E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其他服务</w:t>
            </w:r>
          </w:p>
        </w:tc>
        <w:tc>
          <w:tcPr>
            <w:tcW w:w="7087" w:type="dxa"/>
            <w:noWrap w:val="0"/>
            <w:vAlign w:val="center"/>
          </w:tcPr>
          <w:p w14:paraId="6935967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（1）楼内设施（设备）及物品的少量简易搬运服务，大件或大批量搬运由采购方负责。</w:t>
            </w:r>
          </w:p>
        </w:tc>
      </w:tr>
      <w:tr w14:paraId="1888C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281" w:type="dxa"/>
            <w:noWrap w:val="0"/>
            <w:vAlign w:val="center"/>
          </w:tcPr>
          <w:p w14:paraId="7232CE7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1392" w:type="dxa"/>
            <w:vMerge w:val="continue"/>
            <w:noWrap w:val="0"/>
            <w:vAlign w:val="center"/>
          </w:tcPr>
          <w:p w14:paraId="29D8A46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101D1C3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（2）配合物业做好环办公楼三侧马路、办公楼正前方马路对面停车场区域、办公楼东侧马路对面停车场区域扫雪铲冰工作。</w:t>
            </w:r>
          </w:p>
        </w:tc>
      </w:tr>
      <w:tr w14:paraId="58B86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281" w:type="dxa"/>
            <w:noWrap w:val="0"/>
            <w:vAlign w:val="center"/>
          </w:tcPr>
          <w:p w14:paraId="0EA4DA3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1392" w:type="dxa"/>
            <w:vMerge w:val="continue"/>
            <w:noWrap w:val="0"/>
            <w:vAlign w:val="center"/>
          </w:tcPr>
          <w:p w14:paraId="22C260C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p>
        </w:tc>
        <w:tc>
          <w:tcPr>
            <w:tcW w:w="7087" w:type="dxa"/>
            <w:noWrap w:val="0"/>
            <w:vAlign w:val="center"/>
          </w:tcPr>
          <w:p w14:paraId="706EA1C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（3）要与物业方协调配合，积极做好相关工作。</w:t>
            </w:r>
          </w:p>
        </w:tc>
      </w:tr>
    </w:tbl>
    <w:p w14:paraId="5A731269">
      <w:pPr>
        <w:pStyle w:val="536"/>
        <w:keepNext w:val="0"/>
        <w:keepLines w:val="0"/>
        <w:pageBreakBefore w:val="0"/>
        <w:numPr>
          <w:ilvl w:val="0"/>
          <w:numId w:val="4"/>
        </w:numPr>
        <w:kinsoku/>
        <w:wordWrap/>
        <w:overflowPunct/>
        <w:topLinePunct w:val="0"/>
        <w:autoSpaceDE/>
        <w:autoSpaceDN/>
        <w:bidi w:val="0"/>
        <w:adjustRightInd/>
        <w:snapToGrid w:val="0"/>
        <w:spacing w:line="360" w:lineRule="auto"/>
        <w:ind w:firstLine="482"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服务人员需求</w:t>
      </w:r>
    </w:p>
    <w:p w14:paraId="47D791EC">
      <w:pPr>
        <w:keepNext w:val="0"/>
        <w:keepLines w:val="0"/>
        <w:pageBreakBefore w:val="0"/>
        <w:kinsoku/>
        <w:wordWrap/>
        <w:overflowPunct/>
        <w:topLinePunct w:val="0"/>
        <w:autoSpaceDE/>
        <w:autoSpaceDN/>
        <w:bidi w:val="0"/>
        <w:adjustRightInd/>
        <w:spacing w:line="360" w:lineRule="auto"/>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3.1岗位人员配置</w:t>
      </w:r>
    </w:p>
    <w:tbl>
      <w:tblPr>
        <w:tblStyle w:val="60"/>
        <w:tblW w:w="91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2609"/>
        <w:gridCol w:w="1692"/>
        <w:gridCol w:w="3300"/>
      </w:tblGrid>
      <w:tr w14:paraId="19CDF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0" w:type="dxa"/>
            <w:noWrap w:val="0"/>
            <w:vAlign w:val="center"/>
          </w:tcPr>
          <w:p w14:paraId="5924EEE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部门职能</w:t>
            </w:r>
          </w:p>
        </w:tc>
        <w:tc>
          <w:tcPr>
            <w:tcW w:w="2609" w:type="dxa"/>
            <w:noWrap w:val="0"/>
            <w:vAlign w:val="center"/>
          </w:tcPr>
          <w:p w14:paraId="0764B1B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岗位</w:t>
            </w:r>
          </w:p>
        </w:tc>
        <w:tc>
          <w:tcPr>
            <w:tcW w:w="1692" w:type="dxa"/>
            <w:noWrap w:val="0"/>
            <w:vAlign w:val="center"/>
          </w:tcPr>
          <w:p w14:paraId="4F9FD90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岗位所需人数</w:t>
            </w:r>
          </w:p>
        </w:tc>
        <w:tc>
          <w:tcPr>
            <w:tcW w:w="3300" w:type="dxa"/>
            <w:noWrap w:val="0"/>
            <w:vAlign w:val="center"/>
          </w:tcPr>
          <w:p w14:paraId="38896A7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备注（岗位所需服务时长或时段、需具备的上岗资格证、人员学历、工作经验等要求）</w:t>
            </w:r>
          </w:p>
        </w:tc>
      </w:tr>
      <w:tr w14:paraId="06B85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0" w:type="dxa"/>
            <w:noWrap w:val="0"/>
            <w:vAlign w:val="center"/>
          </w:tcPr>
          <w:p w14:paraId="7E39B4A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管理岗</w:t>
            </w:r>
          </w:p>
        </w:tc>
        <w:tc>
          <w:tcPr>
            <w:tcW w:w="2609" w:type="dxa"/>
            <w:noWrap w:val="0"/>
            <w:vAlign w:val="center"/>
          </w:tcPr>
          <w:p w14:paraId="268F436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现场主管</w:t>
            </w:r>
          </w:p>
        </w:tc>
        <w:tc>
          <w:tcPr>
            <w:tcW w:w="1692" w:type="dxa"/>
            <w:noWrap w:val="0"/>
            <w:vAlign w:val="center"/>
          </w:tcPr>
          <w:p w14:paraId="47BA351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3300" w:type="dxa"/>
            <w:noWrap w:val="0"/>
            <w:vAlign w:val="center"/>
          </w:tcPr>
          <w:p w14:paraId="7BC813D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eastAsia="zh-CN"/>
              </w:rPr>
            </w:pPr>
          </w:p>
        </w:tc>
      </w:tr>
      <w:tr w14:paraId="42665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0" w:type="dxa"/>
            <w:noWrap w:val="0"/>
            <w:vAlign w:val="center"/>
          </w:tcPr>
          <w:p w14:paraId="0CB1CE5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安保</w:t>
            </w:r>
            <w:r>
              <w:rPr>
                <w:rFonts w:hint="eastAsia" w:asciiTheme="minorEastAsia" w:hAnsiTheme="minorEastAsia" w:eastAsiaTheme="minorEastAsia" w:cstheme="minorEastAsia"/>
                <w:color w:val="auto"/>
                <w:sz w:val="24"/>
                <w:szCs w:val="24"/>
                <w:highlight w:val="none"/>
                <w:lang w:val="en-US" w:eastAsia="zh-CN"/>
              </w:rPr>
              <w:t>服务</w:t>
            </w:r>
          </w:p>
        </w:tc>
        <w:tc>
          <w:tcPr>
            <w:tcW w:w="2609" w:type="dxa"/>
            <w:noWrap w:val="0"/>
            <w:vAlign w:val="center"/>
          </w:tcPr>
          <w:p w14:paraId="094CD7C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保安</w:t>
            </w:r>
            <w:r>
              <w:rPr>
                <w:rFonts w:hint="eastAsia" w:asciiTheme="minorEastAsia" w:hAnsiTheme="minorEastAsia" w:eastAsiaTheme="minorEastAsia" w:cstheme="minorEastAsia"/>
                <w:color w:val="auto"/>
                <w:sz w:val="24"/>
                <w:szCs w:val="24"/>
                <w:highlight w:val="none"/>
                <w:lang w:eastAsia="zh-CN"/>
              </w:rPr>
              <w:t>岗</w:t>
            </w:r>
          </w:p>
        </w:tc>
        <w:tc>
          <w:tcPr>
            <w:tcW w:w="1692" w:type="dxa"/>
            <w:noWrap w:val="0"/>
            <w:vAlign w:val="center"/>
          </w:tcPr>
          <w:p w14:paraId="2FF00D5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c>
          <w:tcPr>
            <w:tcW w:w="3300" w:type="dxa"/>
            <w:noWrap w:val="0"/>
            <w:vAlign w:val="center"/>
          </w:tcPr>
          <w:p w14:paraId="4E6509D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服务时长24小时制。具备但不限于保安员证。</w:t>
            </w:r>
          </w:p>
        </w:tc>
      </w:tr>
      <w:tr w14:paraId="56FF1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0" w:type="dxa"/>
            <w:noWrap w:val="0"/>
            <w:vAlign w:val="center"/>
          </w:tcPr>
          <w:p w14:paraId="1CA99A3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建筑消防设施日常运行维保服务</w:t>
            </w:r>
          </w:p>
        </w:tc>
        <w:tc>
          <w:tcPr>
            <w:tcW w:w="2609" w:type="dxa"/>
            <w:noWrap w:val="0"/>
            <w:vAlign w:val="center"/>
          </w:tcPr>
          <w:p w14:paraId="5154151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消防运行岗</w:t>
            </w:r>
          </w:p>
        </w:tc>
        <w:tc>
          <w:tcPr>
            <w:tcW w:w="1692" w:type="dxa"/>
            <w:noWrap w:val="0"/>
            <w:vAlign w:val="center"/>
          </w:tcPr>
          <w:p w14:paraId="760A674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w:t>
            </w:r>
          </w:p>
        </w:tc>
        <w:tc>
          <w:tcPr>
            <w:tcW w:w="3300" w:type="dxa"/>
            <w:noWrap w:val="0"/>
            <w:vAlign w:val="center"/>
          </w:tcPr>
          <w:p w14:paraId="0811FAF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均应通过消防行业特有工种职业技能鉴定，持有初级以上等级的职业资格证书。</w:t>
            </w:r>
          </w:p>
        </w:tc>
      </w:tr>
      <w:tr w14:paraId="22F1B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49" w:type="dxa"/>
            <w:gridSpan w:val="2"/>
            <w:noWrap w:val="0"/>
            <w:vAlign w:val="center"/>
          </w:tcPr>
          <w:p w14:paraId="3EEC2A3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合计</w:t>
            </w:r>
          </w:p>
        </w:tc>
        <w:tc>
          <w:tcPr>
            <w:tcW w:w="1692" w:type="dxa"/>
            <w:noWrap w:val="0"/>
            <w:vAlign w:val="center"/>
          </w:tcPr>
          <w:p w14:paraId="698E7C1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w:t>
            </w:r>
          </w:p>
        </w:tc>
        <w:tc>
          <w:tcPr>
            <w:tcW w:w="3300" w:type="dxa"/>
            <w:noWrap w:val="0"/>
            <w:vAlign w:val="center"/>
          </w:tcPr>
          <w:p w14:paraId="3AA6172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color w:val="auto"/>
                <w:sz w:val="24"/>
                <w:szCs w:val="24"/>
                <w:highlight w:val="none"/>
                <w:lang w:val="en-US" w:eastAsia="zh-CN"/>
              </w:rPr>
            </w:pPr>
          </w:p>
        </w:tc>
      </w:tr>
    </w:tbl>
    <w:p w14:paraId="69CBB4D2">
      <w:pPr>
        <w:keepNext w:val="0"/>
        <w:keepLines w:val="0"/>
        <w:pageBreakBefore w:val="0"/>
        <w:kinsoku/>
        <w:wordWrap/>
        <w:overflowPunct/>
        <w:topLinePunct w:val="0"/>
        <w:autoSpaceDE/>
        <w:autoSpaceDN/>
        <w:bidi w:val="0"/>
        <w:adjustRightInd/>
        <w:spacing w:line="360" w:lineRule="auto"/>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注：供应方</w:t>
      </w:r>
      <w:r>
        <w:rPr>
          <w:rFonts w:hint="eastAsia" w:asciiTheme="minorEastAsia" w:hAnsiTheme="minorEastAsia" w:eastAsiaTheme="minorEastAsia" w:cstheme="minorEastAsia"/>
          <w:color w:val="auto"/>
          <w:sz w:val="24"/>
          <w:szCs w:val="24"/>
          <w:highlight w:val="none"/>
          <w:lang w:eastAsia="zh-CN"/>
        </w:rPr>
        <w:t>应当按国家相关法律法规，合理确定服务人员工资标准、工作时间等。</w:t>
      </w:r>
    </w:p>
    <w:p w14:paraId="19030F05">
      <w:pPr>
        <w:keepNext w:val="0"/>
        <w:keepLines w:val="0"/>
        <w:pageBreakBefore w:val="0"/>
        <w:kinsoku/>
        <w:wordWrap/>
        <w:overflowPunct/>
        <w:topLinePunct w:val="0"/>
        <w:autoSpaceDE/>
        <w:autoSpaceDN/>
        <w:bidi w:val="0"/>
        <w:adjustRightInd/>
        <w:spacing w:line="360" w:lineRule="auto"/>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3.2其他要求</w:t>
      </w:r>
    </w:p>
    <w:p w14:paraId="44DC70FB">
      <w:pPr>
        <w:keepNext w:val="0"/>
        <w:keepLines w:val="0"/>
        <w:pageBreakBefore w:val="0"/>
        <w:kinsoku/>
        <w:wordWrap/>
        <w:overflowPunct/>
        <w:topLinePunct w:val="0"/>
        <w:autoSpaceDE/>
        <w:autoSpaceDN/>
        <w:bidi w:val="0"/>
        <w:adjustRightInd/>
        <w:spacing w:line="360" w:lineRule="auto"/>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不得随意调整、更换项目负责人员。如有调整或更换,应提前告知采购方或物业使用人，并取得采购方或物业使用人同意。未经采购方或物业使用人书面同意，供应方不得私自更换项目负责人（主动辞职或采购方、物业使用人主动要求除外）；</w:t>
      </w:r>
    </w:p>
    <w:p w14:paraId="76C4F8DD">
      <w:pPr>
        <w:keepNext w:val="0"/>
        <w:keepLines w:val="0"/>
        <w:pageBreakBefore w:val="0"/>
        <w:kinsoku/>
        <w:wordWrap/>
        <w:overflowPunct/>
        <w:topLinePunct w:val="0"/>
        <w:autoSpaceDE/>
        <w:autoSpaceDN/>
        <w:bidi w:val="0"/>
        <w:adjustRightInd/>
        <w:spacing w:line="360" w:lineRule="auto"/>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（2）供应方为本项目配备的工作人员不得有犯罪记录；</w:t>
      </w:r>
    </w:p>
    <w:p w14:paraId="08B13B67">
      <w:pPr>
        <w:keepNext w:val="0"/>
        <w:keepLines w:val="0"/>
        <w:pageBreakBefore w:val="0"/>
        <w:kinsoku/>
        <w:wordWrap/>
        <w:overflowPunct/>
        <w:topLinePunct w:val="0"/>
        <w:autoSpaceDE/>
        <w:autoSpaceDN/>
        <w:bidi w:val="0"/>
        <w:adjustRightInd/>
        <w:spacing w:line="360" w:lineRule="auto"/>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（3）供应方应定期对员工进行岗位培训，不断提高员工服务技能；员工有较强的服务责任、保密意识以及稳定性；</w:t>
      </w:r>
    </w:p>
    <w:p w14:paraId="7AF1D817">
      <w:pPr>
        <w:keepNext w:val="0"/>
        <w:keepLines w:val="0"/>
        <w:pageBreakBefore w:val="0"/>
        <w:kinsoku/>
        <w:wordWrap/>
        <w:overflowPunct/>
        <w:topLinePunct w:val="0"/>
        <w:autoSpaceDE/>
        <w:autoSpaceDN/>
        <w:bidi w:val="0"/>
        <w:adjustRightInd/>
        <w:spacing w:line="360" w:lineRule="auto"/>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（4）供应方所有员工身体健康，无传染病、精神病和不良癖好；</w:t>
      </w:r>
    </w:p>
    <w:p w14:paraId="7BC69270">
      <w:pPr>
        <w:keepNext w:val="0"/>
        <w:keepLines w:val="0"/>
        <w:pageBreakBefore w:val="0"/>
        <w:kinsoku/>
        <w:wordWrap/>
        <w:overflowPunct/>
        <w:topLinePunct w:val="0"/>
        <w:autoSpaceDE/>
        <w:autoSpaceDN/>
        <w:bidi w:val="0"/>
        <w:adjustRightInd/>
        <w:spacing w:line="360" w:lineRule="auto"/>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（5）要加强员工队伍形象建设，要教育员工文明用语、礼貌待人，同时所有员工须统一着装；</w:t>
      </w:r>
    </w:p>
    <w:p w14:paraId="6FB5B7D8">
      <w:pPr>
        <w:keepNext w:val="0"/>
        <w:keepLines w:val="0"/>
        <w:pageBreakBefore w:val="0"/>
        <w:kinsoku/>
        <w:wordWrap/>
        <w:overflowPunct/>
        <w:topLinePunct w:val="0"/>
        <w:autoSpaceDE/>
        <w:autoSpaceDN/>
        <w:bidi w:val="0"/>
        <w:adjustRightInd/>
        <w:spacing w:line="360" w:lineRule="auto"/>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（6）要对员工进行岗前培训，要加强员工的教育和培养，不断提高员工队伍的整体素质，进而提升服务质量；</w:t>
      </w:r>
    </w:p>
    <w:p w14:paraId="731F0AA7">
      <w:pPr>
        <w:keepNext w:val="0"/>
        <w:keepLines w:val="0"/>
        <w:pageBreakBefore w:val="0"/>
        <w:kinsoku/>
        <w:wordWrap/>
        <w:overflowPunct/>
        <w:topLinePunct w:val="0"/>
        <w:autoSpaceDE/>
        <w:autoSpaceDN/>
        <w:bidi w:val="0"/>
        <w:adjustRightInd/>
        <w:spacing w:line="360" w:lineRule="auto"/>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供应方所有员工应服从楼内治安管理，并自觉遵守相关法律法规和楼内管理制度。供应方员工出现违反法律、法规和党群有关规定的行为，供应方须进行处理、解决，承担由此带来的后果，防止类似事件再次发生；</w:t>
      </w:r>
    </w:p>
    <w:p w14:paraId="369E7D18">
      <w:pPr>
        <w:keepNext w:val="0"/>
        <w:keepLines w:val="0"/>
        <w:pageBreakBefore w:val="0"/>
        <w:kinsoku/>
        <w:wordWrap/>
        <w:overflowPunct/>
        <w:topLinePunct w:val="0"/>
        <w:autoSpaceDE/>
        <w:autoSpaceDN/>
        <w:bidi w:val="0"/>
        <w:adjustRightInd/>
        <w:spacing w:line="360" w:lineRule="auto"/>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（8）供应方必须按有关法律和政策规定，为员工参加社会保险；</w:t>
      </w:r>
    </w:p>
    <w:p w14:paraId="510B92A4">
      <w:pPr>
        <w:keepNext w:val="0"/>
        <w:keepLines w:val="0"/>
        <w:pageBreakBefore w:val="0"/>
        <w:kinsoku/>
        <w:wordWrap/>
        <w:overflowPunct/>
        <w:topLinePunct w:val="0"/>
        <w:autoSpaceDE/>
        <w:autoSpaceDN/>
        <w:bidi w:val="0"/>
        <w:adjustRightInd/>
        <w:spacing w:line="360" w:lineRule="auto"/>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（9）供应方与所聘用员工之间发生劳动、劳务纠纷等均由供应方自行负责。</w:t>
      </w:r>
    </w:p>
    <w:p w14:paraId="2EBA87BF">
      <w:pPr>
        <w:pStyle w:val="536"/>
        <w:keepNext w:val="0"/>
        <w:keepLines w:val="0"/>
        <w:pageBreakBefore w:val="0"/>
        <w:kinsoku/>
        <w:wordWrap/>
        <w:overflowPunct/>
        <w:topLinePunct w:val="0"/>
        <w:autoSpaceDE/>
        <w:autoSpaceDN/>
        <w:bidi w:val="0"/>
        <w:adjustRightInd/>
        <w:snapToGrid w:val="0"/>
        <w:spacing w:line="360" w:lineRule="auto"/>
        <w:ind w:firstLine="482"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四、商务要求</w:t>
      </w:r>
    </w:p>
    <w:p w14:paraId="0265F868">
      <w:pPr>
        <w:keepNext w:val="0"/>
        <w:keepLines w:val="0"/>
        <w:pageBreakBefore w:val="0"/>
        <w:kinsoku/>
        <w:wordWrap/>
        <w:overflowPunct/>
        <w:topLinePunct w:val="0"/>
        <w:autoSpaceDE/>
        <w:autoSpaceDN/>
        <w:bidi w:val="0"/>
        <w:adjustRightInd/>
        <w:spacing w:line="360" w:lineRule="auto"/>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4.1实施期限</w:t>
      </w:r>
    </w:p>
    <w:p w14:paraId="7E17ECC2">
      <w:pPr>
        <w:keepNext w:val="0"/>
        <w:keepLines w:val="0"/>
        <w:pageBreakBefore w:val="0"/>
        <w:kinsoku/>
        <w:wordWrap/>
        <w:overflowPunct/>
        <w:topLinePunct w:val="0"/>
        <w:autoSpaceDE/>
        <w:autoSpaceDN/>
        <w:bidi w:val="0"/>
        <w:adjustRightInd/>
        <w:spacing w:line="360" w:lineRule="auto"/>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2026年1月1日至2028年12月31日。因本次采购限价为一年费用，合同采取一年一签方式。经年度验收考核合格，期限内续签合同；年度验收考核不合格，不再续签合同。</w:t>
      </w:r>
    </w:p>
    <w:p w14:paraId="26A799A9">
      <w:pPr>
        <w:keepNext w:val="0"/>
        <w:keepLines w:val="0"/>
        <w:pageBreakBefore w:val="0"/>
        <w:kinsoku/>
        <w:wordWrap/>
        <w:overflowPunct/>
        <w:topLinePunct w:val="0"/>
        <w:autoSpaceDE/>
        <w:autoSpaceDN/>
        <w:bidi w:val="0"/>
        <w:adjustRightInd/>
        <w:spacing w:line="360" w:lineRule="auto"/>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4.2付款方式</w:t>
      </w:r>
    </w:p>
    <w:p w14:paraId="4D3AE0C8">
      <w:pPr>
        <w:keepNext w:val="0"/>
        <w:keepLines w:val="0"/>
        <w:pageBreakBefore w:val="0"/>
        <w:kinsoku/>
        <w:wordWrap/>
        <w:overflowPunct/>
        <w:topLinePunct w:val="0"/>
        <w:autoSpaceDE/>
        <w:autoSpaceDN/>
        <w:bidi w:val="0"/>
        <w:adjustRightInd/>
        <w:spacing w:line="360" w:lineRule="auto"/>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按季度支付</w:t>
      </w:r>
      <w:r>
        <w:rPr>
          <w:rFonts w:hint="eastAsia" w:asciiTheme="minorEastAsia" w:hAnsiTheme="minorEastAsia" w:eastAsiaTheme="minorEastAsia" w:cstheme="minorEastAsia"/>
          <w:color w:val="auto"/>
          <w:sz w:val="24"/>
          <w:szCs w:val="24"/>
          <w:highlight w:val="none"/>
          <w:lang w:eastAsia="zh-CN"/>
        </w:rPr>
        <w:t>安保服务</w:t>
      </w:r>
      <w:r>
        <w:rPr>
          <w:rFonts w:hint="eastAsia" w:asciiTheme="minorEastAsia" w:hAnsiTheme="minorEastAsia" w:eastAsiaTheme="minorEastAsia" w:cstheme="minorEastAsia"/>
          <w:color w:val="auto"/>
          <w:sz w:val="24"/>
          <w:szCs w:val="24"/>
          <w:highlight w:val="none"/>
          <w:lang w:val="en-US" w:eastAsia="zh-CN"/>
        </w:rPr>
        <w:t>费用，供应方需提供合法有效的增值税发票。</w:t>
      </w:r>
    </w:p>
    <w:p w14:paraId="7A082CE9">
      <w:pPr>
        <w:keepNext w:val="0"/>
        <w:keepLines w:val="0"/>
        <w:pageBreakBefore w:val="0"/>
        <w:kinsoku/>
        <w:wordWrap/>
        <w:overflowPunct/>
        <w:topLinePunct w:val="0"/>
        <w:autoSpaceDE/>
        <w:autoSpaceDN/>
        <w:bidi w:val="0"/>
        <w:adjustRightInd/>
        <w:spacing w:line="360" w:lineRule="auto"/>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4.3验收标准与要求</w:t>
      </w:r>
    </w:p>
    <w:p w14:paraId="08C60C4E">
      <w:pPr>
        <w:keepNext w:val="0"/>
        <w:keepLines w:val="0"/>
        <w:pageBreakBefore w:val="0"/>
        <w:kinsoku/>
        <w:wordWrap/>
        <w:overflowPunct/>
        <w:topLinePunct w:val="0"/>
        <w:autoSpaceDE/>
        <w:autoSpaceDN/>
        <w:bidi w:val="0"/>
        <w:adjustRightInd/>
        <w:spacing w:line="360" w:lineRule="auto"/>
        <w:ind w:firstLine="480" w:firstLineChars="200"/>
        <w:jc w:val="left"/>
        <w:textAlignment w:val="auto"/>
        <w:outlineLvl w:val="9"/>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供应方按约定，定期给采购方提交服务报告，合同期满或者履行完毕后，采购方根据合同条款的约定对服务期内的服务实施具体情况进行年度考核评价，根据年度考核评价分数进行验收（验收方法和要求在合同中具体约定）。</w:t>
      </w:r>
    </w:p>
    <w:p w14:paraId="7D6B39C2">
      <w:pPr>
        <w:keepNext w:val="0"/>
        <w:keepLines w:val="0"/>
        <w:pageBreakBefore w:val="0"/>
        <w:kinsoku/>
        <w:wordWrap/>
        <w:overflowPunct/>
        <w:topLinePunct w:val="0"/>
        <w:autoSpaceDE/>
        <w:autoSpaceDN/>
        <w:bidi w:val="0"/>
        <w:adjustRightInd/>
        <w:spacing w:line="360" w:lineRule="auto"/>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（2）合同期满或者履行完毕后，采购方有权组织（包括依法邀请国家认可的质量检测机构参加）对乙方履约的验收，即：按照合同约定的标准，组织对乙方履约情况的验收。</w:t>
      </w:r>
    </w:p>
    <w:p w14:paraId="157DED37">
      <w:pPr>
        <w:pStyle w:val="2"/>
        <w:rPr>
          <w:rFonts w:hint="eastAsia" w:ascii="宋体" w:hAnsi="宋体" w:eastAsia="宋体" w:cs="宋体"/>
          <w:color w:val="auto"/>
          <w:sz w:val="24"/>
          <w:szCs w:val="24"/>
          <w:highlight w:val="none"/>
        </w:rPr>
      </w:pPr>
    </w:p>
    <w:p w14:paraId="247FD5A5">
      <w:pPr>
        <w:pStyle w:val="2"/>
        <w:rPr>
          <w:rFonts w:hint="eastAsia" w:ascii="宋体" w:hAnsi="宋体" w:eastAsia="宋体" w:cs="宋体"/>
          <w:color w:val="auto"/>
          <w:sz w:val="24"/>
          <w:szCs w:val="24"/>
          <w:highlight w:val="none"/>
        </w:rPr>
      </w:pPr>
    </w:p>
    <w:p w14:paraId="7E576A61">
      <w:pPr>
        <w:pStyle w:val="2"/>
        <w:rPr>
          <w:rFonts w:hint="eastAsia" w:ascii="宋体" w:hAnsi="宋体" w:eastAsia="宋体" w:cs="宋体"/>
          <w:color w:val="auto"/>
          <w:sz w:val="24"/>
          <w:szCs w:val="24"/>
          <w:highlight w:val="none"/>
        </w:rPr>
      </w:pPr>
    </w:p>
    <w:p w14:paraId="1FA0DB49">
      <w:pPr>
        <w:pStyle w:val="2"/>
        <w:rPr>
          <w:rFonts w:hint="eastAsia" w:ascii="宋体" w:hAnsi="宋体" w:eastAsia="宋体" w:cs="宋体"/>
          <w:color w:val="auto"/>
          <w:sz w:val="24"/>
          <w:szCs w:val="24"/>
          <w:highlight w:val="none"/>
        </w:rPr>
      </w:pPr>
    </w:p>
    <w:p w14:paraId="3830B40E">
      <w:pPr>
        <w:pStyle w:val="2"/>
        <w:rPr>
          <w:rFonts w:hint="eastAsia" w:ascii="宋体" w:hAnsi="宋体" w:eastAsia="宋体" w:cs="宋体"/>
          <w:color w:val="auto"/>
          <w:sz w:val="24"/>
          <w:szCs w:val="24"/>
          <w:highlight w:val="none"/>
        </w:rPr>
      </w:pPr>
    </w:p>
    <w:p w14:paraId="1530D29E">
      <w:pPr>
        <w:pStyle w:val="2"/>
        <w:rPr>
          <w:rFonts w:hint="eastAsia" w:ascii="宋体" w:hAnsi="宋体" w:eastAsia="宋体" w:cs="宋体"/>
          <w:color w:val="auto"/>
          <w:sz w:val="24"/>
          <w:szCs w:val="24"/>
          <w:highlight w:val="none"/>
        </w:rPr>
      </w:pPr>
    </w:p>
    <w:p w14:paraId="24D853B1">
      <w:pPr>
        <w:pStyle w:val="2"/>
        <w:rPr>
          <w:rFonts w:hint="eastAsia" w:ascii="宋体" w:hAnsi="宋体" w:eastAsia="宋体" w:cs="宋体"/>
          <w:color w:val="auto"/>
          <w:sz w:val="24"/>
          <w:szCs w:val="24"/>
          <w:highlight w:val="none"/>
        </w:rPr>
      </w:pPr>
    </w:p>
    <w:p w14:paraId="43A47CB0">
      <w:pPr>
        <w:pStyle w:val="2"/>
        <w:rPr>
          <w:rFonts w:hint="eastAsia" w:ascii="宋体" w:hAnsi="宋体" w:eastAsia="宋体" w:cs="宋体"/>
          <w:color w:val="auto"/>
          <w:sz w:val="24"/>
          <w:szCs w:val="24"/>
          <w:highlight w:val="none"/>
        </w:rPr>
      </w:pPr>
    </w:p>
    <w:p w14:paraId="09458C15">
      <w:pPr>
        <w:pStyle w:val="2"/>
        <w:rPr>
          <w:rFonts w:hint="eastAsia" w:ascii="宋体" w:hAnsi="宋体" w:eastAsia="宋体" w:cs="宋体"/>
          <w:color w:val="auto"/>
          <w:sz w:val="24"/>
          <w:szCs w:val="24"/>
          <w:highlight w:val="none"/>
        </w:rPr>
      </w:pPr>
    </w:p>
    <w:p w14:paraId="7EECF376">
      <w:pPr>
        <w:pStyle w:val="2"/>
        <w:rPr>
          <w:rFonts w:hint="eastAsia" w:ascii="宋体" w:hAnsi="宋体" w:eastAsia="宋体" w:cs="宋体"/>
          <w:color w:val="auto"/>
          <w:sz w:val="24"/>
          <w:szCs w:val="24"/>
          <w:highlight w:val="none"/>
        </w:rPr>
      </w:pPr>
    </w:p>
    <w:p w14:paraId="32207CBE">
      <w:pPr>
        <w:pStyle w:val="2"/>
        <w:rPr>
          <w:rFonts w:hint="eastAsia" w:ascii="宋体" w:hAnsi="宋体" w:eastAsia="宋体" w:cs="宋体"/>
          <w:color w:val="auto"/>
          <w:sz w:val="24"/>
          <w:szCs w:val="24"/>
          <w:highlight w:val="none"/>
        </w:rPr>
      </w:pPr>
    </w:p>
    <w:p w14:paraId="3268BBE3">
      <w:pPr>
        <w:pStyle w:val="2"/>
        <w:rPr>
          <w:rFonts w:hint="eastAsia" w:ascii="宋体" w:hAnsi="宋体" w:eastAsia="宋体" w:cs="宋体"/>
          <w:color w:val="auto"/>
          <w:sz w:val="24"/>
          <w:szCs w:val="24"/>
          <w:highlight w:val="none"/>
        </w:rPr>
      </w:pPr>
    </w:p>
    <w:p w14:paraId="798440FA">
      <w:pPr>
        <w:pStyle w:val="2"/>
        <w:rPr>
          <w:rFonts w:hint="eastAsia" w:ascii="宋体" w:hAnsi="宋体" w:eastAsia="宋体" w:cs="宋体"/>
          <w:color w:val="auto"/>
          <w:sz w:val="24"/>
          <w:szCs w:val="24"/>
          <w:highlight w:val="none"/>
        </w:rPr>
      </w:pPr>
    </w:p>
    <w:p w14:paraId="29A6CC29">
      <w:pPr>
        <w:pStyle w:val="2"/>
        <w:rPr>
          <w:rFonts w:hint="eastAsia" w:ascii="宋体" w:hAnsi="宋体" w:eastAsia="宋体" w:cs="宋体"/>
          <w:color w:val="auto"/>
          <w:sz w:val="24"/>
          <w:szCs w:val="24"/>
          <w:highlight w:val="none"/>
        </w:rPr>
      </w:pPr>
    </w:p>
    <w:p w14:paraId="7360C5E1">
      <w:pPr>
        <w:pStyle w:val="2"/>
        <w:rPr>
          <w:rFonts w:hint="eastAsia" w:ascii="宋体" w:hAnsi="宋体" w:eastAsia="宋体" w:cs="宋体"/>
          <w:color w:val="auto"/>
          <w:sz w:val="24"/>
          <w:szCs w:val="24"/>
          <w:highlight w:val="none"/>
        </w:rPr>
      </w:pPr>
    </w:p>
    <w:p w14:paraId="74729456">
      <w:pPr>
        <w:pStyle w:val="2"/>
        <w:rPr>
          <w:rFonts w:hint="eastAsia" w:ascii="宋体" w:hAnsi="宋体" w:eastAsia="宋体" w:cs="宋体"/>
          <w:color w:val="auto"/>
          <w:sz w:val="24"/>
          <w:szCs w:val="24"/>
          <w:highlight w:val="none"/>
        </w:rPr>
      </w:pPr>
    </w:p>
    <w:p w14:paraId="5DBB0E08">
      <w:pPr>
        <w:pStyle w:val="2"/>
        <w:rPr>
          <w:rFonts w:hint="eastAsia" w:ascii="宋体" w:hAnsi="宋体" w:eastAsia="宋体" w:cs="宋体"/>
          <w:color w:val="auto"/>
          <w:sz w:val="24"/>
          <w:szCs w:val="24"/>
          <w:highlight w:val="none"/>
        </w:rPr>
      </w:pPr>
    </w:p>
    <w:p w14:paraId="27BAEF35">
      <w:pPr>
        <w:pStyle w:val="2"/>
        <w:rPr>
          <w:rFonts w:hint="eastAsia" w:ascii="宋体" w:hAnsi="宋体" w:eastAsia="宋体" w:cs="宋体"/>
          <w:color w:val="auto"/>
          <w:sz w:val="24"/>
          <w:szCs w:val="24"/>
          <w:highlight w:val="none"/>
        </w:rPr>
      </w:pPr>
    </w:p>
    <w:p w14:paraId="1BDA3A99">
      <w:pPr>
        <w:pStyle w:val="2"/>
        <w:rPr>
          <w:rFonts w:hint="eastAsia" w:ascii="宋体" w:hAnsi="宋体" w:eastAsia="宋体" w:cs="宋体"/>
          <w:color w:val="auto"/>
          <w:sz w:val="24"/>
          <w:szCs w:val="24"/>
          <w:highlight w:val="none"/>
        </w:rPr>
      </w:pPr>
    </w:p>
    <w:p w14:paraId="7BDDDF51">
      <w:pPr>
        <w:pStyle w:val="2"/>
        <w:rPr>
          <w:rFonts w:hint="eastAsia" w:ascii="宋体" w:hAnsi="宋体" w:eastAsia="宋体" w:cs="宋体"/>
          <w:color w:val="auto"/>
          <w:sz w:val="24"/>
          <w:szCs w:val="24"/>
          <w:highlight w:val="none"/>
        </w:rPr>
      </w:pPr>
    </w:p>
    <w:p w14:paraId="33683C78">
      <w:pPr>
        <w:pStyle w:val="2"/>
        <w:rPr>
          <w:rFonts w:hint="eastAsia" w:ascii="宋体" w:hAnsi="宋体" w:eastAsia="宋体" w:cs="宋体"/>
          <w:color w:val="auto"/>
          <w:sz w:val="24"/>
          <w:szCs w:val="24"/>
          <w:highlight w:val="none"/>
        </w:rPr>
      </w:pPr>
    </w:p>
    <w:p w14:paraId="20F511B3">
      <w:pPr>
        <w:widowControl w:val="0"/>
        <w:spacing w:line="440" w:lineRule="exact"/>
        <w:jc w:val="both"/>
        <w:rPr>
          <w:rFonts w:hint="default" w:ascii="黑体" w:hAnsi="黑体" w:eastAsia="黑体" w:cs="宋体"/>
          <w:color w:val="auto"/>
          <w:kern w:val="0"/>
          <w:sz w:val="32"/>
          <w:szCs w:val="32"/>
          <w:u w:val="none" w:color="auto"/>
          <w:lang w:val="en-US" w:eastAsia="zh-CN" w:bidi="ar-SA"/>
        </w:rPr>
      </w:pPr>
      <w:ins w:id="0" w:author="金政浩" w:date="2025-11-24T11:38:00Z">
        <w:r>
          <w:rPr>
            <w:rFonts w:hint="eastAsia" w:ascii="黑体" w:hAnsi="黑体" w:eastAsia="黑体" w:cs="宋体"/>
            <w:color w:val="auto"/>
            <w:kern w:val="0"/>
            <w:sz w:val="32"/>
            <w:szCs w:val="32"/>
            <w:u w:val="none" w:color="auto"/>
            <w:lang w:val="en-US" w:eastAsia="zh-CN" w:bidi="ar-SA"/>
          </w:rPr>
          <w:t>合同</w:t>
        </w:r>
      </w:ins>
      <w:r>
        <w:rPr>
          <w:rFonts w:hint="eastAsia" w:ascii="黑体" w:hAnsi="黑体" w:eastAsia="黑体" w:cs="宋体"/>
          <w:color w:val="auto"/>
          <w:kern w:val="0"/>
          <w:sz w:val="32"/>
          <w:szCs w:val="32"/>
          <w:u w:val="none" w:color="auto"/>
          <w:lang w:val="en-US" w:eastAsia="zh-CN" w:bidi="ar-SA"/>
        </w:rPr>
        <w:t>模板</w:t>
      </w:r>
    </w:p>
    <w:p w14:paraId="6DFD8A9D">
      <w:pPr>
        <w:widowControl w:val="0"/>
        <w:spacing w:line="440" w:lineRule="exact"/>
        <w:ind w:firstLine="640" w:firstLineChars="200"/>
        <w:jc w:val="both"/>
        <w:rPr>
          <w:rFonts w:ascii="黑体" w:hAnsi="黑体" w:eastAsia="黑体" w:cs="宋体"/>
          <w:color w:val="auto"/>
          <w:kern w:val="0"/>
          <w:sz w:val="32"/>
          <w:szCs w:val="32"/>
          <w:u w:val="none" w:color="auto"/>
          <w:lang w:val="en-US" w:eastAsia="zh-CN" w:bidi="ar-SA"/>
        </w:rPr>
      </w:pPr>
    </w:p>
    <w:p w14:paraId="73D777D4">
      <w:pPr>
        <w:widowControl w:val="0"/>
        <w:spacing w:line="640" w:lineRule="exact"/>
        <w:jc w:val="center"/>
        <w:rPr>
          <w:rFonts w:hint="eastAsia" w:ascii="方正小标宋简体" w:hAnsi="宋体" w:eastAsia="方正小标宋简体" w:cs="宋体"/>
          <w:color w:val="auto"/>
          <w:kern w:val="0"/>
          <w:sz w:val="44"/>
          <w:szCs w:val="44"/>
          <w:u w:val="none" w:color="auto"/>
          <w:lang w:val="en-US" w:eastAsia="zh-CN" w:bidi="ar-SA"/>
        </w:rPr>
      </w:pPr>
      <w:ins w:id="1" w:author="金政浩" w:date="2025-11-23T21:00:00Z">
        <w:r>
          <w:rPr>
            <w:rFonts w:hint="eastAsia" w:ascii="方正小标宋简体" w:hAnsi="宋体" w:eastAsia="方正小标宋简体" w:cs="宋体"/>
            <w:color w:val="auto"/>
            <w:spacing w:val="-20"/>
            <w:kern w:val="0"/>
            <w:sz w:val="44"/>
            <w:szCs w:val="44"/>
            <w:u w:val="none" w:color="auto"/>
            <w:lang w:val="en-US" w:eastAsia="zh-CN" w:bidi="ar-SA"/>
          </w:rPr>
          <w:t>国家税务总局克拉玛依市克拉玛依区税务局</w:t>
        </w:r>
      </w:ins>
    </w:p>
    <w:p w14:paraId="1BB8429E">
      <w:pPr>
        <w:widowControl w:val="0"/>
        <w:spacing w:line="640" w:lineRule="exact"/>
        <w:jc w:val="center"/>
        <w:rPr>
          <w:rFonts w:ascii="方正小标宋简体" w:hAnsi="宋体" w:eastAsia="方正小标宋简体" w:cs="宋体"/>
          <w:color w:val="auto"/>
          <w:kern w:val="0"/>
          <w:sz w:val="44"/>
          <w:szCs w:val="44"/>
          <w:u w:val="none" w:color="auto"/>
          <w:lang w:val="en-US" w:eastAsia="zh-CN" w:bidi="ar-SA"/>
        </w:rPr>
      </w:pPr>
      <w:r>
        <w:rPr>
          <w:rFonts w:hint="eastAsia" w:ascii="方正小标宋简体" w:hAnsi="宋体" w:eastAsia="方正小标宋简体" w:cs="宋体"/>
          <w:color w:val="auto"/>
          <w:kern w:val="0"/>
          <w:sz w:val="44"/>
          <w:szCs w:val="44"/>
          <w:u w:val="none" w:color="auto"/>
          <w:lang w:val="en-US" w:eastAsia="zh-CN" w:bidi="ar-SA"/>
        </w:rPr>
        <w:t>安保服务项目</w:t>
      </w:r>
    </w:p>
    <w:p w14:paraId="352AA452">
      <w:pPr>
        <w:widowControl w:val="0"/>
        <w:spacing w:line="440" w:lineRule="exact"/>
        <w:ind w:firstLine="480" w:firstLineChars="200"/>
        <w:jc w:val="both"/>
        <w:rPr>
          <w:rFonts w:ascii="宋体" w:hAnsi="宋体" w:eastAsia="宋体" w:cs="宋体"/>
          <w:color w:val="auto"/>
          <w:kern w:val="0"/>
          <w:sz w:val="24"/>
          <w:szCs w:val="24"/>
          <w:u w:val="none" w:color="auto"/>
          <w:lang w:val="en-US" w:eastAsia="zh-CN" w:bidi="ar-SA"/>
        </w:rPr>
      </w:pPr>
    </w:p>
    <w:p w14:paraId="378A15E5">
      <w:pPr>
        <w:widowControl w:val="0"/>
        <w:spacing w:line="440" w:lineRule="exact"/>
        <w:jc w:val="both"/>
        <w:rPr>
          <w:rFonts w:ascii="宋体" w:hAnsi="宋体" w:eastAsia="宋体" w:cs="宋体"/>
          <w:color w:val="auto"/>
          <w:kern w:val="0"/>
          <w:sz w:val="24"/>
          <w:szCs w:val="24"/>
          <w:u w:val="none" w:color="auto"/>
          <w:lang w:val="en-US" w:eastAsia="zh-CN" w:bidi="ar-SA"/>
        </w:rPr>
      </w:pPr>
    </w:p>
    <w:p w14:paraId="381E3B27">
      <w:pPr>
        <w:widowControl w:val="0"/>
        <w:adjustRightInd w:val="0"/>
        <w:snapToGrid w:val="0"/>
        <w:spacing w:line="360" w:lineRule="auto"/>
        <w:ind w:firstLine="420" w:firstLineChars="200"/>
        <w:jc w:val="center"/>
        <w:rPr>
          <w:rFonts w:ascii="宋体" w:hAnsi="宋体" w:eastAsia="宋体" w:cs="宋体"/>
          <w:color w:val="auto"/>
          <w:kern w:val="2"/>
          <w:sz w:val="21"/>
          <w:szCs w:val="20"/>
          <w:u w:val="none" w:color="auto"/>
          <w:lang w:val="en-US" w:eastAsia="zh-CN" w:bidi="ar-SA"/>
        </w:rPr>
      </w:pPr>
    </w:p>
    <w:p w14:paraId="7E0401F5">
      <w:pPr>
        <w:widowControl w:val="0"/>
        <w:spacing w:line="640" w:lineRule="exact"/>
        <w:jc w:val="center"/>
        <w:rPr>
          <w:rFonts w:ascii="方正小标宋简体" w:hAnsi="宋体" w:eastAsia="方正小标宋简体" w:cs="宋体"/>
          <w:color w:val="auto"/>
          <w:kern w:val="0"/>
          <w:sz w:val="44"/>
          <w:szCs w:val="44"/>
          <w:u w:val="none" w:color="auto"/>
          <w:lang w:val="en-US" w:eastAsia="zh-CN" w:bidi="ar-SA"/>
        </w:rPr>
      </w:pPr>
      <w:r>
        <w:rPr>
          <w:rFonts w:hint="eastAsia" w:ascii="方正小标宋简体" w:hAnsi="宋体" w:eastAsia="方正小标宋简体" w:cs="宋体"/>
          <w:color w:val="auto"/>
          <w:kern w:val="0"/>
          <w:sz w:val="44"/>
          <w:szCs w:val="44"/>
          <w:u w:val="none" w:color="auto"/>
          <w:lang w:val="en-US" w:eastAsia="zh-CN" w:bidi="ar-SA"/>
        </w:rPr>
        <w:t>合　　同</w:t>
      </w:r>
    </w:p>
    <w:p w14:paraId="0EBC7DAA">
      <w:pPr>
        <w:widowControl w:val="0"/>
        <w:adjustRightInd w:val="0"/>
        <w:snapToGrid w:val="0"/>
        <w:spacing w:line="360" w:lineRule="auto"/>
        <w:ind w:firstLine="420" w:firstLineChars="200"/>
        <w:jc w:val="center"/>
        <w:rPr>
          <w:rFonts w:ascii="宋体" w:hAnsi="宋体" w:eastAsia="宋体" w:cs="宋体"/>
          <w:color w:val="auto"/>
          <w:kern w:val="2"/>
          <w:sz w:val="21"/>
          <w:szCs w:val="20"/>
          <w:u w:val="none" w:color="auto"/>
          <w:lang w:val="en-US" w:eastAsia="zh-CN" w:bidi="ar-SA"/>
        </w:rPr>
      </w:pPr>
    </w:p>
    <w:p w14:paraId="294C9B68">
      <w:pPr>
        <w:widowControl w:val="0"/>
        <w:adjustRightInd w:val="0"/>
        <w:snapToGrid w:val="0"/>
        <w:spacing w:line="360" w:lineRule="auto"/>
        <w:ind w:firstLine="420" w:firstLineChars="200"/>
        <w:jc w:val="center"/>
        <w:rPr>
          <w:rFonts w:ascii="宋体" w:hAnsi="宋体" w:eastAsia="宋体" w:cs="宋体"/>
          <w:color w:val="auto"/>
          <w:kern w:val="2"/>
          <w:sz w:val="21"/>
          <w:szCs w:val="20"/>
          <w:u w:val="none" w:color="auto"/>
          <w:lang w:val="en-US" w:eastAsia="zh-CN" w:bidi="ar-SA"/>
        </w:rPr>
      </w:pPr>
    </w:p>
    <w:p w14:paraId="0290A4AC">
      <w:pPr>
        <w:widowControl w:val="0"/>
        <w:adjustRightInd w:val="0"/>
        <w:snapToGrid w:val="0"/>
        <w:spacing w:line="360" w:lineRule="auto"/>
        <w:ind w:firstLine="420" w:firstLineChars="200"/>
        <w:jc w:val="center"/>
        <w:rPr>
          <w:rFonts w:ascii="宋体" w:hAnsi="宋体" w:eastAsia="宋体" w:cs="宋体"/>
          <w:color w:val="auto"/>
          <w:kern w:val="2"/>
          <w:sz w:val="21"/>
          <w:szCs w:val="20"/>
          <w:u w:val="none" w:color="auto"/>
          <w:lang w:val="en-US" w:eastAsia="zh-CN" w:bidi="ar-SA"/>
        </w:rPr>
      </w:pPr>
    </w:p>
    <w:p w14:paraId="19D4FD5C">
      <w:pPr>
        <w:widowControl w:val="0"/>
        <w:adjustRightInd w:val="0"/>
        <w:snapToGrid w:val="0"/>
        <w:spacing w:line="360" w:lineRule="auto"/>
        <w:ind w:firstLine="420" w:firstLineChars="200"/>
        <w:jc w:val="center"/>
        <w:rPr>
          <w:rFonts w:ascii="宋体" w:hAnsi="宋体" w:eastAsia="宋体" w:cs="宋体"/>
          <w:color w:val="auto"/>
          <w:kern w:val="2"/>
          <w:sz w:val="21"/>
          <w:szCs w:val="20"/>
          <w:u w:val="none" w:color="auto"/>
          <w:lang w:val="en-US" w:eastAsia="zh-CN" w:bidi="ar-SA"/>
        </w:rPr>
      </w:pPr>
    </w:p>
    <w:p w14:paraId="7A9F0333">
      <w:pPr>
        <w:widowControl w:val="0"/>
        <w:adjustRightInd w:val="0"/>
        <w:snapToGrid w:val="0"/>
        <w:spacing w:line="360" w:lineRule="auto"/>
        <w:ind w:firstLine="420" w:firstLineChars="200"/>
        <w:jc w:val="center"/>
        <w:rPr>
          <w:rFonts w:ascii="宋体" w:hAnsi="宋体" w:eastAsia="宋体" w:cs="宋体"/>
          <w:color w:val="auto"/>
          <w:kern w:val="2"/>
          <w:sz w:val="21"/>
          <w:szCs w:val="20"/>
          <w:u w:val="none" w:color="auto"/>
          <w:lang w:val="en-US" w:eastAsia="zh-CN" w:bidi="ar-SA"/>
        </w:rPr>
      </w:pPr>
    </w:p>
    <w:p w14:paraId="2F31305F">
      <w:pPr>
        <w:widowControl w:val="0"/>
        <w:adjustRightInd w:val="0"/>
        <w:snapToGrid w:val="0"/>
        <w:spacing w:line="360" w:lineRule="auto"/>
        <w:ind w:firstLine="420" w:firstLineChars="200"/>
        <w:jc w:val="center"/>
        <w:rPr>
          <w:rFonts w:ascii="宋体" w:hAnsi="宋体" w:eastAsia="宋体" w:cs="宋体"/>
          <w:color w:val="auto"/>
          <w:kern w:val="2"/>
          <w:sz w:val="21"/>
          <w:szCs w:val="20"/>
          <w:u w:val="none" w:color="auto"/>
          <w:lang w:val="en-US" w:eastAsia="zh-CN" w:bidi="ar-SA"/>
        </w:rPr>
      </w:pPr>
    </w:p>
    <w:p w14:paraId="58D3BACB">
      <w:pPr>
        <w:widowControl w:val="0"/>
        <w:adjustRightInd w:val="0"/>
        <w:snapToGrid w:val="0"/>
        <w:spacing w:line="360" w:lineRule="auto"/>
        <w:ind w:firstLine="420" w:firstLineChars="200"/>
        <w:jc w:val="center"/>
        <w:rPr>
          <w:rFonts w:ascii="宋体" w:hAnsi="宋体" w:eastAsia="宋体" w:cs="宋体"/>
          <w:color w:val="auto"/>
          <w:kern w:val="2"/>
          <w:sz w:val="21"/>
          <w:szCs w:val="20"/>
          <w:u w:val="none" w:color="auto"/>
          <w:lang w:val="en-US" w:eastAsia="zh-CN" w:bidi="ar-SA"/>
        </w:rPr>
      </w:pPr>
    </w:p>
    <w:p w14:paraId="29B6E2CF">
      <w:pPr>
        <w:widowControl w:val="0"/>
        <w:spacing w:line="560" w:lineRule="exact"/>
        <w:ind w:firstLine="640" w:firstLineChars="200"/>
        <w:jc w:val="left"/>
        <w:rPr>
          <w:rFonts w:ascii="仿宋_GB2312" w:hAnsi="宋体" w:eastAsia="仿宋_GB2312" w:cs="宋体"/>
          <w:color w:val="auto"/>
          <w:kern w:val="0"/>
          <w:sz w:val="32"/>
          <w:szCs w:val="32"/>
          <w:u w:val="none" w:color="auto"/>
          <w:lang w:val="en-US" w:eastAsia="zh-CN" w:bidi="ar-SA"/>
        </w:rPr>
      </w:pPr>
      <w:r>
        <w:rPr>
          <w:rFonts w:hint="eastAsia" w:ascii="仿宋_GB2312" w:hAnsi="宋体" w:eastAsia="仿宋_GB2312" w:cs="宋体"/>
          <w:color w:val="auto"/>
          <w:kern w:val="0"/>
          <w:sz w:val="32"/>
          <w:szCs w:val="32"/>
          <w:u w:val="none" w:color="auto"/>
          <w:lang w:val="en-US" w:eastAsia="zh-CN" w:bidi="ar-SA"/>
        </w:rPr>
        <w:t xml:space="preserve">合同编号：                              </w:t>
      </w:r>
    </w:p>
    <w:p w14:paraId="5EE93D65">
      <w:pPr>
        <w:widowControl w:val="0"/>
        <w:spacing w:line="560" w:lineRule="exact"/>
        <w:ind w:firstLine="640" w:firstLineChars="200"/>
        <w:jc w:val="left"/>
        <w:rPr>
          <w:rFonts w:ascii="仿宋_GB2312" w:hAnsi="宋体" w:eastAsia="仿宋_GB2312" w:cs="宋体"/>
          <w:color w:val="auto"/>
          <w:kern w:val="0"/>
          <w:sz w:val="32"/>
          <w:szCs w:val="32"/>
          <w:u w:val="none" w:color="auto"/>
          <w:lang w:val="en-US" w:eastAsia="zh-CN" w:bidi="ar-SA"/>
        </w:rPr>
      </w:pPr>
      <w:r>
        <w:rPr>
          <w:rFonts w:hint="eastAsia" w:ascii="仿宋_GB2312" w:hAnsi="宋体" w:eastAsia="仿宋_GB2312" w:cs="宋体"/>
          <w:color w:val="auto"/>
          <w:kern w:val="0"/>
          <w:sz w:val="32"/>
          <w:szCs w:val="32"/>
          <w:u w:val="none" w:color="auto"/>
          <w:lang w:val="en-US" w:eastAsia="zh-CN" w:bidi="ar-SA"/>
        </w:rPr>
        <w:tab/>
      </w:r>
      <w:r>
        <w:rPr>
          <w:rFonts w:hint="eastAsia" w:ascii="仿宋_GB2312" w:hAnsi="宋体" w:eastAsia="仿宋_GB2312" w:cs="宋体"/>
          <w:color w:val="auto"/>
          <w:kern w:val="0"/>
          <w:sz w:val="32"/>
          <w:szCs w:val="32"/>
          <w:u w:val="none" w:color="auto"/>
          <w:lang w:val="en-US" w:eastAsia="zh-CN" w:bidi="ar-SA"/>
        </w:rPr>
        <w:tab/>
      </w:r>
      <w:r>
        <w:rPr>
          <w:rFonts w:hint="eastAsia" w:ascii="仿宋_GB2312" w:hAnsi="宋体" w:eastAsia="仿宋_GB2312" w:cs="宋体"/>
          <w:color w:val="auto"/>
          <w:kern w:val="0"/>
          <w:sz w:val="32"/>
          <w:szCs w:val="32"/>
          <w:u w:val="none" w:color="auto"/>
          <w:lang w:val="en-US" w:eastAsia="zh-CN" w:bidi="ar-SA"/>
        </w:rPr>
        <w:tab/>
      </w:r>
    </w:p>
    <w:p w14:paraId="745F267E">
      <w:pPr>
        <w:widowControl w:val="0"/>
        <w:spacing w:line="560" w:lineRule="exact"/>
        <w:ind w:firstLine="640" w:firstLineChars="200"/>
        <w:jc w:val="left"/>
        <w:rPr>
          <w:rFonts w:hint="eastAsia" w:ascii="仿宋_GB2312" w:hAnsi="宋体" w:eastAsia="仿宋_GB2312" w:cs="宋体"/>
          <w:color w:val="auto"/>
          <w:kern w:val="0"/>
          <w:sz w:val="32"/>
          <w:szCs w:val="32"/>
          <w:u w:val="none" w:color="auto"/>
          <w:lang w:val="en-US" w:eastAsia="zh-CN" w:bidi="ar-SA"/>
        </w:rPr>
      </w:pPr>
      <w:r>
        <w:rPr>
          <w:rFonts w:hint="eastAsia" w:ascii="仿宋_GB2312" w:hAnsi="宋体" w:eastAsia="仿宋_GB2312" w:cs="宋体"/>
          <w:color w:val="auto"/>
          <w:kern w:val="0"/>
          <w:sz w:val="32"/>
          <w:szCs w:val="32"/>
          <w:u w:val="none" w:color="auto"/>
          <w:lang w:val="en-US" w:eastAsia="zh-CN" w:bidi="ar-SA"/>
        </w:rPr>
        <w:t>甲　　方：</w:t>
      </w:r>
      <w:ins w:id="2" w:author="金政浩" w:date="2025-11-23T21:00:00Z">
        <w:r>
          <w:rPr>
            <w:rFonts w:hint="eastAsia" w:ascii="仿宋_GB2312" w:hAnsi="宋体" w:eastAsia="仿宋_GB2312" w:cs="宋体"/>
            <w:color w:val="auto"/>
            <w:kern w:val="0"/>
            <w:sz w:val="32"/>
            <w:szCs w:val="32"/>
            <w:u w:val="none" w:color="auto"/>
            <w:lang w:val="en-US" w:eastAsia="zh-CN" w:bidi="ar-SA"/>
          </w:rPr>
          <w:t>国家税务总局克拉玛依市克拉玛依区税务局</w:t>
        </w:r>
      </w:ins>
    </w:p>
    <w:p w14:paraId="7F3FC0AD">
      <w:pPr>
        <w:widowControl w:val="0"/>
        <w:spacing w:line="560" w:lineRule="exact"/>
        <w:ind w:firstLine="640" w:firstLineChars="200"/>
        <w:jc w:val="left"/>
        <w:rPr>
          <w:rFonts w:ascii="仿宋_GB2312" w:hAnsi="宋体" w:eastAsia="仿宋_GB2312" w:cs="宋体"/>
          <w:color w:val="auto"/>
          <w:kern w:val="0"/>
          <w:sz w:val="32"/>
          <w:szCs w:val="32"/>
          <w:u w:val="none" w:color="auto"/>
          <w:lang w:val="en-US" w:eastAsia="zh-CN" w:bidi="ar-SA"/>
        </w:rPr>
      </w:pPr>
    </w:p>
    <w:p w14:paraId="3EF34AE1">
      <w:pPr>
        <w:widowControl w:val="0"/>
        <w:spacing w:line="560" w:lineRule="exact"/>
        <w:ind w:firstLine="640" w:firstLineChars="200"/>
        <w:jc w:val="left"/>
        <w:rPr>
          <w:rFonts w:ascii="仿宋_GB2312" w:hAnsi="宋体" w:eastAsia="仿宋_GB2312" w:cs="宋体"/>
          <w:color w:val="auto"/>
          <w:kern w:val="0"/>
          <w:sz w:val="32"/>
          <w:szCs w:val="32"/>
          <w:u w:val="none" w:color="auto"/>
          <w:lang w:val="en-US" w:eastAsia="zh-CN" w:bidi="ar-SA"/>
        </w:rPr>
      </w:pPr>
      <w:r>
        <w:rPr>
          <w:rFonts w:hint="eastAsia" w:ascii="仿宋_GB2312" w:hAnsi="宋体" w:eastAsia="仿宋_GB2312" w:cs="宋体"/>
          <w:color w:val="auto"/>
          <w:kern w:val="0"/>
          <w:sz w:val="32"/>
          <w:szCs w:val="32"/>
          <w:u w:val="none" w:color="auto"/>
          <w:lang w:val="en-US" w:eastAsia="zh-CN" w:bidi="ar-SA"/>
        </w:rPr>
        <w:t xml:space="preserve">乙　　方： (乙方名称)                     </w:t>
      </w:r>
    </w:p>
    <w:p w14:paraId="608C6D4C">
      <w:pPr>
        <w:widowControl w:val="0"/>
        <w:spacing w:line="520" w:lineRule="exact"/>
        <w:ind w:firstLine="480" w:firstLineChars="200"/>
        <w:jc w:val="both"/>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br w:type="page"/>
      </w:r>
      <w:r>
        <w:rPr>
          <w:rFonts w:hint="eastAsia" w:ascii="宋体" w:hAnsi="宋体" w:eastAsia="宋体" w:cs="宋体"/>
          <w:color w:val="auto"/>
          <w:kern w:val="0"/>
          <w:sz w:val="24"/>
          <w:szCs w:val="24"/>
          <w:u w:val="none" w:color="auto"/>
          <w:lang w:val="en-US" w:eastAsia="zh-CN" w:bidi="ar-SA"/>
        </w:rPr>
        <w:t>根据《中华人民共和国政府采购法》、《中华人民共和国民法典》等有关法律法规规定，</w:t>
      </w:r>
      <w:ins w:id="3" w:author="金政浩" w:date="2025-11-23T21:00:00Z">
        <w:r>
          <w:rPr>
            <w:rFonts w:hint="eastAsia" w:ascii="宋体" w:hAnsi="宋体" w:eastAsia="宋体" w:cs="宋体"/>
            <w:color w:val="auto"/>
            <w:kern w:val="0"/>
            <w:sz w:val="24"/>
            <w:szCs w:val="24"/>
            <w:u w:val="none" w:color="auto"/>
            <w:lang w:val="en-US" w:eastAsia="zh-CN" w:bidi="ar-SA"/>
          </w:rPr>
          <w:t>国家税务总局克拉玛依市克拉玛依区税务局</w:t>
        </w:r>
      </w:ins>
      <w:r>
        <w:rPr>
          <w:rFonts w:hint="eastAsia" w:ascii="宋体" w:hAnsi="宋体" w:eastAsia="宋体" w:cs="宋体"/>
          <w:color w:val="auto"/>
          <w:kern w:val="0"/>
          <w:sz w:val="24"/>
          <w:szCs w:val="24"/>
          <w:u w:val="none" w:color="auto"/>
          <w:lang w:val="en-US" w:eastAsia="zh-CN" w:bidi="ar-SA"/>
        </w:rPr>
        <w:t>(以下简称：“甲方”)通过简易磋商采购确定 (乙方名称)(以下简称：“乙方”)为</w:t>
      </w:r>
      <w:ins w:id="4" w:author="金政浩" w:date="2025-11-23T21:00:00Z">
        <w:r>
          <w:rPr>
            <w:rFonts w:hint="eastAsia" w:ascii="宋体" w:hAnsi="宋体" w:eastAsia="宋体" w:cs="宋体"/>
            <w:color w:val="auto"/>
            <w:kern w:val="0"/>
            <w:sz w:val="24"/>
            <w:szCs w:val="24"/>
            <w:u w:val="none" w:color="auto"/>
            <w:lang w:val="en-US" w:eastAsia="zh-CN" w:bidi="ar-SA"/>
          </w:rPr>
          <w:t>国家税务总局克拉玛依市克拉玛依区税务局</w:t>
        </w:r>
      </w:ins>
      <w:r>
        <w:rPr>
          <w:rFonts w:hint="eastAsia" w:ascii="宋体" w:hAnsi="宋体" w:eastAsia="宋体" w:cs="宋体"/>
          <w:color w:val="auto"/>
          <w:kern w:val="0"/>
          <w:sz w:val="24"/>
          <w:szCs w:val="24"/>
          <w:u w:val="none" w:color="auto"/>
          <w:lang w:val="en-US" w:eastAsia="zh-CN" w:bidi="ar-SA"/>
        </w:rPr>
        <w:t>安保服务项目的乙方。甲乙双方同意签署《</w:t>
      </w:r>
      <w:ins w:id="5" w:author="金政浩" w:date="2025-11-23T21:00:00Z">
        <w:r>
          <w:rPr>
            <w:rFonts w:hint="eastAsia" w:ascii="宋体" w:hAnsi="宋体" w:eastAsia="宋体" w:cs="宋体"/>
            <w:color w:val="auto"/>
            <w:kern w:val="0"/>
            <w:sz w:val="24"/>
            <w:szCs w:val="24"/>
            <w:u w:val="none" w:color="auto"/>
            <w:lang w:val="en-US" w:eastAsia="zh-CN" w:bidi="ar-SA"/>
          </w:rPr>
          <w:t>国家税务总局克拉玛依市克拉玛依区税务局</w:t>
        </w:r>
      </w:ins>
      <w:r>
        <w:rPr>
          <w:rFonts w:hint="eastAsia" w:ascii="宋体" w:hAnsi="宋体" w:eastAsia="宋体" w:cs="宋体"/>
          <w:color w:val="auto"/>
          <w:kern w:val="0"/>
          <w:sz w:val="24"/>
          <w:szCs w:val="24"/>
          <w:u w:val="none" w:color="auto"/>
          <w:lang w:val="en-US" w:eastAsia="zh-CN" w:bidi="ar-SA"/>
        </w:rPr>
        <w:t>安保服务项目合同》(合同编号：         ，以下简称：“合同”)。</w:t>
      </w:r>
    </w:p>
    <w:p w14:paraId="459774A5">
      <w:pPr>
        <w:widowControl w:val="0"/>
        <w:spacing w:line="520" w:lineRule="exact"/>
        <w:ind w:firstLine="480" w:firstLineChars="200"/>
        <w:jc w:val="both"/>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1.合同文件</w:t>
      </w:r>
    </w:p>
    <w:p w14:paraId="0378E6EB">
      <w:pPr>
        <w:widowControl w:val="0"/>
        <w:spacing w:line="520" w:lineRule="exact"/>
        <w:ind w:firstLine="480" w:firstLineChars="200"/>
        <w:jc w:val="both"/>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下列文件是构成本合同不可分割的部分：</w:t>
      </w:r>
    </w:p>
    <w:p w14:paraId="0771585A">
      <w:pPr>
        <w:widowControl w:val="0"/>
        <w:spacing w:line="520" w:lineRule="exact"/>
        <w:ind w:firstLine="360" w:firstLineChars="150"/>
        <w:jc w:val="both"/>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 xml:space="preserve"> (1)合同条款；</w:t>
      </w:r>
    </w:p>
    <w:p w14:paraId="5CEC6F2F">
      <w:pPr>
        <w:widowControl w:val="0"/>
        <w:spacing w:line="520" w:lineRule="exact"/>
        <w:ind w:firstLine="480" w:firstLineChars="200"/>
        <w:jc w:val="both"/>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(2)报价表；</w:t>
      </w:r>
    </w:p>
    <w:p w14:paraId="6EFCC934">
      <w:pPr>
        <w:widowControl w:val="0"/>
        <w:spacing w:line="520" w:lineRule="exact"/>
        <w:ind w:firstLine="480" w:firstLineChars="200"/>
        <w:jc w:val="both"/>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(3)投标文件技术部分（如有）；</w:t>
      </w:r>
    </w:p>
    <w:p w14:paraId="3DE5FA26">
      <w:pPr>
        <w:widowControl w:val="0"/>
        <w:spacing w:line="520" w:lineRule="exact"/>
        <w:ind w:firstLine="360" w:firstLineChars="150"/>
        <w:jc w:val="both"/>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（4）履约保证金电汇单（如有）；</w:t>
      </w:r>
    </w:p>
    <w:p w14:paraId="5A23137D">
      <w:pPr>
        <w:widowControl w:val="0"/>
        <w:spacing w:line="520" w:lineRule="exact"/>
        <w:ind w:firstLine="360" w:firstLineChars="150"/>
        <w:jc w:val="both"/>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（5）其他（如有）。</w:t>
      </w:r>
    </w:p>
    <w:p w14:paraId="311E220C">
      <w:pPr>
        <w:widowControl w:val="0"/>
        <w:spacing w:line="520" w:lineRule="exact"/>
        <w:ind w:firstLine="480" w:firstLineChars="200"/>
        <w:jc w:val="both"/>
        <w:rPr>
          <w:rFonts w:ascii="宋体" w:hAnsi="宋体" w:eastAsia="宋体" w:cs="宋体"/>
          <w:color w:val="auto"/>
          <w:kern w:val="0"/>
          <w:sz w:val="24"/>
          <w:szCs w:val="24"/>
          <w:u w:val="none" w:color="auto"/>
          <w:lang w:val="en-US" w:eastAsia="zh-CN" w:bidi="ar-SA"/>
        </w:rPr>
      </w:pPr>
    </w:p>
    <w:p w14:paraId="194BC217">
      <w:pPr>
        <w:widowControl w:val="0"/>
        <w:spacing w:line="520" w:lineRule="exact"/>
        <w:ind w:firstLine="480" w:firstLineChars="200"/>
        <w:jc w:val="both"/>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2.合同标的(详情见招投标文件)</w:t>
      </w:r>
    </w:p>
    <w:p w14:paraId="2B83456D">
      <w:pPr>
        <w:widowControl w:val="0"/>
        <w:spacing w:line="520" w:lineRule="exact"/>
        <w:ind w:firstLine="480" w:firstLineChars="200"/>
        <w:jc w:val="both"/>
        <w:rPr>
          <w:rFonts w:hint="eastAsia"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安保服务包括基本服务、安保服务、建筑消防设施日常运行维保服务以及其他服务等。</w:t>
      </w:r>
    </w:p>
    <w:p w14:paraId="39073F4C">
      <w:pPr>
        <w:widowControl w:val="0"/>
        <w:spacing w:line="520" w:lineRule="exact"/>
        <w:ind w:firstLine="480" w:firstLineChars="200"/>
        <w:jc w:val="both"/>
        <w:rPr>
          <w:rFonts w:hint="eastAsia" w:ascii="宋体" w:hAnsi="宋体" w:eastAsia="宋体" w:cs="宋体"/>
          <w:color w:val="auto"/>
          <w:kern w:val="0"/>
          <w:sz w:val="24"/>
          <w:szCs w:val="24"/>
          <w:u w:val="none" w:color="auto"/>
          <w:lang w:val="en-US" w:eastAsia="zh-CN" w:bidi="ar-SA"/>
        </w:rPr>
      </w:pPr>
    </w:p>
    <w:p w14:paraId="536DAA4F">
      <w:pPr>
        <w:widowControl w:val="0"/>
        <w:spacing w:line="520" w:lineRule="exact"/>
        <w:ind w:firstLine="480" w:firstLineChars="200"/>
        <w:jc w:val="both"/>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3.合同金额</w:t>
      </w:r>
    </w:p>
    <w:p w14:paraId="26CCC2F3">
      <w:pPr>
        <w:widowControl w:val="0"/>
        <w:spacing w:line="520" w:lineRule="exact"/>
        <w:ind w:firstLine="480" w:firstLineChars="200"/>
        <w:jc w:val="both"/>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本合同总金额为人民币______元(￥______)。本合同项下所有服务的全部税费均已包含于合同价中，甲方不再另行支付。</w:t>
      </w:r>
    </w:p>
    <w:p w14:paraId="45875EB1">
      <w:pPr>
        <w:widowControl w:val="0"/>
        <w:spacing w:line="520" w:lineRule="exact"/>
        <w:ind w:firstLine="480" w:firstLineChars="200"/>
        <w:jc w:val="both"/>
        <w:rPr>
          <w:rFonts w:ascii="宋体" w:hAnsi="宋体" w:eastAsia="宋体" w:cs="宋体"/>
          <w:color w:val="auto"/>
          <w:kern w:val="0"/>
          <w:sz w:val="24"/>
          <w:szCs w:val="24"/>
          <w:u w:val="none" w:color="auto"/>
          <w:lang w:val="en-US" w:eastAsia="zh-CN" w:bidi="ar-SA"/>
        </w:rPr>
      </w:pPr>
    </w:p>
    <w:p w14:paraId="1CDAA090">
      <w:pPr>
        <w:widowControl w:val="0"/>
        <w:spacing w:line="520" w:lineRule="exact"/>
        <w:ind w:firstLine="480" w:firstLineChars="200"/>
        <w:jc w:val="both"/>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4.合同签订地</w:t>
      </w:r>
    </w:p>
    <w:p w14:paraId="5D27A4DA">
      <w:pPr>
        <w:widowControl w:val="0"/>
        <w:spacing w:line="520" w:lineRule="exact"/>
        <w:ind w:firstLine="480" w:firstLineChars="200"/>
        <w:jc w:val="both"/>
        <w:rPr>
          <w:rFonts w:hint="eastAsia" w:ascii="宋体" w:hAnsi="宋体" w:eastAsia="宋体" w:cs="宋体"/>
          <w:color w:val="auto"/>
          <w:kern w:val="0"/>
          <w:sz w:val="24"/>
          <w:szCs w:val="24"/>
          <w:u w:val="none" w:color="auto"/>
          <w:lang w:val="en-US" w:eastAsia="zh-CN" w:bidi="ar-SA"/>
        </w:rPr>
      </w:pPr>
      <w:ins w:id="6" w:author="金政浩" w:date="2025-11-23T21:01:00Z">
        <w:r>
          <w:rPr>
            <w:rFonts w:hint="eastAsia" w:ascii="宋体" w:hAnsi="宋体" w:eastAsia="宋体" w:cs="宋体"/>
            <w:color w:val="auto"/>
            <w:kern w:val="0"/>
            <w:sz w:val="24"/>
            <w:szCs w:val="24"/>
            <w:u w:val="none" w:color="auto"/>
            <w:lang w:val="en-US" w:eastAsia="zh-CN" w:bidi="ar-SA"/>
          </w:rPr>
          <w:t>新疆克拉玛依市迎宾路46号</w:t>
        </w:r>
      </w:ins>
    </w:p>
    <w:p w14:paraId="2F59E253">
      <w:pPr>
        <w:widowControl w:val="0"/>
        <w:spacing w:line="520" w:lineRule="exact"/>
        <w:ind w:firstLine="480" w:firstLineChars="200"/>
        <w:jc w:val="both"/>
        <w:rPr>
          <w:rFonts w:ascii="宋体" w:hAnsi="宋体" w:eastAsia="宋体" w:cs="宋体"/>
          <w:color w:val="auto"/>
          <w:kern w:val="0"/>
          <w:sz w:val="24"/>
          <w:szCs w:val="24"/>
          <w:u w:val="none" w:color="auto"/>
          <w:lang w:val="en-US" w:eastAsia="zh-CN" w:bidi="ar-SA"/>
        </w:rPr>
      </w:pPr>
    </w:p>
    <w:p w14:paraId="1336AA1F">
      <w:pPr>
        <w:widowControl w:val="0"/>
        <w:spacing w:line="520" w:lineRule="exact"/>
        <w:ind w:firstLine="480" w:firstLineChars="200"/>
        <w:jc w:val="both"/>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5.合同生效</w:t>
      </w:r>
    </w:p>
    <w:p w14:paraId="239D8823">
      <w:pPr>
        <w:pStyle w:val="33"/>
        <w:spacing w:line="520" w:lineRule="exact"/>
        <w:ind w:firstLine="480" w:firstLineChars="200"/>
        <w:rPr>
          <w:rFonts w:hAnsi="宋体" w:cs="宋体"/>
          <w:color w:val="auto"/>
          <w:sz w:val="24"/>
          <w:szCs w:val="24"/>
          <w:u w:val="none" w:color="auto"/>
        </w:rPr>
      </w:pPr>
      <w:r>
        <w:rPr>
          <w:rFonts w:hint="eastAsia" w:hAnsi="宋体" w:cs="宋体"/>
          <w:color w:val="auto"/>
          <w:sz w:val="24"/>
          <w:szCs w:val="24"/>
          <w:u w:val="none" w:color="auto"/>
        </w:rPr>
        <w:t>本合同一式</w:t>
      </w:r>
      <w:r>
        <w:rPr>
          <w:rFonts w:hint="eastAsia" w:hAnsi="宋体" w:cs="宋体"/>
          <w:color w:val="auto"/>
          <w:sz w:val="24"/>
          <w:szCs w:val="24"/>
          <w:u w:val="single" w:color="auto"/>
        </w:rPr>
        <w:t>_</w:t>
      </w:r>
      <w:r>
        <w:rPr>
          <w:rFonts w:hint="eastAsia" w:hAnsi="宋体" w:cs="宋体"/>
          <w:color w:val="auto"/>
          <w:sz w:val="24"/>
          <w:szCs w:val="24"/>
          <w:u w:val="single" w:color="auto"/>
          <w:lang w:val="en-US" w:eastAsia="zh-CN"/>
        </w:rPr>
        <w:t>肆</w:t>
      </w:r>
      <w:r>
        <w:rPr>
          <w:rFonts w:hint="eastAsia" w:hAnsi="宋体" w:cs="宋体"/>
          <w:color w:val="auto"/>
          <w:sz w:val="24"/>
          <w:szCs w:val="24"/>
          <w:u w:val="single" w:color="auto"/>
        </w:rPr>
        <w:t>_</w:t>
      </w:r>
      <w:r>
        <w:rPr>
          <w:rFonts w:hint="eastAsia" w:hAnsi="宋体" w:cs="宋体"/>
          <w:color w:val="auto"/>
          <w:sz w:val="24"/>
          <w:szCs w:val="24"/>
          <w:u w:val="none" w:color="auto"/>
        </w:rPr>
        <w:t>份，甲方执</w:t>
      </w:r>
      <w:r>
        <w:rPr>
          <w:rFonts w:hint="eastAsia" w:hAnsi="宋体" w:cs="宋体"/>
          <w:color w:val="auto"/>
          <w:sz w:val="24"/>
          <w:szCs w:val="24"/>
          <w:u w:val="single" w:color="auto"/>
        </w:rPr>
        <w:t>_</w:t>
      </w:r>
      <w:r>
        <w:rPr>
          <w:rFonts w:hint="eastAsia" w:hAnsi="宋体" w:cs="宋体"/>
          <w:color w:val="auto"/>
          <w:sz w:val="24"/>
          <w:szCs w:val="24"/>
          <w:u w:val="single" w:color="auto"/>
          <w:lang w:val="en-US" w:eastAsia="zh-CN"/>
        </w:rPr>
        <w:t>两</w:t>
      </w:r>
      <w:r>
        <w:rPr>
          <w:rFonts w:hint="eastAsia" w:hAnsi="宋体" w:cs="宋体"/>
          <w:color w:val="auto"/>
          <w:sz w:val="24"/>
          <w:szCs w:val="24"/>
          <w:u w:val="single" w:color="auto"/>
        </w:rPr>
        <w:t>_</w:t>
      </w:r>
      <w:r>
        <w:rPr>
          <w:rFonts w:hint="eastAsia" w:hAnsi="宋体" w:cs="宋体"/>
          <w:color w:val="auto"/>
          <w:sz w:val="24"/>
          <w:szCs w:val="24"/>
          <w:u w:val="none" w:color="auto"/>
        </w:rPr>
        <w:t>份，乙方执</w:t>
      </w:r>
      <w:r>
        <w:rPr>
          <w:rFonts w:hint="eastAsia" w:hAnsi="宋体" w:cs="宋体"/>
          <w:color w:val="auto"/>
          <w:sz w:val="24"/>
          <w:szCs w:val="24"/>
          <w:u w:val="single" w:color="auto"/>
        </w:rPr>
        <w:t>_</w:t>
      </w:r>
      <w:r>
        <w:rPr>
          <w:rFonts w:hint="eastAsia" w:hAnsi="宋体" w:cs="宋体"/>
          <w:color w:val="auto"/>
          <w:sz w:val="24"/>
          <w:szCs w:val="24"/>
          <w:u w:val="single" w:color="auto"/>
          <w:lang w:val="en-US" w:eastAsia="zh-CN"/>
        </w:rPr>
        <w:t>两</w:t>
      </w:r>
      <w:r>
        <w:rPr>
          <w:rFonts w:hint="eastAsia" w:hAnsi="宋体" w:cs="宋体"/>
          <w:color w:val="auto"/>
          <w:sz w:val="24"/>
          <w:szCs w:val="24"/>
          <w:u w:val="single" w:color="auto"/>
        </w:rPr>
        <w:t>_</w:t>
      </w:r>
      <w:r>
        <w:rPr>
          <w:rFonts w:hint="eastAsia" w:hAnsi="宋体" w:cs="宋体"/>
          <w:color w:val="auto"/>
          <w:sz w:val="24"/>
          <w:szCs w:val="24"/>
          <w:u w:val="none" w:color="auto"/>
        </w:rPr>
        <w:t>份，经甲乙双方法定代表人或其授权代表签字盖章后生效。</w:t>
      </w:r>
    </w:p>
    <w:p w14:paraId="15C69010">
      <w:pPr>
        <w:widowControl w:val="0"/>
        <w:spacing w:line="520" w:lineRule="exact"/>
        <w:ind w:firstLine="480" w:firstLineChars="200"/>
        <w:jc w:val="both"/>
        <w:rPr>
          <w:rFonts w:hint="eastAsia"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甲方：</w:t>
      </w:r>
      <w:ins w:id="7" w:author="金政浩" w:date="2025-11-23T21:00:00Z">
        <w:r>
          <w:rPr>
            <w:rFonts w:hint="eastAsia" w:ascii="宋体" w:hAnsi="宋体" w:eastAsia="宋体" w:cs="宋体"/>
            <w:color w:val="auto"/>
            <w:kern w:val="0"/>
            <w:sz w:val="24"/>
            <w:szCs w:val="24"/>
            <w:u w:val="none" w:color="auto"/>
            <w:lang w:val="en-US" w:eastAsia="zh-CN" w:bidi="ar-SA"/>
          </w:rPr>
          <w:t>国家税务总局克拉玛依市克拉玛依区税务局</w:t>
        </w:r>
      </w:ins>
    </w:p>
    <w:p w14:paraId="0D0B710F">
      <w:pPr>
        <w:widowControl w:val="0"/>
        <w:spacing w:line="520" w:lineRule="exact"/>
        <w:ind w:firstLine="480" w:firstLineChars="200"/>
        <w:jc w:val="both"/>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法定代表人或其授权代表签字(签章)：</w:t>
      </w:r>
    </w:p>
    <w:p w14:paraId="65487E6B">
      <w:pPr>
        <w:widowControl w:val="0"/>
        <w:spacing w:line="520" w:lineRule="exact"/>
        <w:ind w:firstLine="480" w:firstLineChars="200"/>
        <w:jc w:val="both"/>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盖章：</w:t>
      </w:r>
      <w:r>
        <w:rPr>
          <w:rFonts w:hint="eastAsia" w:ascii="宋体" w:hAnsi="宋体" w:eastAsia="宋体" w:cs="宋体"/>
          <w:color w:val="auto"/>
          <w:kern w:val="0"/>
          <w:sz w:val="24"/>
          <w:szCs w:val="24"/>
          <w:u w:val="none" w:color="auto"/>
          <w:lang w:val="en-US" w:eastAsia="zh-CN" w:bidi="ar-SA"/>
        </w:rPr>
        <w:tab/>
      </w:r>
      <w:r>
        <w:rPr>
          <w:rFonts w:hint="eastAsia" w:ascii="宋体" w:hAnsi="宋体" w:eastAsia="宋体" w:cs="宋体"/>
          <w:color w:val="auto"/>
          <w:kern w:val="0"/>
          <w:sz w:val="24"/>
          <w:szCs w:val="24"/>
          <w:u w:val="none" w:color="auto"/>
          <w:lang w:val="en-US" w:eastAsia="zh-CN" w:bidi="ar-SA"/>
        </w:rPr>
        <w:tab/>
      </w:r>
      <w:r>
        <w:rPr>
          <w:rFonts w:hint="eastAsia" w:ascii="宋体" w:hAnsi="宋体" w:eastAsia="宋体" w:cs="宋体"/>
          <w:color w:val="auto"/>
          <w:kern w:val="0"/>
          <w:sz w:val="24"/>
          <w:szCs w:val="24"/>
          <w:u w:val="none" w:color="auto"/>
          <w:lang w:val="en-US" w:eastAsia="zh-CN" w:bidi="ar-SA"/>
        </w:rPr>
        <w:tab/>
      </w:r>
      <w:r>
        <w:rPr>
          <w:rFonts w:hint="eastAsia" w:ascii="宋体" w:hAnsi="宋体" w:eastAsia="宋体" w:cs="宋体"/>
          <w:color w:val="auto"/>
          <w:kern w:val="0"/>
          <w:sz w:val="24"/>
          <w:szCs w:val="24"/>
          <w:u w:val="none" w:color="auto"/>
          <w:lang w:val="en-US" w:eastAsia="zh-CN" w:bidi="ar-SA"/>
        </w:rPr>
        <w:tab/>
      </w:r>
      <w:r>
        <w:rPr>
          <w:rFonts w:hint="eastAsia" w:ascii="宋体" w:hAnsi="宋体" w:eastAsia="宋体" w:cs="宋体"/>
          <w:color w:val="auto"/>
          <w:kern w:val="0"/>
          <w:sz w:val="24"/>
          <w:szCs w:val="24"/>
          <w:u w:val="none" w:color="auto"/>
          <w:lang w:val="en-US" w:eastAsia="zh-CN" w:bidi="ar-SA"/>
        </w:rPr>
        <w:tab/>
      </w:r>
      <w:r>
        <w:rPr>
          <w:rFonts w:hint="eastAsia" w:ascii="宋体" w:hAnsi="宋体" w:eastAsia="宋体" w:cs="宋体"/>
          <w:color w:val="auto"/>
          <w:kern w:val="0"/>
          <w:sz w:val="24"/>
          <w:szCs w:val="24"/>
          <w:u w:val="none" w:color="auto"/>
          <w:lang w:val="en-US" w:eastAsia="zh-CN" w:bidi="ar-SA"/>
        </w:rPr>
        <w:tab/>
      </w:r>
      <w:r>
        <w:rPr>
          <w:rFonts w:hint="eastAsia" w:ascii="宋体" w:hAnsi="宋体" w:eastAsia="宋体" w:cs="宋体"/>
          <w:color w:val="auto"/>
          <w:kern w:val="0"/>
          <w:sz w:val="24"/>
          <w:szCs w:val="24"/>
          <w:u w:val="none" w:color="auto"/>
          <w:lang w:val="en-US" w:eastAsia="zh-CN" w:bidi="ar-SA"/>
        </w:rPr>
        <w:tab/>
      </w:r>
      <w:r>
        <w:rPr>
          <w:rFonts w:hint="eastAsia" w:ascii="宋体" w:hAnsi="宋体" w:eastAsia="宋体" w:cs="宋体"/>
          <w:color w:val="auto"/>
          <w:kern w:val="0"/>
          <w:sz w:val="24"/>
          <w:szCs w:val="24"/>
          <w:u w:val="none" w:color="auto"/>
          <w:lang w:val="en-US" w:eastAsia="zh-CN" w:bidi="ar-SA"/>
        </w:rPr>
        <w:t xml:space="preserve">      </w:t>
      </w:r>
      <w:r>
        <w:rPr>
          <w:rFonts w:hint="eastAsia" w:ascii="宋体" w:hAnsi="宋体" w:eastAsia="宋体" w:cs="宋体"/>
          <w:color w:val="auto"/>
          <w:kern w:val="0"/>
          <w:sz w:val="24"/>
          <w:szCs w:val="24"/>
          <w:u w:val="none" w:color="auto"/>
          <w:lang w:val="en-US" w:eastAsia="zh-CN" w:bidi="ar-SA"/>
        </w:rPr>
        <w:tab/>
      </w:r>
      <w:r>
        <w:rPr>
          <w:rFonts w:hint="eastAsia" w:ascii="宋体" w:hAnsi="宋体" w:eastAsia="宋体" w:cs="宋体"/>
          <w:color w:val="auto"/>
          <w:kern w:val="0"/>
          <w:sz w:val="24"/>
          <w:szCs w:val="24"/>
          <w:u w:val="none" w:color="auto"/>
          <w:lang w:val="en-US" w:eastAsia="zh-CN" w:bidi="ar-SA"/>
        </w:rPr>
        <w:tab/>
      </w:r>
      <w:r>
        <w:rPr>
          <w:rFonts w:hint="eastAsia" w:ascii="宋体" w:hAnsi="宋体" w:eastAsia="宋体" w:cs="宋体"/>
          <w:color w:val="auto"/>
          <w:kern w:val="0"/>
          <w:sz w:val="24"/>
          <w:szCs w:val="24"/>
          <w:u w:val="none" w:color="auto"/>
          <w:lang w:val="en-US" w:eastAsia="zh-CN" w:bidi="ar-SA"/>
        </w:rPr>
        <w:t xml:space="preserve">  </w:t>
      </w:r>
    </w:p>
    <w:p w14:paraId="30D50DC9">
      <w:pPr>
        <w:widowControl w:val="0"/>
        <w:spacing w:line="520" w:lineRule="exact"/>
        <w:ind w:firstLine="480" w:firstLineChars="200"/>
        <w:jc w:val="both"/>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日期：______年____月____日</w:t>
      </w:r>
    </w:p>
    <w:p w14:paraId="75EE1748">
      <w:pPr>
        <w:widowControl w:val="0"/>
        <w:spacing w:line="520" w:lineRule="exact"/>
        <w:jc w:val="both"/>
        <w:rPr>
          <w:rFonts w:ascii="宋体" w:hAnsi="宋体" w:eastAsia="宋体" w:cs="宋体"/>
          <w:color w:val="auto"/>
          <w:kern w:val="0"/>
          <w:sz w:val="24"/>
          <w:szCs w:val="24"/>
          <w:u w:val="none" w:color="auto"/>
          <w:lang w:val="en-US" w:eastAsia="zh-CN" w:bidi="ar-SA"/>
        </w:rPr>
      </w:pPr>
    </w:p>
    <w:p w14:paraId="78D57B5D">
      <w:pPr>
        <w:widowControl w:val="0"/>
        <w:spacing w:line="520" w:lineRule="exact"/>
        <w:ind w:firstLine="480" w:firstLineChars="200"/>
        <w:jc w:val="both"/>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乙方：(乙方名称)</w:t>
      </w:r>
    </w:p>
    <w:p w14:paraId="70C3DE05">
      <w:pPr>
        <w:widowControl w:val="0"/>
        <w:spacing w:line="520" w:lineRule="exact"/>
        <w:ind w:firstLine="480" w:firstLineChars="200"/>
        <w:jc w:val="both"/>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法定代表人或其授权代表签字(签章):</w:t>
      </w:r>
    </w:p>
    <w:p w14:paraId="5AC47594">
      <w:pPr>
        <w:widowControl w:val="0"/>
        <w:spacing w:line="520" w:lineRule="exact"/>
        <w:ind w:firstLine="480" w:firstLineChars="200"/>
        <w:jc w:val="both"/>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盖章：</w:t>
      </w:r>
    </w:p>
    <w:p w14:paraId="53EE9025">
      <w:pPr>
        <w:widowControl w:val="0"/>
        <w:spacing w:line="520" w:lineRule="exact"/>
        <w:ind w:firstLine="480" w:firstLineChars="200"/>
        <w:jc w:val="both"/>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日期：______年____月____日</w:t>
      </w:r>
    </w:p>
    <w:p w14:paraId="09D6A9C4">
      <w:pPr>
        <w:widowControl w:val="0"/>
        <w:spacing w:line="520" w:lineRule="exact"/>
        <w:jc w:val="both"/>
        <w:rPr>
          <w:rFonts w:ascii="宋体" w:hAnsi="宋体" w:eastAsia="宋体" w:cs="宋体"/>
          <w:color w:val="auto"/>
          <w:kern w:val="0"/>
          <w:sz w:val="28"/>
          <w:szCs w:val="28"/>
          <w:u w:val="none" w:color="auto"/>
          <w:lang w:val="en-US" w:eastAsia="zh-CN" w:bidi="ar-SA"/>
        </w:rPr>
      </w:pPr>
      <w:r>
        <w:rPr>
          <w:rFonts w:hint="eastAsia" w:ascii="宋体" w:hAnsi="宋体" w:eastAsia="宋体" w:cs="宋体"/>
          <w:color w:val="auto"/>
          <w:kern w:val="0"/>
          <w:sz w:val="28"/>
          <w:szCs w:val="28"/>
          <w:u w:val="none" w:color="auto"/>
          <w:lang w:val="en-US" w:eastAsia="zh-CN" w:bidi="ar-SA"/>
        </w:rPr>
        <w:t>　</w:t>
      </w:r>
    </w:p>
    <w:p w14:paraId="658FBD8B">
      <w:pPr>
        <w:widowControl w:val="0"/>
        <w:spacing w:line="520" w:lineRule="exact"/>
        <w:ind w:firstLine="280" w:firstLineChars="100"/>
        <w:jc w:val="both"/>
        <w:rPr>
          <w:rFonts w:ascii="宋体" w:hAnsi="宋体" w:eastAsia="宋体" w:cs="宋体"/>
          <w:color w:val="auto"/>
          <w:kern w:val="0"/>
          <w:sz w:val="24"/>
          <w:szCs w:val="24"/>
          <w:u w:val="none" w:color="auto"/>
          <w:lang w:val="en-US" w:eastAsia="zh-CN" w:bidi="ar-SA"/>
        </w:rPr>
      </w:pPr>
      <w:r>
        <w:rPr>
          <w:rFonts w:ascii="宋体" w:hAnsi="宋体" w:eastAsia="宋体" w:cs="宋体"/>
          <w:color w:val="auto"/>
          <w:kern w:val="0"/>
          <w:sz w:val="28"/>
          <w:szCs w:val="28"/>
          <w:u w:val="none" w:color="auto"/>
          <w:lang w:val="en-US" w:eastAsia="zh-CN" w:bidi="ar-SA"/>
        </w:rPr>
        <w:br w:type="page"/>
      </w:r>
      <w:r>
        <w:rPr>
          <w:rFonts w:hint="eastAsia" w:ascii="宋体" w:hAnsi="宋体" w:eastAsia="宋体" w:cs="宋体"/>
          <w:color w:val="auto"/>
          <w:kern w:val="0"/>
          <w:sz w:val="24"/>
          <w:szCs w:val="24"/>
          <w:u w:val="none" w:color="auto"/>
          <w:lang w:val="en-US" w:eastAsia="zh-CN" w:bidi="ar-SA"/>
        </w:rPr>
        <w:t>1、合同条款</w:t>
      </w:r>
    </w:p>
    <w:p w14:paraId="2139B6F3">
      <w:pPr>
        <w:widowControl w:val="0"/>
        <w:spacing w:line="520" w:lineRule="exact"/>
        <w:ind w:firstLine="480" w:firstLineChars="200"/>
        <w:jc w:val="center"/>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合同条款前附表</w:t>
      </w:r>
    </w:p>
    <w:p w14:paraId="5983A8AD">
      <w:pPr>
        <w:widowControl w:val="0"/>
        <w:spacing w:line="520" w:lineRule="exact"/>
        <w:ind w:firstLine="480" w:firstLineChars="200"/>
        <w:jc w:val="center"/>
        <w:rPr>
          <w:rFonts w:ascii="宋体" w:hAnsi="宋体" w:eastAsia="宋体" w:cs="宋体"/>
          <w:color w:val="auto"/>
          <w:kern w:val="0"/>
          <w:sz w:val="24"/>
          <w:szCs w:val="24"/>
          <w:u w:val="none" w:color="auto"/>
          <w:lang w:val="en-US" w:eastAsia="zh-CN" w:bidi="ar-SA"/>
        </w:rPr>
      </w:pPr>
    </w:p>
    <w:tbl>
      <w:tblPr>
        <w:tblStyle w:val="59"/>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8355"/>
      </w:tblGrid>
      <w:tr w14:paraId="46A76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noWrap w:val="0"/>
            <w:vAlign w:val="center"/>
          </w:tcPr>
          <w:p w14:paraId="2190FBE8">
            <w:pPr>
              <w:widowControl w:val="0"/>
              <w:spacing w:line="520" w:lineRule="exact"/>
              <w:jc w:val="center"/>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序号</w:t>
            </w:r>
          </w:p>
        </w:tc>
        <w:tc>
          <w:tcPr>
            <w:tcW w:w="8355" w:type="dxa"/>
            <w:noWrap w:val="0"/>
            <w:vAlign w:val="center"/>
          </w:tcPr>
          <w:p w14:paraId="5D565EF7">
            <w:pPr>
              <w:widowControl w:val="0"/>
              <w:spacing w:line="520" w:lineRule="exact"/>
              <w:jc w:val="center"/>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内容</w:t>
            </w:r>
          </w:p>
        </w:tc>
      </w:tr>
      <w:tr w14:paraId="53756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75" w:type="dxa"/>
            <w:noWrap w:val="0"/>
            <w:vAlign w:val="center"/>
          </w:tcPr>
          <w:p w14:paraId="03787071">
            <w:pPr>
              <w:widowControl w:val="0"/>
              <w:spacing w:line="520" w:lineRule="exact"/>
              <w:jc w:val="center"/>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1</w:t>
            </w:r>
          </w:p>
        </w:tc>
        <w:tc>
          <w:tcPr>
            <w:tcW w:w="8355" w:type="dxa"/>
            <w:noWrap w:val="0"/>
            <w:vAlign w:val="center"/>
          </w:tcPr>
          <w:p w14:paraId="14E13416">
            <w:pPr>
              <w:widowControl w:val="0"/>
              <w:spacing w:line="520" w:lineRule="exact"/>
              <w:jc w:val="left"/>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合同名称：</w:t>
            </w:r>
            <w:ins w:id="8" w:author="金政浩" w:date="2025-11-23T21:00:00Z">
              <w:r>
                <w:rPr>
                  <w:rFonts w:hint="eastAsia" w:ascii="宋体" w:hAnsi="宋体" w:eastAsia="宋体" w:cs="宋体"/>
                  <w:color w:val="auto"/>
                  <w:kern w:val="0"/>
                  <w:sz w:val="24"/>
                  <w:szCs w:val="24"/>
                  <w:u w:val="none" w:color="auto"/>
                  <w:lang w:val="en-US" w:eastAsia="zh-CN" w:bidi="ar-SA"/>
                </w:rPr>
                <w:t>国家税务总局克拉玛依市克拉玛依区税务局</w:t>
              </w:r>
            </w:ins>
            <w:r>
              <w:rPr>
                <w:rFonts w:hint="eastAsia" w:ascii="宋体" w:hAnsi="宋体" w:eastAsia="宋体" w:cs="宋体"/>
                <w:color w:val="auto"/>
                <w:kern w:val="0"/>
                <w:sz w:val="24"/>
                <w:szCs w:val="24"/>
                <w:u w:val="none" w:color="auto"/>
                <w:lang w:val="en-US" w:eastAsia="zh-CN" w:bidi="ar-SA"/>
              </w:rPr>
              <w:t xml:space="preserve">安保服务项目合同 </w:t>
            </w:r>
          </w:p>
          <w:p w14:paraId="360B6330">
            <w:pPr>
              <w:widowControl w:val="0"/>
              <w:spacing w:line="520" w:lineRule="exact"/>
              <w:jc w:val="left"/>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 xml:space="preserve">合同编号：                </w:t>
            </w:r>
          </w:p>
        </w:tc>
      </w:tr>
      <w:tr w14:paraId="7C4D3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Merge w:val="restart"/>
            <w:noWrap w:val="0"/>
            <w:vAlign w:val="center"/>
          </w:tcPr>
          <w:p w14:paraId="16787286">
            <w:pPr>
              <w:widowControl w:val="0"/>
              <w:spacing w:line="520" w:lineRule="exact"/>
              <w:jc w:val="center"/>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2</w:t>
            </w:r>
          </w:p>
        </w:tc>
        <w:tc>
          <w:tcPr>
            <w:tcW w:w="8355" w:type="dxa"/>
            <w:noWrap w:val="0"/>
            <w:vAlign w:val="center"/>
          </w:tcPr>
          <w:p w14:paraId="7FF3BD64">
            <w:pPr>
              <w:widowControl w:val="0"/>
              <w:spacing w:line="520" w:lineRule="exact"/>
              <w:jc w:val="left"/>
              <w:rPr>
                <w:rFonts w:hint="eastAsia"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甲方名称：</w:t>
            </w:r>
            <w:ins w:id="9" w:author="金政浩" w:date="2025-11-23T21:00:00Z">
              <w:r>
                <w:rPr>
                  <w:rFonts w:hint="eastAsia" w:ascii="宋体" w:hAnsi="宋体" w:eastAsia="宋体" w:cs="宋体"/>
                  <w:color w:val="auto"/>
                  <w:kern w:val="0"/>
                  <w:sz w:val="24"/>
                  <w:szCs w:val="24"/>
                  <w:u w:val="none" w:color="auto"/>
                  <w:lang w:val="en-US" w:eastAsia="zh-CN" w:bidi="ar-SA"/>
                </w:rPr>
                <w:t>国家税务总局克拉玛依市克拉玛依区税务局</w:t>
              </w:r>
            </w:ins>
          </w:p>
        </w:tc>
      </w:tr>
      <w:tr w14:paraId="68EB0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Merge w:val="continue"/>
            <w:noWrap w:val="0"/>
            <w:vAlign w:val="center"/>
          </w:tcPr>
          <w:p w14:paraId="204C2023">
            <w:pPr>
              <w:spacing w:line="520" w:lineRule="exact"/>
              <w:rPr>
                <w:rFonts w:ascii="宋体" w:hAnsi="宋体" w:eastAsia="宋体"/>
                <w:color w:val="auto"/>
                <w:sz w:val="24"/>
                <w:szCs w:val="24"/>
                <w:u w:val="none" w:color="auto"/>
              </w:rPr>
            </w:pPr>
          </w:p>
        </w:tc>
        <w:tc>
          <w:tcPr>
            <w:tcW w:w="8355" w:type="dxa"/>
            <w:noWrap w:val="0"/>
            <w:vAlign w:val="center"/>
          </w:tcPr>
          <w:p w14:paraId="3C65C4B2">
            <w:pPr>
              <w:widowControl w:val="0"/>
              <w:spacing w:line="520" w:lineRule="exact"/>
              <w:jc w:val="left"/>
              <w:rPr>
                <w:rFonts w:hint="default"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甲方地址：</w:t>
            </w:r>
            <w:ins w:id="10" w:author="金政浩" w:date="2025-11-23T21:01:00Z">
              <w:r>
                <w:rPr>
                  <w:rFonts w:hint="eastAsia" w:ascii="宋体" w:hAnsi="宋体" w:eastAsia="宋体" w:cs="宋体"/>
                  <w:color w:val="auto"/>
                  <w:kern w:val="0"/>
                  <w:sz w:val="24"/>
                  <w:szCs w:val="24"/>
                  <w:u w:val="none" w:color="auto"/>
                  <w:lang w:val="en-US" w:eastAsia="zh-CN" w:bidi="ar-SA"/>
                </w:rPr>
                <w:t>新疆克拉玛依市迎宾路46号</w:t>
              </w:r>
            </w:ins>
          </w:p>
        </w:tc>
      </w:tr>
      <w:tr w14:paraId="2EB47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Merge w:val="continue"/>
            <w:noWrap w:val="0"/>
            <w:vAlign w:val="center"/>
          </w:tcPr>
          <w:p w14:paraId="33252136">
            <w:pPr>
              <w:spacing w:line="520" w:lineRule="exact"/>
              <w:rPr>
                <w:rFonts w:ascii="宋体" w:hAnsi="宋体" w:eastAsia="宋体"/>
                <w:color w:val="auto"/>
                <w:sz w:val="24"/>
                <w:szCs w:val="24"/>
                <w:u w:val="none" w:color="auto"/>
              </w:rPr>
            </w:pPr>
          </w:p>
        </w:tc>
        <w:tc>
          <w:tcPr>
            <w:tcW w:w="8355" w:type="dxa"/>
            <w:noWrap w:val="0"/>
            <w:vAlign w:val="center"/>
          </w:tcPr>
          <w:p w14:paraId="7383213E">
            <w:pPr>
              <w:widowControl/>
              <w:spacing w:line="520" w:lineRule="exact"/>
              <w:jc w:val="left"/>
              <w:rPr>
                <w:rFonts w:ascii="宋体" w:hAnsi="宋体" w:eastAsia="宋体" w:cs="宋体"/>
                <w:color w:val="auto"/>
                <w:sz w:val="24"/>
                <w:szCs w:val="24"/>
                <w:u w:val="none" w:color="auto"/>
              </w:rPr>
            </w:pPr>
            <w:r>
              <w:rPr>
                <w:rFonts w:hint="eastAsia" w:ascii="宋体" w:hAnsi="宋体" w:eastAsia="宋体" w:cs="宋体"/>
                <w:color w:val="auto"/>
                <w:sz w:val="24"/>
                <w:szCs w:val="24"/>
                <w:u w:val="none" w:color="auto"/>
              </w:rPr>
              <w:t>甲方联系人及电话：</w:t>
            </w:r>
          </w:p>
          <w:p w14:paraId="0BECE3E3">
            <w:pPr>
              <w:widowControl/>
              <w:spacing w:line="520" w:lineRule="exact"/>
              <w:jc w:val="left"/>
              <w:rPr>
                <w:rFonts w:ascii="宋体" w:hAnsi="宋体" w:eastAsia="宋体" w:cs="宋体"/>
                <w:color w:val="auto"/>
                <w:sz w:val="24"/>
                <w:szCs w:val="24"/>
                <w:u w:val="none" w:color="auto"/>
              </w:rPr>
            </w:pPr>
            <w:r>
              <w:rPr>
                <w:rFonts w:hint="eastAsia" w:ascii="宋体" w:hAnsi="宋体" w:eastAsia="宋体" w:cs="宋体"/>
                <w:color w:val="auto"/>
                <w:sz w:val="24"/>
                <w:szCs w:val="24"/>
                <w:u w:val="none" w:color="auto"/>
              </w:rPr>
              <w:t>联系人：</w:t>
            </w:r>
            <w:r>
              <w:rPr>
                <w:rFonts w:hint="eastAsia" w:ascii="宋体" w:hAnsi="宋体" w:cs="宋体"/>
                <w:color w:val="auto"/>
                <w:sz w:val="24"/>
                <w:szCs w:val="24"/>
                <w:u w:val="none" w:color="auto"/>
                <w:lang w:val="en-US" w:eastAsia="zh-CN"/>
              </w:rPr>
              <w:t>金政浩</w:t>
            </w:r>
          </w:p>
          <w:p w14:paraId="317A87BF">
            <w:pPr>
              <w:widowControl/>
              <w:spacing w:line="520" w:lineRule="exact"/>
              <w:jc w:val="left"/>
              <w:rPr>
                <w:rFonts w:ascii="宋体" w:hAnsi="宋体" w:eastAsia="宋体" w:cs="宋体"/>
                <w:color w:val="auto"/>
                <w:sz w:val="24"/>
                <w:szCs w:val="24"/>
                <w:u w:val="none" w:color="auto"/>
              </w:rPr>
            </w:pPr>
            <w:r>
              <w:rPr>
                <w:rFonts w:hint="eastAsia" w:ascii="宋体" w:hAnsi="宋体" w:eastAsia="宋体" w:cs="宋体"/>
                <w:color w:val="auto"/>
                <w:sz w:val="24"/>
                <w:szCs w:val="24"/>
                <w:u w:val="none" w:color="auto"/>
              </w:rPr>
              <w:t>联系电话</w:t>
            </w:r>
            <w:r>
              <w:rPr>
                <w:rFonts w:hint="eastAsia" w:ascii="宋体" w:hAnsi="宋体" w:cs="宋体"/>
                <w:color w:val="auto"/>
                <w:sz w:val="24"/>
                <w:szCs w:val="24"/>
                <w:u w:val="none" w:color="auto"/>
                <w:lang w:eastAsia="zh-CN"/>
              </w:rPr>
              <w:t>：</w:t>
            </w:r>
            <w:r>
              <w:rPr>
                <w:rFonts w:hint="eastAsia" w:ascii="宋体" w:hAnsi="宋体" w:cs="宋体"/>
                <w:color w:val="auto"/>
                <w:sz w:val="24"/>
                <w:szCs w:val="24"/>
                <w:u w:val="none" w:color="auto"/>
                <w:lang w:val="en-US" w:eastAsia="zh-CN"/>
              </w:rPr>
              <w:t>0990-6231098</w:t>
            </w:r>
            <w:r>
              <w:rPr>
                <w:rFonts w:hint="eastAsia" w:ascii="宋体" w:hAnsi="宋体" w:eastAsia="宋体"/>
                <w:color w:val="auto"/>
                <w:sz w:val="24"/>
                <w:szCs w:val="24"/>
                <w:u w:val="none" w:color="auto"/>
              </w:rPr>
              <w:t xml:space="preserve">               </w:t>
            </w:r>
          </w:p>
        </w:tc>
      </w:tr>
      <w:tr w14:paraId="16B9C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Merge w:val="restart"/>
            <w:noWrap w:val="0"/>
            <w:vAlign w:val="center"/>
          </w:tcPr>
          <w:p w14:paraId="7BB1BC56">
            <w:pPr>
              <w:widowControl w:val="0"/>
              <w:spacing w:line="520" w:lineRule="exact"/>
              <w:jc w:val="center"/>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3</w:t>
            </w:r>
          </w:p>
        </w:tc>
        <w:tc>
          <w:tcPr>
            <w:tcW w:w="8355" w:type="dxa"/>
            <w:noWrap w:val="0"/>
            <w:vAlign w:val="center"/>
          </w:tcPr>
          <w:p w14:paraId="5A78C2A1">
            <w:pPr>
              <w:widowControl w:val="0"/>
              <w:spacing w:line="520" w:lineRule="exact"/>
              <w:jc w:val="left"/>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乙方名称：</w:t>
            </w:r>
          </w:p>
        </w:tc>
      </w:tr>
      <w:tr w14:paraId="7B9D7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Merge w:val="continue"/>
            <w:noWrap w:val="0"/>
            <w:vAlign w:val="center"/>
          </w:tcPr>
          <w:p w14:paraId="46ED54BC">
            <w:pPr>
              <w:spacing w:line="520" w:lineRule="exact"/>
              <w:rPr>
                <w:rFonts w:ascii="宋体" w:hAnsi="宋体" w:eastAsia="宋体"/>
                <w:color w:val="auto"/>
                <w:sz w:val="24"/>
                <w:szCs w:val="24"/>
                <w:u w:val="none" w:color="auto"/>
              </w:rPr>
            </w:pPr>
          </w:p>
        </w:tc>
        <w:tc>
          <w:tcPr>
            <w:tcW w:w="8355" w:type="dxa"/>
            <w:noWrap w:val="0"/>
            <w:vAlign w:val="center"/>
          </w:tcPr>
          <w:p w14:paraId="1226E626">
            <w:pPr>
              <w:widowControl w:val="0"/>
              <w:spacing w:line="520" w:lineRule="exact"/>
              <w:jc w:val="left"/>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乙方地址：</w:t>
            </w:r>
          </w:p>
        </w:tc>
      </w:tr>
      <w:tr w14:paraId="15AFC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Merge w:val="continue"/>
            <w:noWrap w:val="0"/>
            <w:vAlign w:val="center"/>
          </w:tcPr>
          <w:p w14:paraId="7612F92B">
            <w:pPr>
              <w:spacing w:line="520" w:lineRule="exact"/>
              <w:rPr>
                <w:rFonts w:ascii="宋体" w:hAnsi="宋体" w:eastAsia="宋体"/>
                <w:color w:val="auto"/>
                <w:sz w:val="24"/>
                <w:szCs w:val="24"/>
                <w:u w:val="none" w:color="auto"/>
              </w:rPr>
            </w:pPr>
          </w:p>
        </w:tc>
        <w:tc>
          <w:tcPr>
            <w:tcW w:w="8355" w:type="dxa"/>
            <w:noWrap w:val="0"/>
            <w:vAlign w:val="center"/>
          </w:tcPr>
          <w:p w14:paraId="3EBE1335">
            <w:pPr>
              <w:widowControl w:val="0"/>
              <w:spacing w:line="520" w:lineRule="exact"/>
              <w:jc w:val="left"/>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乙方联系人：　　　　电话：</w:t>
            </w:r>
          </w:p>
        </w:tc>
      </w:tr>
      <w:tr w14:paraId="76AE6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Merge w:val="continue"/>
            <w:noWrap w:val="0"/>
            <w:vAlign w:val="center"/>
          </w:tcPr>
          <w:p w14:paraId="5983B166">
            <w:pPr>
              <w:spacing w:line="520" w:lineRule="exact"/>
              <w:rPr>
                <w:rFonts w:ascii="宋体" w:hAnsi="宋体" w:eastAsia="宋体"/>
                <w:color w:val="auto"/>
                <w:sz w:val="24"/>
                <w:szCs w:val="24"/>
                <w:u w:val="none" w:color="auto"/>
              </w:rPr>
            </w:pPr>
          </w:p>
        </w:tc>
        <w:tc>
          <w:tcPr>
            <w:tcW w:w="8355" w:type="dxa"/>
            <w:noWrap w:val="0"/>
            <w:vAlign w:val="center"/>
          </w:tcPr>
          <w:p w14:paraId="3290B59D">
            <w:pPr>
              <w:widowControl w:val="0"/>
              <w:spacing w:line="520" w:lineRule="exact"/>
              <w:jc w:val="left"/>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乙方开户银行名称：</w:t>
            </w:r>
          </w:p>
          <w:p w14:paraId="0BC93DDD">
            <w:pPr>
              <w:widowControl w:val="0"/>
              <w:spacing w:line="520" w:lineRule="exact"/>
              <w:jc w:val="left"/>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账号：</w:t>
            </w:r>
          </w:p>
        </w:tc>
      </w:tr>
      <w:tr w14:paraId="07863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noWrap w:val="0"/>
            <w:vAlign w:val="center"/>
          </w:tcPr>
          <w:p w14:paraId="680B1E27">
            <w:pPr>
              <w:widowControl w:val="0"/>
              <w:spacing w:line="520" w:lineRule="exact"/>
              <w:jc w:val="center"/>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4</w:t>
            </w:r>
          </w:p>
        </w:tc>
        <w:tc>
          <w:tcPr>
            <w:tcW w:w="8355" w:type="dxa"/>
            <w:noWrap w:val="0"/>
            <w:vAlign w:val="center"/>
          </w:tcPr>
          <w:p w14:paraId="2F640F71">
            <w:pPr>
              <w:widowControl w:val="0"/>
              <w:spacing w:line="520" w:lineRule="exact"/>
              <w:jc w:val="left"/>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合同金额：</w:t>
            </w:r>
          </w:p>
        </w:tc>
      </w:tr>
      <w:tr w14:paraId="66FCB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noWrap w:val="0"/>
            <w:vAlign w:val="center"/>
          </w:tcPr>
          <w:p w14:paraId="1D72E944">
            <w:pPr>
              <w:widowControl w:val="0"/>
              <w:spacing w:line="520" w:lineRule="exact"/>
              <w:jc w:val="center"/>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5</w:t>
            </w:r>
          </w:p>
        </w:tc>
        <w:tc>
          <w:tcPr>
            <w:tcW w:w="8355" w:type="dxa"/>
            <w:noWrap w:val="0"/>
            <w:vAlign w:val="center"/>
          </w:tcPr>
          <w:p w14:paraId="30E926F8">
            <w:pPr>
              <w:spacing w:line="520" w:lineRule="exact"/>
              <w:rPr>
                <w:rFonts w:ascii="宋体" w:hAnsi="宋体" w:eastAsia="宋体" w:cs="宋体"/>
                <w:color w:val="auto"/>
                <w:sz w:val="24"/>
                <w:szCs w:val="24"/>
                <w:u w:val="none" w:color="auto"/>
              </w:rPr>
            </w:pPr>
            <w:r>
              <w:rPr>
                <w:rFonts w:hint="eastAsia" w:ascii="宋体" w:hAnsi="宋体" w:eastAsia="宋体" w:cs="宋体"/>
                <w:color w:val="auto"/>
                <w:sz w:val="24"/>
                <w:szCs w:val="24"/>
                <w:u w:val="none" w:color="auto"/>
              </w:rPr>
              <w:t>服务时间：</w:t>
            </w:r>
            <w:r>
              <w:rPr>
                <w:rFonts w:hint="eastAsia" w:ascii="宋体" w:hAnsi="宋体" w:cs="宋体"/>
                <w:color w:val="auto"/>
                <w:sz w:val="24"/>
                <w:szCs w:val="24"/>
                <w:u w:val="none" w:color="auto"/>
                <w:lang w:val="en-US" w:eastAsia="zh-CN"/>
              </w:rPr>
              <w:t>本项目服务期限为三年，自</w:t>
            </w:r>
            <w:r>
              <w:rPr>
                <w:rFonts w:hint="eastAsia" w:ascii="宋体" w:hAnsi="宋体" w:eastAsia="宋体" w:cs="宋体"/>
                <w:color w:val="auto"/>
                <w:sz w:val="24"/>
                <w:szCs w:val="24"/>
                <w:highlight w:val="none"/>
                <w:lang w:val="en-US" w:eastAsia="zh-CN"/>
              </w:rPr>
              <w:t>2026年1月1日起至2028年12月31日止。合同采取一年一签方式，第一年2026年1月1日起至2026年12月31日。经年度验收考核合格，期限内续签合同；年度验收考核不合格，不再续签合同。</w:t>
            </w:r>
            <w:r>
              <w:rPr>
                <w:rFonts w:ascii="宋体" w:hAnsi="宋体" w:eastAsia="宋体" w:cs="宋体"/>
                <w:color w:val="auto"/>
                <w:sz w:val="24"/>
                <w:szCs w:val="24"/>
                <w:u w:val="none" w:color="auto"/>
              </w:rPr>
              <w:t xml:space="preserve"> </w:t>
            </w:r>
          </w:p>
          <w:p w14:paraId="5594A1EB">
            <w:pPr>
              <w:spacing w:line="520" w:lineRule="exact"/>
              <w:rPr>
                <w:rFonts w:ascii="宋体" w:hAnsi="宋体" w:eastAsia="宋体" w:cs="宋体"/>
                <w:color w:val="auto"/>
                <w:sz w:val="24"/>
                <w:szCs w:val="24"/>
                <w:u w:val="none" w:color="auto"/>
              </w:rPr>
            </w:pPr>
            <w:r>
              <w:rPr>
                <w:rFonts w:hint="eastAsia" w:ascii="宋体" w:hAnsi="宋体" w:eastAsia="宋体" w:cs="宋体"/>
                <w:color w:val="auto"/>
                <w:sz w:val="24"/>
                <w:szCs w:val="24"/>
                <w:u w:val="none" w:color="auto"/>
              </w:rPr>
              <w:t>服务地点：</w:t>
            </w:r>
            <w:ins w:id="11" w:author="金政浩" w:date="2025-11-23T21:01:00Z">
              <w:r>
                <w:rPr>
                  <w:rFonts w:hint="eastAsia" w:hAnsi="宋体" w:cs="宋体"/>
                  <w:color w:val="auto"/>
                  <w:sz w:val="24"/>
                  <w:szCs w:val="24"/>
                  <w:u w:val="none" w:color="auto"/>
                  <w:lang w:eastAsia="zh-CN"/>
                </w:rPr>
                <w:t>新疆克拉玛依市迎宾路46号</w:t>
              </w:r>
            </w:ins>
          </w:p>
        </w:tc>
      </w:tr>
      <w:tr w14:paraId="001E4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75" w:type="dxa"/>
            <w:noWrap w:val="0"/>
            <w:vAlign w:val="center"/>
          </w:tcPr>
          <w:p w14:paraId="67C931B8">
            <w:pPr>
              <w:widowControl w:val="0"/>
              <w:spacing w:line="520" w:lineRule="exact"/>
              <w:jc w:val="center"/>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6</w:t>
            </w:r>
          </w:p>
        </w:tc>
        <w:tc>
          <w:tcPr>
            <w:tcW w:w="8355" w:type="dxa"/>
            <w:noWrap w:val="0"/>
            <w:vAlign w:val="center"/>
          </w:tcPr>
          <w:p w14:paraId="0EAAA38F">
            <w:pPr>
              <w:widowControl w:val="0"/>
              <w:spacing w:line="520" w:lineRule="exact"/>
              <w:jc w:val="left"/>
              <w:rPr>
                <w:rFonts w:hint="default"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服务履行期：</w:t>
            </w:r>
            <w:r>
              <w:rPr>
                <w:rFonts w:hint="eastAsia" w:ascii="宋体" w:hAnsi="宋体" w:eastAsia="宋体" w:cs="宋体"/>
                <w:color w:val="auto"/>
                <w:kern w:val="0"/>
                <w:sz w:val="24"/>
                <w:szCs w:val="24"/>
                <w:highlight w:val="none"/>
                <w:lang w:val="en-US" w:eastAsia="zh-CN" w:bidi="ar-SA"/>
              </w:rPr>
              <w:t>按照上款所列服务时间。</w:t>
            </w:r>
          </w:p>
        </w:tc>
      </w:tr>
      <w:tr w14:paraId="330A9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noWrap w:val="0"/>
            <w:vAlign w:val="center"/>
          </w:tcPr>
          <w:p w14:paraId="40894C61">
            <w:pPr>
              <w:widowControl w:val="0"/>
              <w:spacing w:line="520" w:lineRule="exact"/>
              <w:jc w:val="center"/>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7</w:t>
            </w:r>
          </w:p>
        </w:tc>
        <w:tc>
          <w:tcPr>
            <w:tcW w:w="8355" w:type="dxa"/>
            <w:noWrap w:val="0"/>
            <w:vAlign w:val="center"/>
          </w:tcPr>
          <w:p w14:paraId="5CF59EF1">
            <w:pPr>
              <w:widowControl w:val="0"/>
              <w:spacing w:line="520" w:lineRule="exact"/>
              <w:jc w:val="left"/>
              <w:rPr>
                <w:rFonts w:hint="default"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验收方式及标准：</w:t>
            </w:r>
            <w:r>
              <w:rPr>
                <w:rFonts w:hint="eastAsia" w:ascii="宋体" w:hAnsi="宋体" w:eastAsia="宋体" w:cs="宋体"/>
                <w:color w:val="auto"/>
                <w:kern w:val="0"/>
                <w:sz w:val="24"/>
                <w:szCs w:val="24"/>
                <w:highlight w:val="none"/>
                <w:lang w:val="en-US" w:eastAsia="zh-CN" w:bidi="ar-SA"/>
              </w:rPr>
              <w:t>乙方按约定，定期给甲方提交服务报告，甲方根据合同条款的约定对服务期内的服务实施具体情况进行年度考核评价，综合考核评价情况和服务效果进行验收。</w:t>
            </w:r>
          </w:p>
        </w:tc>
      </w:tr>
      <w:tr w14:paraId="51052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noWrap w:val="0"/>
            <w:vAlign w:val="center"/>
          </w:tcPr>
          <w:p w14:paraId="4AAD58D8">
            <w:pPr>
              <w:widowControl w:val="0"/>
              <w:spacing w:line="520" w:lineRule="exact"/>
              <w:jc w:val="center"/>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8</w:t>
            </w:r>
          </w:p>
        </w:tc>
        <w:tc>
          <w:tcPr>
            <w:tcW w:w="8355" w:type="dxa"/>
            <w:noWrap w:val="0"/>
            <w:vAlign w:val="center"/>
          </w:tcPr>
          <w:p w14:paraId="0FC620E6">
            <w:pPr>
              <w:spacing w:line="520" w:lineRule="exact"/>
              <w:contextualSpacing/>
              <w:rPr>
                <w:rFonts w:ascii="宋体" w:hAnsi="宋体" w:eastAsia="宋体"/>
                <w:color w:val="auto"/>
                <w:sz w:val="24"/>
                <w:szCs w:val="24"/>
                <w:u w:val="none" w:color="auto"/>
              </w:rPr>
            </w:pPr>
            <w:r>
              <w:rPr>
                <w:rFonts w:hint="eastAsia" w:ascii="宋体" w:hAnsi="宋体" w:eastAsia="宋体"/>
                <w:color w:val="auto"/>
                <w:sz w:val="24"/>
                <w:szCs w:val="24"/>
                <w:u w:val="none" w:color="auto"/>
              </w:rPr>
              <w:t>付款方式及条件：</w:t>
            </w:r>
            <w:r>
              <w:rPr>
                <w:rFonts w:hint="eastAsia" w:ascii="宋体" w:hAnsi="宋体"/>
                <w:color w:val="auto"/>
                <w:sz w:val="24"/>
                <w:szCs w:val="24"/>
                <w:u w:val="none" w:color="auto"/>
                <w:lang w:val="en-US" w:eastAsia="zh-CN"/>
              </w:rPr>
              <w:t>甲方</w:t>
            </w:r>
            <w:r>
              <w:rPr>
                <w:rFonts w:hint="eastAsia" w:ascii="宋体" w:hAnsi="宋体" w:eastAsia="宋体" w:cs="宋体"/>
                <w:color w:val="auto"/>
                <w:sz w:val="24"/>
                <w:szCs w:val="24"/>
                <w:highlight w:val="none"/>
                <w:lang w:val="en-US" w:eastAsia="zh-CN"/>
              </w:rPr>
              <w:t>按季度支付</w:t>
            </w:r>
            <w:r>
              <w:rPr>
                <w:rFonts w:hint="eastAsia" w:ascii="宋体" w:hAnsi="宋体" w:eastAsia="宋体" w:cs="宋体"/>
                <w:color w:val="auto"/>
                <w:sz w:val="24"/>
                <w:szCs w:val="24"/>
                <w:highlight w:val="none"/>
                <w:lang w:eastAsia="zh-CN"/>
              </w:rPr>
              <w:t>安保服务</w:t>
            </w:r>
            <w:r>
              <w:rPr>
                <w:rFonts w:hint="eastAsia" w:ascii="宋体" w:hAnsi="宋体" w:eastAsia="宋体" w:cs="宋体"/>
                <w:color w:val="auto"/>
                <w:sz w:val="24"/>
                <w:szCs w:val="24"/>
                <w:highlight w:val="none"/>
                <w:lang w:val="en-US" w:eastAsia="zh-CN"/>
              </w:rPr>
              <w:t>费用，乙方需提供合法有效的增值税发票。</w:t>
            </w:r>
          </w:p>
        </w:tc>
      </w:tr>
      <w:tr w14:paraId="441BD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noWrap w:val="0"/>
            <w:vAlign w:val="center"/>
          </w:tcPr>
          <w:p w14:paraId="272F0E22">
            <w:pPr>
              <w:widowControl w:val="0"/>
              <w:spacing w:line="520" w:lineRule="exact"/>
              <w:jc w:val="center"/>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9</w:t>
            </w:r>
          </w:p>
        </w:tc>
        <w:tc>
          <w:tcPr>
            <w:tcW w:w="8355" w:type="dxa"/>
            <w:noWrap w:val="0"/>
            <w:vAlign w:val="center"/>
          </w:tcPr>
          <w:p w14:paraId="7E363B83">
            <w:pPr>
              <w:widowControl w:val="0"/>
              <w:spacing w:line="520" w:lineRule="exact"/>
              <w:jc w:val="left"/>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履约保证金及其返还：本项目无履约保证金</w:t>
            </w:r>
            <w:r>
              <w:rPr>
                <w:rFonts w:ascii="宋体" w:hAnsi="宋体" w:eastAsia="宋体" w:cs="宋体"/>
                <w:color w:val="auto"/>
                <w:kern w:val="0"/>
                <w:sz w:val="24"/>
                <w:szCs w:val="24"/>
                <w:u w:val="none" w:color="auto"/>
                <w:lang w:val="en-US" w:eastAsia="zh-CN" w:bidi="ar-SA"/>
              </w:rPr>
              <w:t xml:space="preserve"> </w:t>
            </w:r>
          </w:p>
        </w:tc>
      </w:tr>
      <w:tr w14:paraId="17CB8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75" w:type="dxa"/>
            <w:noWrap w:val="0"/>
            <w:vAlign w:val="center"/>
          </w:tcPr>
          <w:p w14:paraId="1BCE1E24">
            <w:pPr>
              <w:widowControl w:val="0"/>
              <w:spacing w:line="520" w:lineRule="exact"/>
              <w:jc w:val="center"/>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10</w:t>
            </w:r>
          </w:p>
        </w:tc>
        <w:tc>
          <w:tcPr>
            <w:tcW w:w="8355" w:type="dxa"/>
            <w:noWrap w:val="0"/>
            <w:vAlign w:val="center"/>
          </w:tcPr>
          <w:p w14:paraId="4B6C9FA9">
            <w:pPr>
              <w:pStyle w:val="33"/>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宋体" w:hAnsi="宋体" w:eastAsia="宋体" w:cs="宋体"/>
                <w:b/>
                <w:bCs/>
                <w:color w:val="auto"/>
                <w:kern w:val="0"/>
                <w:sz w:val="24"/>
                <w:szCs w:val="24"/>
                <w:u w:val="none" w:color="auto"/>
                <w:lang w:val="en-US" w:eastAsia="zh-CN" w:bidi="ar-SA"/>
              </w:rPr>
            </w:pPr>
            <w:r>
              <w:rPr>
                <w:rFonts w:hint="eastAsia" w:hAnsi="宋体" w:cs="宋体"/>
                <w:color w:val="auto"/>
                <w:kern w:val="0"/>
                <w:sz w:val="24"/>
                <w:szCs w:val="24"/>
                <w:u w:val="none" w:color="auto"/>
                <w:lang w:val="en-US" w:eastAsia="zh-CN" w:bidi="ar-SA"/>
              </w:rPr>
              <w:t>☑</w:t>
            </w:r>
            <w:r>
              <w:rPr>
                <w:rFonts w:hint="eastAsia" w:ascii="宋体" w:hAnsi="宋体" w:eastAsia="宋体" w:cs="宋体"/>
                <w:color w:val="auto"/>
                <w:kern w:val="0"/>
                <w:sz w:val="24"/>
                <w:szCs w:val="24"/>
                <w:u w:val="none" w:color="auto"/>
                <w:lang w:val="en-US" w:eastAsia="zh-CN" w:bidi="ar-SA"/>
              </w:rPr>
              <w:t>违约金约定：详见</w:t>
            </w:r>
            <w:r>
              <w:rPr>
                <w:rFonts w:hint="eastAsia" w:hAnsi="宋体" w:cs="宋体"/>
                <w:b/>
                <w:bCs/>
                <w:color w:val="auto"/>
                <w:sz w:val="24"/>
                <w:szCs w:val="24"/>
                <w:u w:val="none" w:color="auto"/>
                <w:lang w:val="en-US" w:eastAsia="zh-CN"/>
              </w:rPr>
              <w:t>通用条款</w:t>
            </w:r>
            <w:r>
              <w:rPr>
                <w:rFonts w:hint="eastAsia" w:ascii="宋体" w:hAnsi="宋体" w:eastAsia="宋体" w:cs="宋体"/>
                <w:b/>
                <w:bCs/>
                <w:color w:val="auto"/>
                <w:kern w:val="0"/>
                <w:sz w:val="24"/>
                <w:szCs w:val="24"/>
                <w:u w:val="none" w:color="auto"/>
                <w:lang w:val="en-US" w:eastAsia="zh-CN" w:bidi="ar-SA"/>
              </w:rPr>
              <w:t>9.违约责任</w:t>
            </w:r>
            <w:r>
              <w:rPr>
                <w:rFonts w:hint="eastAsia" w:ascii="宋体" w:hAnsi="宋体" w:eastAsia="宋体" w:cs="宋体"/>
                <w:color w:val="auto"/>
                <w:kern w:val="0"/>
                <w:sz w:val="24"/>
                <w:szCs w:val="24"/>
                <w:u w:val="none" w:color="auto"/>
                <w:lang w:val="en-US" w:eastAsia="zh-CN" w:bidi="ar-SA"/>
              </w:rPr>
              <w:t>条款</w:t>
            </w:r>
          </w:p>
          <w:p w14:paraId="0C29EE13">
            <w:pPr>
              <w:widowControl w:val="0"/>
              <w:spacing w:line="520" w:lineRule="exact"/>
              <w:jc w:val="left"/>
              <w:rPr>
                <w:rFonts w:ascii="宋体" w:hAnsi="宋体" w:eastAsia="宋体" w:cs="宋体"/>
                <w:color w:val="auto"/>
                <w:kern w:val="0"/>
                <w:sz w:val="24"/>
                <w:szCs w:val="24"/>
                <w:u w:val="none" w:color="auto"/>
                <w:lang w:val="en-US" w:eastAsia="zh-CN" w:bidi="ar-SA"/>
              </w:rPr>
            </w:pPr>
            <w:r>
              <w:rPr>
                <w:rFonts w:hint="eastAsia" w:ascii="宋体" w:hAnsi="宋体" w:cs="宋体"/>
                <w:color w:val="auto"/>
                <w:kern w:val="0"/>
                <w:sz w:val="24"/>
                <w:szCs w:val="24"/>
                <w:u w:val="none" w:color="auto"/>
                <w:lang w:val="en-US" w:eastAsia="zh-CN" w:bidi="ar-SA"/>
              </w:rPr>
              <w:t>□</w:t>
            </w:r>
            <w:r>
              <w:rPr>
                <w:rFonts w:hint="eastAsia" w:ascii="宋体" w:hAnsi="宋体" w:eastAsia="宋体" w:cs="宋体"/>
                <w:color w:val="auto"/>
                <w:kern w:val="0"/>
                <w:sz w:val="24"/>
                <w:szCs w:val="24"/>
                <w:u w:val="none" w:color="auto"/>
                <w:lang w:val="en-US" w:eastAsia="zh-CN" w:bidi="ar-SA"/>
              </w:rPr>
              <w:t>损失赔偿约定：</w:t>
            </w:r>
          </w:p>
        </w:tc>
      </w:tr>
      <w:tr w14:paraId="1D4A5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noWrap w:val="0"/>
            <w:vAlign w:val="center"/>
          </w:tcPr>
          <w:p w14:paraId="1291361E">
            <w:pPr>
              <w:widowControl w:val="0"/>
              <w:spacing w:line="520" w:lineRule="exact"/>
              <w:ind w:firstLine="240" w:firstLineChars="100"/>
              <w:jc w:val="both"/>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11</w:t>
            </w:r>
          </w:p>
        </w:tc>
        <w:tc>
          <w:tcPr>
            <w:tcW w:w="8355" w:type="dxa"/>
            <w:noWrap w:val="0"/>
            <w:vAlign w:val="center"/>
          </w:tcPr>
          <w:p w14:paraId="7354EEF8">
            <w:pPr>
              <w:widowControl w:val="0"/>
              <w:spacing w:line="520" w:lineRule="exact"/>
              <w:jc w:val="left"/>
              <w:rPr>
                <w:rFonts w:hint="eastAsia"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误期赔偿费约定：赔偿费按每日加收合同金额的0.5%计收，直至提供服务为止。误期超过30日的，甲方有权单方解除合同，并要求乙方承担合同价款总额15%的违约金。</w:t>
            </w:r>
          </w:p>
        </w:tc>
      </w:tr>
      <w:tr w14:paraId="3C64A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noWrap w:val="0"/>
            <w:vAlign w:val="center"/>
          </w:tcPr>
          <w:p w14:paraId="42838E28">
            <w:pPr>
              <w:widowControl w:val="0"/>
              <w:spacing w:line="520" w:lineRule="exact"/>
              <w:jc w:val="center"/>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12</w:t>
            </w:r>
          </w:p>
        </w:tc>
        <w:tc>
          <w:tcPr>
            <w:tcW w:w="8355" w:type="dxa"/>
            <w:noWrap w:val="0"/>
            <w:vAlign w:val="center"/>
          </w:tcPr>
          <w:p w14:paraId="78D9BAB0">
            <w:pPr>
              <w:widowControl w:val="0"/>
              <w:spacing w:line="520" w:lineRule="exact"/>
              <w:jc w:val="left"/>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合同履行期限：自合同生效之日起至合同全部权利义务履行完毕之日止。</w:t>
            </w:r>
          </w:p>
        </w:tc>
      </w:tr>
      <w:tr w14:paraId="62A4D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jc w:val="center"/>
        </w:trPr>
        <w:tc>
          <w:tcPr>
            <w:tcW w:w="875" w:type="dxa"/>
            <w:noWrap w:val="0"/>
            <w:vAlign w:val="center"/>
          </w:tcPr>
          <w:p w14:paraId="28E97FB8">
            <w:pPr>
              <w:widowControl w:val="0"/>
              <w:spacing w:line="520" w:lineRule="exact"/>
              <w:jc w:val="center"/>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13</w:t>
            </w:r>
          </w:p>
        </w:tc>
        <w:tc>
          <w:tcPr>
            <w:tcW w:w="8355" w:type="dxa"/>
            <w:noWrap w:val="0"/>
            <w:vAlign w:val="center"/>
          </w:tcPr>
          <w:p w14:paraId="2A7880F8">
            <w:pPr>
              <w:widowControl w:val="0"/>
              <w:spacing w:line="520" w:lineRule="exact"/>
              <w:jc w:val="left"/>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合同纠纷的解决方式：</w:t>
            </w:r>
          </w:p>
          <w:p w14:paraId="1C433FE0">
            <w:pPr>
              <w:widowControl w:val="0"/>
              <w:spacing w:line="520" w:lineRule="exact"/>
              <w:jc w:val="left"/>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首先通过双方协商解决，协商解决不成，则通过以下途径之一解决纠纷(请在方框内画“√”选择)：</w:t>
            </w:r>
          </w:p>
          <w:p w14:paraId="1EFDF064">
            <w:pPr>
              <w:widowControl w:val="0"/>
              <w:spacing w:line="520" w:lineRule="exact"/>
              <w:jc w:val="left"/>
              <w:rPr>
                <w:rFonts w:ascii="宋体" w:hAnsi="宋体" w:eastAsia="宋体" w:cs="宋体"/>
                <w:color w:val="auto"/>
                <w:kern w:val="0"/>
                <w:sz w:val="24"/>
                <w:szCs w:val="24"/>
                <w:u w:val="none" w:color="auto"/>
                <w:lang w:val="en-US" w:eastAsia="zh-CN" w:bidi="ar-SA"/>
              </w:rPr>
            </w:pPr>
            <w:r>
              <w:rPr>
                <w:rFonts w:hint="eastAsia" w:ascii="宋体" w:hAnsi="宋体" w:cs="宋体"/>
                <w:color w:val="auto"/>
                <w:kern w:val="0"/>
                <w:sz w:val="24"/>
                <w:szCs w:val="24"/>
                <w:u w:val="none" w:color="auto"/>
                <w:lang w:val="en-US" w:eastAsia="zh-CN" w:bidi="ar-SA"/>
              </w:rPr>
              <w:t>□</w:t>
            </w:r>
            <w:r>
              <w:rPr>
                <w:rFonts w:hint="eastAsia" w:ascii="宋体" w:hAnsi="宋体" w:eastAsia="宋体" w:cs="宋体"/>
                <w:color w:val="auto"/>
                <w:kern w:val="0"/>
                <w:sz w:val="24"/>
                <w:szCs w:val="24"/>
                <w:u w:val="none" w:color="auto"/>
                <w:lang w:val="en-US" w:eastAsia="zh-CN" w:bidi="ar-SA"/>
              </w:rPr>
              <w:t>提请______仲裁委员会按照仲裁程序在______(仲裁地)仲裁</w:t>
            </w:r>
          </w:p>
          <w:p w14:paraId="195AA51E">
            <w:pPr>
              <w:widowControl w:val="0"/>
              <w:spacing w:line="520" w:lineRule="exact"/>
              <w:jc w:val="left"/>
              <w:rPr>
                <w:rFonts w:ascii="宋体" w:hAnsi="宋体" w:eastAsia="宋体" w:cs="宋体"/>
                <w:color w:val="auto"/>
                <w:kern w:val="0"/>
                <w:sz w:val="24"/>
                <w:szCs w:val="24"/>
                <w:u w:val="none" w:color="auto"/>
                <w:lang w:val="en-US" w:eastAsia="zh-CN" w:bidi="ar-SA"/>
              </w:rPr>
            </w:pPr>
            <w:r>
              <w:rPr>
                <w:rFonts w:hint="eastAsia" w:ascii="宋体" w:hAnsi="宋体" w:cs="宋体"/>
                <w:color w:val="auto"/>
                <w:kern w:val="0"/>
                <w:sz w:val="24"/>
                <w:szCs w:val="24"/>
                <w:u w:val="none" w:color="auto"/>
                <w:lang w:val="en-US" w:eastAsia="zh-CN" w:bidi="ar-SA"/>
              </w:rPr>
              <w:t>☑</w:t>
            </w:r>
            <w:r>
              <w:rPr>
                <w:rFonts w:hint="eastAsia" w:ascii="宋体" w:hAnsi="宋体" w:eastAsia="宋体" w:cs="宋体"/>
                <w:color w:val="auto"/>
                <w:kern w:val="0"/>
                <w:sz w:val="24"/>
                <w:szCs w:val="24"/>
                <w:u w:val="none" w:color="auto"/>
                <w:lang w:val="en-US" w:eastAsia="zh-CN" w:bidi="ar-SA"/>
              </w:rPr>
              <w:t>向甲方所在地人民法院提起诉讼</w:t>
            </w:r>
          </w:p>
        </w:tc>
      </w:tr>
    </w:tbl>
    <w:p w14:paraId="51D7EEE5">
      <w:pPr>
        <w:widowControl w:val="0"/>
        <w:spacing w:line="520" w:lineRule="exact"/>
        <w:ind w:firstLine="480" w:firstLineChars="200"/>
        <w:jc w:val="both"/>
        <w:rPr>
          <w:rFonts w:ascii="宋体" w:hAnsi="宋体" w:eastAsia="宋体" w:cs="宋体"/>
          <w:color w:val="auto"/>
          <w:kern w:val="0"/>
          <w:sz w:val="24"/>
          <w:szCs w:val="24"/>
          <w:u w:val="none" w:color="auto"/>
          <w:lang w:val="en-US" w:eastAsia="zh-CN" w:bidi="ar-SA"/>
        </w:rPr>
      </w:pPr>
    </w:p>
    <w:p w14:paraId="588287BF">
      <w:pPr>
        <w:widowControl w:val="0"/>
        <w:spacing w:line="520" w:lineRule="exact"/>
        <w:ind w:firstLine="480" w:firstLineChars="200"/>
        <w:jc w:val="both"/>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2.投标报价表（内容略）</w:t>
      </w:r>
    </w:p>
    <w:p w14:paraId="21BE1B57">
      <w:pPr>
        <w:widowControl w:val="0"/>
        <w:spacing w:line="520" w:lineRule="exact"/>
        <w:ind w:firstLine="480" w:firstLineChars="200"/>
        <w:jc w:val="both"/>
        <w:rPr>
          <w:rFonts w:ascii="宋体" w:hAnsi="宋体" w:eastAsia="宋体" w:cs="宋体"/>
          <w:color w:val="auto"/>
          <w:kern w:val="0"/>
          <w:sz w:val="24"/>
          <w:szCs w:val="24"/>
          <w:u w:val="none" w:color="auto"/>
          <w:lang w:val="en-US" w:eastAsia="zh-CN" w:bidi="ar-SA"/>
        </w:rPr>
      </w:pPr>
    </w:p>
    <w:p w14:paraId="0F29B5E5">
      <w:pPr>
        <w:widowControl w:val="0"/>
        <w:spacing w:line="520" w:lineRule="exact"/>
        <w:ind w:firstLine="480" w:firstLineChars="200"/>
        <w:jc w:val="both"/>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3.投标文件技术部分（内容略）</w:t>
      </w:r>
    </w:p>
    <w:p w14:paraId="7370B33B">
      <w:pPr>
        <w:widowControl w:val="0"/>
        <w:spacing w:line="520" w:lineRule="exact"/>
        <w:ind w:firstLine="480" w:firstLineChars="200"/>
        <w:jc w:val="both"/>
        <w:rPr>
          <w:rFonts w:ascii="宋体" w:hAnsi="宋体" w:eastAsia="宋体" w:cs="宋体"/>
          <w:color w:val="auto"/>
          <w:kern w:val="0"/>
          <w:sz w:val="24"/>
          <w:szCs w:val="24"/>
          <w:u w:val="none" w:color="auto"/>
          <w:lang w:val="en-US" w:eastAsia="zh-CN" w:bidi="ar-SA"/>
        </w:rPr>
      </w:pPr>
    </w:p>
    <w:p w14:paraId="320E1FDA">
      <w:pPr>
        <w:widowControl w:val="0"/>
        <w:adjustRightInd w:val="0"/>
        <w:snapToGrid w:val="0"/>
        <w:spacing w:line="520" w:lineRule="exact"/>
        <w:ind w:firstLine="0" w:firstLineChars="0"/>
        <w:jc w:val="both"/>
        <w:rPr>
          <w:rFonts w:ascii="宋体" w:hAnsi="宋体" w:eastAsia="宋体" w:cs="宋体"/>
          <w:color w:val="auto"/>
          <w:kern w:val="2"/>
          <w:sz w:val="24"/>
          <w:szCs w:val="24"/>
          <w:u w:val="none" w:color="auto"/>
          <w:lang w:val="en-US" w:eastAsia="zh-CN" w:bidi="ar-SA"/>
        </w:rPr>
      </w:pPr>
    </w:p>
    <w:p w14:paraId="749EA90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宋体" w:hAnsi="宋体" w:eastAsia="宋体" w:cs="宋体"/>
          <w:color w:val="auto"/>
          <w:kern w:val="0"/>
          <w:sz w:val="24"/>
          <w:szCs w:val="24"/>
          <w:u w:val="none" w:color="auto"/>
          <w:lang w:val="en-US" w:eastAsia="zh-CN" w:bidi="ar-SA"/>
        </w:rPr>
      </w:pPr>
      <w:r>
        <w:rPr>
          <w:rFonts w:ascii="宋体" w:hAnsi="宋体" w:eastAsia="宋体" w:cs="宋体"/>
          <w:color w:val="auto"/>
          <w:kern w:val="0"/>
          <w:sz w:val="24"/>
          <w:szCs w:val="24"/>
          <w:u w:val="none" w:color="auto"/>
          <w:lang w:val="en-US" w:eastAsia="zh-CN" w:bidi="ar-SA"/>
        </w:rPr>
        <w:br w:type="page"/>
      </w:r>
    </w:p>
    <w:p w14:paraId="5D041997">
      <w:pPr>
        <w:pStyle w:val="33"/>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hAnsi="宋体" w:eastAsia="宋体" w:cs="宋体"/>
          <w:b/>
          <w:bCs/>
          <w:color w:val="auto"/>
          <w:sz w:val="24"/>
          <w:szCs w:val="24"/>
          <w:u w:val="none" w:color="auto"/>
          <w:lang w:val="en-US" w:eastAsia="zh-CN"/>
        </w:rPr>
      </w:pPr>
      <w:r>
        <w:rPr>
          <w:rFonts w:hint="eastAsia" w:hAnsi="宋体" w:cs="宋体"/>
          <w:b/>
          <w:bCs/>
          <w:color w:val="auto"/>
          <w:sz w:val="24"/>
          <w:szCs w:val="24"/>
          <w:u w:val="none" w:color="auto"/>
          <w:lang w:val="en-US" w:eastAsia="zh-CN"/>
        </w:rPr>
        <w:t>通用条款</w:t>
      </w:r>
    </w:p>
    <w:p w14:paraId="41D84006">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bCs/>
          <w:color w:val="auto"/>
          <w:kern w:val="0"/>
          <w:sz w:val="24"/>
          <w:szCs w:val="24"/>
          <w:u w:val="none" w:color="auto"/>
          <w:lang w:val="en-US" w:eastAsia="zh-CN" w:bidi="ar-SA"/>
        </w:rPr>
      </w:pPr>
      <w:r>
        <w:rPr>
          <w:rFonts w:hint="eastAsia" w:ascii="宋体" w:hAnsi="宋体" w:eastAsia="宋体" w:cs="宋体"/>
          <w:b/>
          <w:bCs/>
          <w:color w:val="auto"/>
          <w:kern w:val="0"/>
          <w:sz w:val="24"/>
          <w:szCs w:val="24"/>
          <w:u w:val="none" w:color="auto"/>
          <w:lang w:val="en-US" w:eastAsia="zh-CN" w:bidi="ar-SA"/>
        </w:rPr>
        <w:t>1.定义</w:t>
      </w:r>
    </w:p>
    <w:p w14:paraId="4A77741E">
      <w:pPr>
        <w:widowControl w:val="0"/>
        <w:spacing w:line="500" w:lineRule="exact"/>
        <w:ind w:firstLine="480" w:firstLineChars="200"/>
        <w:jc w:val="both"/>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本合同下列术语应解释为：</w:t>
      </w:r>
    </w:p>
    <w:p w14:paraId="432DC1EE">
      <w:pPr>
        <w:widowControl w:val="0"/>
        <w:spacing w:line="500" w:lineRule="exact"/>
        <w:ind w:firstLine="480" w:firstLineChars="200"/>
        <w:jc w:val="both"/>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1.1　“甲方”是指</w:t>
      </w:r>
      <w:ins w:id="12" w:author="金政浩" w:date="2025-11-23T21:00:00Z">
        <w:r>
          <w:rPr>
            <w:rFonts w:hint="eastAsia" w:ascii="宋体" w:hAnsi="宋体" w:eastAsia="宋体" w:cs="宋体"/>
            <w:color w:val="auto"/>
            <w:kern w:val="0"/>
            <w:sz w:val="24"/>
            <w:szCs w:val="24"/>
            <w:u w:val="none" w:color="auto"/>
            <w:lang w:val="en-US" w:eastAsia="zh-CN" w:bidi="ar-SA"/>
          </w:rPr>
          <w:t>国家税务总局克拉玛依市克拉玛依区税务局</w:t>
        </w:r>
      </w:ins>
      <w:r>
        <w:rPr>
          <w:rFonts w:hint="eastAsia" w:ascii="宋体" w:hAnsi="宋体" w:eastAsia="宋体" w:cs="宋体"/>
          <w:color w:val="auto"/>
          <w:kern w:val="0"/>
          <w:sz w:val="24"/>
          <w:szCs w:val="24"/>
          <w:u w:val="none" w:color="auto"/>
          <w:lang w:val="en-US" w:eastAsia="zh-CN" w:bidi="ar-SA"/>
        </w:rPr>
        <w:t>。</w:t>
      </w:r>
    </w:p>
    <w:p w14:paraId="0E2B6085">
      <w:pPr>
        <w:widowControl w:val="0"/>
        <w:spacing w:line="500" w:lineRule="exact"/>
        <w:ind w:firstLine="480" w:firstLineChars="200"/>
        <w:jc w:val="both"/>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1.2　“乙方”是指XXXX。</w:t>
      </w:r>
    </w:p>
    <w:p w14:paraId="45B82F05">
      <w:pPr>
        <w:widowControl w:val="0"/>
        <w:spacing w:line="500" w:lineRule="exact"/>
        <w:ind w:firstLine="480" w:firstLineChars="200"/>
        <w:jc w:val="both"/>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1.3　“合同”系指甲乙双方签署的、合同中载明的甲乙双方所达成的协议，包括所有的附件、附录和上述文件所提到的构成合同的所有文件。</w:t>
      </w:r>
    </w:p>
    <w:p w14:paraId="12240BF8">
      <w:pPr>
        <w:widowControl w:val="0"/>
        <w:spacing w:line="500" w:lineRule="exact"/>
        <w:ind w:firstLine="480" w:firstLineChars="200"/>
        <w:jc w:val="both"/>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1.4　“服务”是指乙方按照招标(采购)、投标(响应)文件要求，向采购人提供的技术支持服务。</w:t>
      </w:r>
    </w:p>
    <w:p w14:paraId="627F177B">
      <w:pPr>
        <w:widowControl w:val="0"/>
        <w:spacing w:line="500" w:lineRule="exact"/>
        <w:ind w:firstLine="480" w:firstLineChars="200"/>
        <w:jc w:val="both"/>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1.5　“项目现场”是指甲方指定的最终服务地点。</w:t>
      </w:r>
    </w:p>
    <w:p w14:paraId="1FC662A6">
      <w:pPr>
        <w:widowControl w:val="0"/>
        <w:spacing w:line="500" w:lineRule="exact"/>
        <w:ind w:firstLine="480" w:firstLineChars="200"/>
        <w:jc w:val="both"/>
        <w:rPr>
          <w:rFonts w:hint="eastAsia"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1.6　“天”除非特别指出，“天”均为自然天。</w:t>
      </w:r>
    </w:p>
    <w:p w14:paraId="389367CA">
      <w:pPr>
        <w:spacing w:line="480" w:lineRule="exact"/>
        <w:ind w:firstLine="480" w:firstLineChars="200"/>
        <w:rPr>
          <w:rFonts w:hint="eastAsia" w:hAnsi="宋体" w:cs="宋体"/>
          <w:color w:val="auto"/>
          <w:sz w:val="24"/>
          <w:szCs w:val="24"/>
          <w:u w:val="none" w:color="auto"/>
        </w:rPr>
      </w:pPr>
      <w:r>
        <w:rPr>
          <w:rFonts w:hint="eastAsia" w:ascii="宋体" w:hAnsi="宋体" w:eastAsia="宋体" w:cs="仿宋"/>
          <w:color w:val="auto"/>
          <w:sz w:val="24"/>
          <w:szCs w:val="24"/>
          <w:u w:val="none" w:color="auto"/>
          <w:lang w:val="en-US" w:eastAsia="zh-CN"/>
        </w:rPr>
        <w:t>1.7 “合同编号”是指“合同年份”-“</w:t>
      </w:r>
      <w:r>
        <w:rPr>
          <w:rFonts w:hint="eastAsia" w:ascii="宋体" w:hAnsi="宋体" w:cs="仿宋"/>
          <w:color w:val="auto"/>
          <w:sz w:val="24"/>
          <w:szCs w:val="24"/>
          <w:u w:val="none" w:color="auto"/>
          <w:lang w:val="en-US" w:eastAsia="zh-CN"/>
        </w:rPr>
        <w:t>单位</w:t>
      </w:r>
      <w:r>
        <w:rPr>
          <w:rFonts w:hint="eastAsia" w:ascii="宋体" w:hAnsi="宋体" w:eastAsia="宋体" w:cs="仿宋"/>
          <w:color w:val="auto"/>
          <w:sz w:val="24"/>
          <w:szCs w:val="24"/>
          <w:u w:val="none" w:color="auto"/>
          <w:lang w:val="en-US" w:eastAsia="zh-CN"/>
        </w:rPr>
        <w:t>简称”-“合同年度</w:t>
      </w:r>
      <w:r>
        <w:rPr>
          <w:rFonts w:hint="eastAsia" w:ascii="宋体" w:hAnsi="宋体" w:cs="仿宋"/>
          <w:color w:val="auto"/>
          <w:sz w:val="24"/>
          <w:szCs w:val="24"/>
          <w:u w:val="none" w:color="auto"/>
          <w:lang w:val="en-US" w:eastAsia="zh-CN"/>
        </w:rPr>
        <w:t>内单位</w:t>
      </w:r>
      <w:r>
        <w:rPr>
          <w:rFonts w:hint="eastAsia" w:ascii="宋体" w:hAnsi="宋体" w:eastAsia="宋体" w:cs="仿宋"/>
          <w:color w:val="auto"/>
          <w:sz w:val="24"/>
          <w:szCs w:val="24"/>
          <w:u w:val="none" w:color="auto"/>
          <w:lang w:val="en-US" w:eastAsia="zh-CN"/>
        </w:rPr>
        <w:t>合同顺序号”，如：202</w:t>
      </w:r>
      <w:r>
        <w:rPr>
          <w:rFonts w:hint="eastAsia" w:ascii="宋体" w:hAnsi="宋体" w:cs="仿宋"/>
          <w:color w:val="auto"/>
          <w:sz w:val="24"/>
          <w:szCs w:val="24"/>
          <w:u w:val="none" w:color="auto"/>
          <w:lang w:val="en-US" w:eastAsia="zh-CN"/>
        </w:rPr>
        <w:t>3</w:t>
      </w:r>
      <w:r>
        <w:rPr>
          <w:rFonts w:hint="eastAsia" w:ascii="宋体" w:hAnsi="宋体" w:eastAsia="宋体" w:cs="仿宋"/>
          <w:color w:val="auto"/>
          <w:sz w:val="24"/>
          <w:szCs w:val="24"/>
          <w:u w:val="none" w:color="auto"/>
          <w:lang w:val="en-US" w:eastAsia="zh-CN"/>
        </w:rPr>
        <w:t>年</w:t>
      </w:r>
      <w:r>
        <w:rPr>
          <w:rFonts w:hint="eastAsia" w:ascii="宋体" w:hAnsi="宋体" w:cs="仿宋"/>
          <w:color w:val="auto"/>
          <w:sz w:val="24"/>
          <w:szCs w:val="24"/>
          <w:u w:val="none" w:color="auto"/>
          <w:lang w:val="en-US" w:eastAsia="zh-CN"/>
        </w:rPr>
        <w:t>克拉玛依区税务局</w:t>
      </w:r>
      <w:r>
        <w:rPr>
          <w:rFonts w:hint="eastAsia" w:ascii="宋体" w:hAnsi="宋体" w:eastAsia="宋体" w:cs="仿宋"/>
          <w:color w:val="auto"/>
          <w:sz w:val="24"/>
          <w:szCs w:val="24"/>
          <w:u w:val="none" w:color="auto"/>
          <w:lang w:val="en-US" w:eastAsia="zh-CN"/>
        </w:rPr>
        <w:t>第一号合同，合同编号为“2023-</w:t>
      </w:r>
      <w:r>
        <w:rPr>
          <w:rFonts w:hint="eastAsia" w:ascii="宋体" w:hAnsi="宋体" w:cs="仿宋"/>
          <w:color w:val="auto"/>
          <w:sz w:val="24"/>
          <w:szCs w:val="24"/>
          <w:u w:val="none" w:color="auto"/>
          <w:lang w:val="en-US" w:eastAsia="zh-CN"/>
        </w:rPr>
        <w:t>kqswj</w:t>
      </w:r>
      <w:r>
        <w:rPr>
          <w:rFonts w:hint="eastAsia" w:ascii="宋体" w:hAnsi="宋体" w:eastAsia="宋体" w:cs="仿宋"/>
          <w:color w:val="auto"/>
          <w:sz w:val="24"/>
          <w:szCs w:val="24"/>
          <w:u w:val="none" w:color="auto"/>
          <w:lang w:val="en-US" w:eastAsia="zh-CN"/>
        </w:rPr>
        <w:t>-01”。</w:t>
      </w:r>
    </w:p>
    <w:p w14:paraId="1C3AF98A">
      <w:pPr>
        <w:widowControl w:val="0"/>
        <w:spacing w:line="500" w:lineRule="exact"/>
        <w:ind w:firstLine="482" w:firstLineChars="200"/>
        <w:jc w:val="both"/>
        <w:rPr>
          <w:rFonts w:ascii="宋体" w:hAnsi="宋体" w:eastAsia="宋体" w:cs="宋体"/>
          <w:b/>
          <w:bCs/>
          <w:color w:val="auto"/>
          <w:kern w:val="0"/>
          <w:sz w:val="24"/>
          <w:szCs w:val="24"/>
          <w:u w:val="none" w:color="auto"/>
          <w:lang w:val="en-US" w:eastAsia="zh-CN" w:bidi="ar-SA"/>
        </w:rPr>
      </w:pPr>
      <w:r>
        <w:rPr>
          <w:rFonts w:hint="eastAsia" w:ascii="宋体" w:hAnsi="宋体" w:eastAsia="宋体" w:cs="宋体"/>
          <w:b/>
          <w:bCs/>
          <w:color w:val="auto"/>
          <w:kern w:val="0"/>
          <w:sz w:val="24"/>
          <w:szCs w:val="24"/>
          <w:u w:val="none" w:color="auto"/>
          <w:lang w:val="en-US" w:eastAsia="zh-CN" w:bidi="ar-SA"/>
        </w:rPr>
        <w:t>2.服务标准</w:t>
      </w:r>
    </w:p>
    <w:p w14:paraId="302C2958">
      <w:pPr>
        <w:widowControl w:val="0"/>
        <w:spacing w:line="500" w:lineRule="exact"/>
        <w:ind w:firstLine="480" w:firstLineChars="200"/>
        <w:jc w:val="both"/>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2.1　乙方为甲方交付的服务应符合招标(采购)文件所述的内容，如果没有提及适用标准，则应符合相应的国家标准。这些标准必须是有关机构发布的最新版本的标准。</w:t>
      </w:r>
    </w:p>
    <w:p w14:paraId="0F41C8B2">
      <w:pPr>
        <w:widowControl w:val="0"/>
        <w:spacing w:line="500" w:lineRule="exact"/>
        <w:ind w:firstLine="480" w:firstLineChars="200"/>
        <w:jc w:val="both"/>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2.2　除非技术要求中另有规定，计量单位均采用中华人民共和国法定计量单位。</w:t>
      </w:r>
    </w:p>
    <w:p w14:paraId="00B83E71">
      <w:pPr>
        <w:widowControl w:val="0"/>
        <w:spacing w:line="500" w:lineRule="exact"/>
        <w:ind w:firstLine="482" w:firstLineChars="200"/>
        <w:jc w:val="both"/>
        <w:rPr>
          <w:rFonts w:hint="default" w:ascii="宋体" w:hAnsi="宋体" w:eastAsia="宋体" w:cs="宋体"/>
          <w:b/>
          <w:bCs/>
          <w:color w:val="auto"/>
          <w:kern w:val="0"/>
          <w:sz w:val="24"/>
          <w:szCs w:val="24"/>
          <w:u w:val="none" w:color="auto"/>
          <w:lang w:val="en-US" w:eastAsia="zh-CN" w:bidi="ar-SA"/>
        </w:rPr>
      </w:pPr>
      <w:r>
        <w:rPr>
          <w:rFonts w:hint="eastAsia" w:ascii="宋体" w:hAnsi="宋体" w:eastAsia="宋体" w:cs="宋体"/>
          <w:b/>
          <w:bCs/>
          <w:color w:val="auto"/>
          <w:kern w:val="0"/>
          <w:sz w:val="24"/>
          <w:szCs w:val="24"/>
          <w:u w:val="none" w:color="auto"/>
          <w:lang w:val="en-US" w:eastAsia="zh-CN" w:bidi="ar-SA"/>
        </w:rPr>
        <w:t>3.服务内容及人员配置要求</w:t>
      </w:r>
    </w:p>
    <w:p w14:paraId="22500994">
      <w:pPr>
        <w:widowControl w:val="0"/>
        <w:spacing w:line="500" w:lineRule="exact"/>
        <w:ind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u w:val="none" w:color="auto"/>
          <w:lang w:val="en-US" w:eastAsia="zh-CN" w:bidi="ar-SA"/>
        </w:rPr>
        <w:t>3.1　乙方应按照合同的规定，向甲方提供符合要求的服务。</w:t>
      </w:r>
      <w:r>
        <w:rPr>
          <w:rFonts w:hint="eastAsia" w:ascii="宋体" w:hAnsi="宋体" w:eastAsia="宋体" w:cs="宋体"/>
          <w:color w:val="auto"/>
          <w:kern w:val="0"/>
          <w:sz w:val="24"/>
          <w:szCs w:val="24"/>
          <w:highlight w:val="none"/>
          <w:lang w:val="en-US" w:eastAsia="zh-CN" w:bidi="ar-SA"/>
        </w:rPr>
        <w:t>安保服务包括基本服务、安保服务、建筑消防设施日常运行维保服务以及其他服务等。</w:t>
      </w:r>
    </w:p>
    <w:p w14:paraId="275166A4">
      <w:pPr>
        <w:widowControl w:val="0"/>
        <w:spacing w:line="500" w:lineRule="exact"/>
        <w:ind w:firstLine="480" w:firstLineChars="200"/>
        <w:jc w:val="both"/>
        <w:rPr>
          <w:rFonts w:hint="eastAsia"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3.1.1　基本服务</w:t>
      </w:r>
    </w:p>
    <w:tbl>
      <w:tblPr>
        <w:tblStyle w:val="60"/>
        <w:tblW w:w="9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1395"/>
        <w:gridCol w:w="7087"/>
      </w:tblGrid>
      <w:tr w14:paraId="695D1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noWrap w:val="0"/>
            <w:vAlign w:val="center"/>
          </w:tcPr>
          <w:p w14:paraId="052C390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1395" w:type="dxa"/>
            <w:noWrap w:val="0"/>
            <w:vAlign w:val="center"/>
          </w:tcPr>
          <w:p w14:paraId="0C8F7E4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服务内容</w:t>
            </w:r>
          </w:p>
        </w:tc>
        <w:tc>
          <w:tcPr>
            <w:tcW w:w="7087" w:type="dxa"/>
            <w:noWrap w:val="0"/>
            <w:vAlign w:val="center"/>
          </w:tcPr>
          <w:p w14:paraId="66D5F38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服务标准</w:t>
            </w:r>
          </w:p>
        </w:tc>
      </w:tr>
      <w:tr w14:paraId="35762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14:paraId="0BEC6E9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395" w:type="dxa"/>
            <w:vMerge w:val="restart"/>
            <w:noWrap w:val="0"/>
            <w:vAlign w:val="center"/>
          </w:tcPr>
          <w:p w14:paraId="38D3F6E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目标与责任</w:t>
            </w:r>
          </w:p>
        </w:tc>
        <w:tc>
          <w:tcPr>
            <w:tcW w:w="7087" w:type="dxa"/>
            <w:noWrap w:val="0"/>
            <w:vAlign w:val="center"/>
          </w:tcPr>
          <w:p w14:paraId="0468CB8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（1）结合甲方要求及安保服务实际情况，制定年度管理目标，明确责任分工，并制定配套实施方案。</w:t>
            </w:r>
          </w:p>
        </w:tc>
      </w:tr>
      <w:tr w14:paraId="6BEF6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74BA28A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395" w:type="dxa"/>
            <w:vMerge w:val="continue"/>
            <w:noWrap w:val="0"/>
            <w:vAlign w:val="center"/>
          </w:tcPr>
          <w:p w14:paraId="466AEC4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7087" w:type="dxa"/>
            <w:noWrap w:val="0"/>
            <w:vAlign w:val="center"/>
          </w:tcPr>
          <w:p w14:paraId="1560B8D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（2）每月初定期给甲方报送上月安保服务工作报告、本月安保服务工作计划。</w:t>
            </w:r>
          </w:p>
        </w:tc>
      </w:tr>
      <w:tr w14:paraId="61F5B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14:paraId="3043B81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395" w:type="dxa"/>
            <w:vMerge w:val="restart"/>
            <w:noWrap w:val="0"/>
            <w:vAlign w:val="center"/>
          </w:tcPr>
          <w:p w14:paraId="26AB5F5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服务人员</w:t>
            </w:r>
          </w:p>
          <w:p w14:paraId="435CDD1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要求</w:t>
            </w:r>
          </w:p>
        </w:tc>
        <w:tc>
          <w:tcPr>
            <w:tcW w:w="7087" w:type="dxa"/>
            <w:noWrap w:val="0"/>
            <w:vAlign w:val="center"/>
          </w:tcPr>
          <w:p w14:paraId="215536B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（1）每季度至少开展1次岗位技能、职业素质、服务知识、绿色节能环保等教育培训，并进行适当形式的考核。</w:t>
            </w:r>
          </w:p>
        </w:tc>
      </w:tr>
      <w:tr w14:paraId="6D0E1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68AA376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395" w:type="dxa"/>
            <w:vMerge w:val="continue"/>
            <w:noWrap w:val="0"/>
            <w:vAlign w:val="center"/>
          </w:tcPr>
          <w:p w14:paraId="3DA645F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7087" w:type="dxa"/>
            <w:noWrap w:val="0"/>
            <w:vAlign w:val="center"/>
          </w:tcPr>
          <w:p w14:paraId="6008B73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（2）根据甲方要求对服务人员进行从业资格审查，审查结果向甲方报备。</w:t>
            </w:r>
          </w:p>
        </w:tc>
      </w:tr>
      <w:tr w14:paraId="572E0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3A30F88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395" w:type="dxa"/>
            <w:vMerge w:val="continue"/>
            <w:noWrap w:val="0"/>
            <w:vAlign w:val="center"/>
          </w:tcPr>
          <w:p w14:paraId="4AA206C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7087" w:type="dxa"/>
            <w:noWrap w:val="0"/>
            <w:vAlign w:val="center"/>
          </w:tcPr>
          <w:p w14:paraId="5FDF111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服务人员的年龄、学历、工作经验及资格条件应当与所在岗位能力要求相匹配，到岗前应当经过必要的岗前培训以达到岗位能力要求，国家、行业规定应当取得职业资格证书或特种作业证书的，应当按规定持证上岗。</w:t>
            </w:r>
          </w:p>
        </w:tc>
      </w:tr>
      <w:tr w14:paraId="662F8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1A119E1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395" w:type="dxa"/>
            <w:vMerge w:val="continue"/>
            <w:noWrap w:val="0"/>
            <w:vAlign w:val="center"/>
          </w:tcPr>
          <w:p w14:paraId="3B781F4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7087" w:type="dxa"/>
            <w:noWrap w:val="0"/>
            <w:vAlign w:val="center"/>
          </w:tcPr>
          <w:p w14:paraId="04A7B9C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乙方应当按照服务人员需求，足额配备岗位人员，如岗位人员缺失，甲方要根据实际情况核减当月服务费用。如甲方认为服务人员不适应岗位要求或存在其他影响工作的，可要求乙方进行调换。如因乙方原因对服务人员进行调换，应当经甲方同意，更换比例不得超过本项目服务人员总数的20%。本项目服务人员不得在其他项目兼职。</w:t>
            </w:r>
          </w:p>
        </w:tc>
      </w:tr>
      <w:tr w14:paraId="3314F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0C5F83A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395" w:type="dxa"/>
            <w:vMerge w:val="continue"/>
            <w:noWrap w:val="0"/>
            <w:vAlign w:val="center"/>
          </w:tcPr>
          <w:p w14:paraId="0CDDEE5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7087" w:type="dxa"/>
            <w:noWrap w:val="0"/>
            <w:vAlign w:val="center"/>
          </w:tcPr>
          <w:p w14:paraId="314D171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（5）着装分类统一。仪容整洁、姿态端正。发型配饰符合工作岗位。举止文明、用语文明礼貌，态度温和耐心。工作装由乙方提供。</w:t>
            </w:r>
          </w:p>
        </w:tc>
      </w:tr>
      <w:tr w14:paraId="15310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1807690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395" w:type="dxa"/>
            <w:vMerge w:val="continue"/>
            <w:noWrap w:val="0"/>
            <w:vAlign w:val="center"/>
          </w:tcPr>
          <w:p w14:paraId="0FF72C4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7087" w:type="dxa"/>
            <w:noWrap w:val="0"/>
            <w:vAlign w:val="center"/>
          </w:tcPr>
          <w:p w14:paraId="3A589C8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（6）服务人员身体健康，无妨碍工作的病症。</w:t>
            </w:r>
          </w:p>
        </w:tc>
      </w:tr>
      <w:tr w14:paraId="4E6FC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14:paraId="6FBF3BC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395" w:type="dxa"/>
            <w:vMerge w:val="restart"/>
            <w:noWrap w:val="0"/>
            <w:vAlign w:val="center"/>
          </w:tcPr>
          <w:p w14:paraId="46D787D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保密和思想政治教育</w:t>
            </w:r>
          </w:p>
        </w:tc>
        <w:tc>
          <w:tcPr>
            <w:tcW w:w="7087" w:type="dxa"/>
            <w:noWrap w:val="0"/>
            <w:vAlign w:val="center"/>
          </w:tcPr>
          <w:p w14:paraId="3992186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（1）建立保密管理制度。制度内容应当包括但不限于：①明确重点要害岗位保密职责。②对涉密工作岗位的保密要求。</w:t>
            </w:r>
          </w:p>
        </w:tc>
      </w:tr>
      <w:tr w14:paraId="1F3DE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26F6386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395" w:type="dxa"/>
            <w:vMerge w:val="continue"/>
            <w:noWrap w:val="0"/>
            <w:vAlign w:val="center"/>
          </w:tcPr>
          <w:p w14:paraId="72AC511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7087" w:type="dxa"/>
            <w:noWrap w:val="0"/>
            <w:vAlign w:val="center"/>
          </w:tcPr>
          <w:p w14:paraId="059E53A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（2）根据甲方要求与涉密工作岗位的服务人员签订保密协议。保密协议应当向甲方报备。</w:t>
            </w:r>
          </w:p>
        </w:tc>
      </w:tr>
      <w:tr w14:paraId="338E3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63163C9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395" w:type="dxa"/>
            <w:vMerge w:val="continue"/>
            <w:noWrap w:val="0"/>
            <w:vAlign w:val="center"/>
          </w:tcPr>
          <w:p w14:paraId="7FBB6C0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7087" w:type="dxa"/>
            <w:noWrap w:val="0"/>
            <w:vAlign w:val="center"/>
          </w:tcPr>
          <w:p w14:paraId="20399C3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每半年至少开展1次对服务人员进行保密、思想政治教育的培训，提高服务人员保密意识和思想政治意识。新入职员工应当接受保密、思想政治教育培训，进行必要的人员经历审查，合格后签订保密协议方可上岗。</w:t>
            </w:r>
          </w:p>
        </w:tc>
      </w:tr>
      <w:tr w14:paraId="1757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3B8AF6B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395" w:type="dxa"/>
            <w:vMerge w:val="continue"/>
            <w:noWrap w:val="0"/>
            <w:vAlign w:val="center"/>
          </w:tcPr>
          <w:p w14:paraId="60BF2C2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7087" w:type="dxa"/>
            <w:noWrap w:val="0"/>
            <w:vAlign w:val="center"/>
          </w:tcPr>
          <w:p w14:paraId="34175A2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（4）发现服务人员违法违规或重大过失，及时报告甲方，并采取必要补救措施。</w:t>
            </w:r>
          </w:p>
        </w:tc>
      </w:tr>
      <w:tr w14:paraId="0C8A5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75451DA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395" w:type="dxa"/>
            <w:vMerge w:val="continue"/>
            <w:noWrap w:val="0"/>
            <w:vAlign w:val="center"/>
          </w:tcPr>
          <w:p w14:paraId="35CDF38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7087" w:type="dxa"/>
            <w:noWrap w:val="0"/>
            <w:vAlign w:val="center"/>
          </w:tcPr>
          <w:p w14:paraId="1D8A7AE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服务人员严守保密底线，不随意打探、传播工作中接触到的采购单位的所有内部信息，对在电梯、走廊等公共区域听到的谈话内容做到“左耳进右耳出”；服务人员不轻易相信未经证实的信息，不参与口头、微信等任何方式的传谣；服务人员与他人交流不猜测、不评论、不议论采购单位内部的敏感话题，对各类消息保持审慎态度，严禁“听风就是雨”。</w:t>
            </w:r>
          </w:p>
        </w:tc>
      </w:tr>
      <w:tr w14:paraId="10BBF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14:paraId="6BC4E9B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395" w:type="dxa"/>
            <w:vMerge w:val="restart"/>
            <w:noWrap w:val="0"/>
            <w:vAlign w:val="center"/>
          </w:tcPr>
          <w:p w14:paraId="2889C51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档案管理</w:t>
            </w:r>
          </w:p>
        </w:tc>
        <w:tc>
          <w:tcPr>
            <w:tcW w:w="7087" w:type="dxa"/>
            <w:noWrap w:val="0"/>
            <w:vAlign w:val="center"/>
          </w:tcPr>
          <w:p w14:paraId="1208EF2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（1）准确、及时地对文件资料和服务记录进行归档保存，并确保其物理安全。</w:t>
            </w:r>
          </w:p>
        </w:tc>
      </w:tr>
      <w:tr w14:paraId="038A0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3143833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395" w:type="dxa"/>
            <w:vMerge w:val="continue"/>
            <w:noWrap w:val="0"/>
            <w:vAlign w:val="center"/>
          </w:tcPr>
          <w:p w14:paraId="57D22AA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7087" w:type="dxa"/>
            <w:noWrap w:val="0"/>
            <w:vAlign w:val="center"/>
          </w:tcPr>
          <w:p w14:paraId="3A21F0B6">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档案和记录齐全，包括但不限于：</w:t>
            </w:r>
          </w:p>
          <w:p w14:paraId="260282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①安保服务：监控记录、突发事件演习与处置记录等。</w:t>
            </w:r>
          </w:p>
          <w:p w14:paraId="7F9CFE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②建筑消防设施日常运行维保服务：消防设备台账、消防设备卡、使用说明、消防设备维保记录、巡查记录、消防设施</w:t>
            </w:r>
            <w:r>
              <w:rPr>
                <w:rFonts w:hint="eastAsia" w:ascii="宋体" w:hAnsi="宋体" w:eastAsia="宋体" w:cs="宋体"/>
                <w:color w:val="auto"/>
                <w:sz w:val="24"/>
                <w:szCs w:val="24"/>
                <w:highlight w:val="none"/>
                <w:lang w:eastAsia="zh-CN"/>
              </w:rPr>
              <w:t>设备安全运行、</w:t>
            </w:r>
            <w:r>
              <w:rPr>
                <w:rFonts w:hint="eastAsia" w:ascii="宋体" w:hAnsi="宋体" w:eastAsia="宋体" w:cs="宋体"/>
                <w:color w:val="auto"/>
                <w:sz w:val="24"/>
                <w:szCs w:val="24"/>
                <w:highlight w:val="none"/>
                <w:lang w:val="en-US" w:eastAsia="zh-CN"/>
              </w:rPr>
              <w:t>消防</w:t>
            </w:r>
            <w:r>
              <w:rPr>
                <w:rFonts w:hint="eastAsia" w:ascii="宋体" w:hAnsi="宋体" w:eastAsia="宋体" w:cs="宋体"/>
                <w:color w:val="auto"/>
                <w:sz w:val="24"/>
                <w:szCs w:val="24"/>
                <w:highlight w:val="none"/>
                <w:lang w:eastAsia="zh-CN"/>
              </w:rPr>
              <w:t>设施设备定期巡检、维护保养、维修档案</w:t>
            </w:r>
            <w:r>
              <w:rPr>
                <w:rFonts w:hint="eastAsia" w:ascii="宋体" w:hAnsi="宋体" w:eastAsia="宋体" w:cs="宋体"/>
                <w:color w:val="auto"/>
                <w:sz w:val="24"/>
                <w:szCs w:val="24"/>
                <w:highlight w:val="none"/>
                <w:lang w:val="en-US" w:eastAsia="zh-CN"/>
              </w:rPr>
              <w:t>等。</w:t>
            </w:r>
          </w:p>
        </w:tc>
      </w:tr>
      <w:tr w14:paraId="3E4F6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7AAE16D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395" w:type="dxa"/>
            <w:vMerge w:val="continue"/>
            <w:noWrap w:val="0"/>
            <w:vAlign w:val="center"/>
          </w:tcPr>
          <w:p w14:paraId="1FC457A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7087" w:type="dxa"/>
            <w:noWrap w:val="0"/>
            <w:vAlign w:val="center"/>
          </w:tcPr>
          <w:p w14:paraId="4510D89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（3）遵守甲方的信息、档案资料保密要求，未经许可，不得将建筑物平面图、消防系统有关竣工图、设备逻辑关系表、端子图、消防系统各设备详细资料等文件资料转作其他用途或向其他单位、个人提供。</w:t>
            </w:r>
          </w:p>
        </w:tc>
      </w:tr>
      <w:tr w14:paraId="7D639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7E38660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395" w:type="dxa"/>
            <w:vMerge w:val="continue"/>
            <w:noWrap w:val="0"/>
            <w:vAlign w:val="center"/>
          </w:tcPr>
          <w:p w14:paraId="0F51C97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7087" w:type="dxa"/>
            <w:noWrap w:val="0"/>
            <w:vAlign w:val="center"/>
          </w:tcPr>
          <w:p w14:paraId="41D4E46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（4）全年各类档案和记录资料齐全，并定期汇总。</w:t>
            </w:r>
          </w:p>
        </w:tc>
      </w:tr>
      <w:tr w14:paraId="11AA2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703B831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395" w:type="dxa"/>
            <w:vMerge w:val="continue"/>
            <w:noWrap w:val="0"/>
            <w:vAlign w:val="center"/>
          </w:tcPr>
          <w:p w14:paraId="60FF0F9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7087" w:type="dxa"/>
            <w:noWrap w:val="0"/>
            <w:vAlign w:val="center"/>
          </w:tcPr>
          <w:p w14:paraId="413E9DE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（5）履约结束后，相关资料交还甲方，甲方按相关规定存档。</w:t>
            </w:r>
          </w:p>
        </w:tc>
      </w:tr>
      <w:tr w14:paraId="1127A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14:paraId="0993129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395" w:type="dxa"/>
            <w:vMerge w:val="restart"/>
            <w:noWrap w:val="0"/>
            <w:vAlign w:val="center"/>
          </w:tcPr>
          <w:p w14:paraId="4493A24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重大活动</w:t>
            </w:r>
          </w:p>
          <w:p w14:paraId="517CBB9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服务保障</w:t>
            </w:r>
          </w:p>
        </w:tc>
        <w:tc>
          <w:tcPr>
            <w:tcW w:w="7087" w:type="dxa"/>
            <w:noWrap w:val="0"/>
            <w:vAlign w:val="center"/>
          </w:tcPr>
          <w:p w14:paraId="051B011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（1）制订流程。配合甲方制订重大活动后勤保障工作流程，需对任务进行详细了解，并根据工作安排制定详细的后勤保障计划。</w:t>
            </w:r>
          </w:p>
        </w:tc>
      </w:tr>
      <w:tr w14:paraId="17DA9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0F8B330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395" w:type="dxa"/>
            <w:vMerge w:val="continue"/>
            <w:noWrap w:val="0"/>
            <w:vAlign w:val="center"/>
          </w:tcPr>
          <w:p w14:paraId="2A1AB58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7087" w:type="dxa"/>
            <w:noWrap w:val="0"/>
            <w:vAlign w:val="center"/>
          </w:tcPr>
          <w:p w14:paraId="501D509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实施保障。按计划在关键区域和重点部位进行部署，确保任务顺利进行，对活动区域进行全面安全检查，发现并排除安全隐患，对车辆进行有序引导和管理，确保交通安全畅通，以礼貌、专业的态度对待来宾，展现良好形象。</w:t>
            </w:r>
          </w:p>
        </w:tc>
      </w:tr>
      <w:tr w14:paraId="04821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4BAFBD4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395" w:type="dxa"/>
            <w:vMerge w:val="continue"/>
            <w:noWrap w:val="0"/>
            <w:vAlign w:val="center"/>
          </w:tcPr>
          <w:p w14:paraId="73F5E02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7087" w:type="dxa"/>
            <w:noWrap w:val="0"/>
            <w:vAlign w:val="center"/>
          </w:tcPr>
          <w:p w14:paraId="5785503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（3）收尾工作。对现场进行检查，协助物业做好清理工作。</w:t>
            </w:r>
          </w:p>
        </w:tc>
      </w:tr>
      <w:tr w14:paraId="5636C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14:paraId="420851C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395" w:type="dxa"/>
            <w:vMerge w:val="restart"/>
            <w:noWrap w:val="0"/>
            <w:vAlign w:val="center"/>
          </w:tcPr>
          <w:p w14:paraId="4D54303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应急保障</w:t>
            </w:r>
          </w:p>
          <w:p w14:paraId="1EFDE4B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预案</w:t>
            </w:r>
          </w:p>
        </w:tc>
        <w:tc>
          <w:tcPr>
            <w:tcW w:w="7087" w:type="dxa"/>
            <w:noWrap w:val="0"/>
            <w:vAlign w:val="center"/>
          </w:tcPr>
          <w:p w14:paraId="38C891D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重点区域及安全隐患排查。结合项目的实际情况，对重点部位及危险隐患进行排查，并建立清单/台账；应当对危险隐患进行风险分析，制定相应措施进行控制或整改并定期监控；随着设施设备、服务内容的变化，及时更新清单/台账，使风险隐患始终处于受控状态。</w:t>
            </w:r>
          </w:p>
        </w:tc>
      </w:tr>
      <w:tr w14:paraId="5739C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448C3B8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395" w:type="dxa"/>
            <w:vMerge w:val="continue"/>
            <w:noWrap w:val="0"/>
            <w:vAlign w:val="center"/>
          </w:tcPr>
          <w:p w14:paraId="4875F68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7087" w:type="dxa"/>
            <w:noWrap w:val="0"/>
            <w:vAlign w:val="center"/>
          </w:tcPr>
          <w:p w14:paraId="02FD4D0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应急预案的建立。根据办公楼隐患排查的结果和实际情况，制定专项预案，包括但不限于：火情火警紧急处理应急预案、紧急疏散应急预案、停水停电应急预案、有限空间救援应急预案、高空作业救援应急预案、恶劣天气应对应急预案等。</w:t>
            </w:r>
          </w:p>
        </w:tc>
      </w:tr>
      <w:tr w14:paraId="42FF0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28D9145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395" w:type="dxa"/>
            <w:vMerge w:val="continue"/>
            <w:noWrap w:val="0"/>
            <w:vAlign w:val="center"/>
          </w:tcPr>
          <w:p w14:paraId="438874A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7087" w:type="dxa"/>
            <w:noWrap w:val="0"/>
            <w:vAlign w:val="center"/>
          </w:tcPr>
          <w:p w14:paraId="5612043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（3）应急预案的培训和演练。应急预案定期培训和演练，组织相关岗位每半年至少开展1次专项应急预案演练；留存培训及演练记录和影像资料，并对预案进行评价，确保与实际情况相结合。</w:t>
            </w:r>
          </w:p>
        </w:tc>
      </w:tr>
      <w:tr w14:paraId="5F1D2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3DADE98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395" w:type="dxa"/>
            <w:vMerge w:val="continue"/>
            <w:noWrap w:val="0"/>
            <w:vAlign w:val="center"/>
          </w:tcPr>
          <w:p w14:paraId="410E292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7087" w:type="dxa"/>
            <w:noWrap w:val="0"/>
            <w:vAlign w:val="center"/>
          </w:tcPr>
          <w:p w14:paraId="2C36850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（4）应急物资的管理。根据专项预案中的应对需要、必要的应急物资，建立清单或台账，并由专人定期对应急物资进行检查，如有应急物资不足应及时购置齐全，确保能够随时正常使用。</w:t>
            </w:r>
          </w:p>
        </w:tc>
      </w:tr>
      <w:tr w14:paraId="2A742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14:paraId="69DBD0F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1395" w:type="dxa"/>
            <w:vMerge w:val="restart"/>
            <w:noWrap w:val="0"/>
            <w:vAlign w:val="center"/>
          </w:tcPr>
          <w:p w14:paraId="26DCF24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服务方案及工作制度</w:t>
            </w:r>
          </w:p>
        </w:tc>
        <w:tc>
          <w:tcPr>
            <w:tcW w:w="7087" w:type="dxa"/>
            <w:noWrap w:val="0"/>
            <w:vAlign w:val="center"/>
          </w:tcPr>
          <w:p w14:paraId="650BE1E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（1）制定工作制度，</w:t>
            </w:r>
            <w:r>
              <w:rPr>
                <w:rFonts w:hint="eastAsia" w:ascii="宋体" w:hAnsi="宋体" w:eastAsia="宋体" w:cs="宋体"/>
                <w:color w:val="auto"/>
                <w:sz w:val="24"/>
                <w:szCs w:val="24"/>
                <w:highlight w:val="none"/>
                <w:lang w:eastAsia="zh-CN"/>
              </w:rPr>
              <w:t>主要包括但不限于：</w:t>
            </w:r>
            <w:r>
              <w:rPr>
                <w:rFonts w:hint="eastAsia" w:ascii="宋体" w:hAnsi="宋体" w:eastAsia="宋体" w:cs="宋体"/>
                <w:color w:val="auto"/>
                <w:sz w:val="24"/>
                <w:szCs w:val="24"/>
                <w:highlight w:val="none"/>
                <w:lang w:val="en-US" w:eastAsia="zh-CN"/>
              </w:rPr>
              <w:t>人员录用、档案管理、公用及消防设施设备等相关管理制度</w:t>
            </w:r>
            <w:r>
              <w:rPr>
                <w:rFonts w:hint="eastAsia" w:ascii="宋体" w:hAnsi="宋体" w:eastAsia="宋体" w:cs="宋体"/>
                <w:color w:val="auto"/>
                <w:sz w:val="24"/>
                <w:szCs w:val="24"/>
                <w:highlight w:val="none"/>
                <w:lang w:eastAsia="zh-CN"/>
              </w:rPr>
              <w:t>。</w:t>
            </w:r>
          </w:p>
        </w:tc>
      </w:tr>
      <w:tr w14:paraId="5F420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2AB95B9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p>
        </w:tc>
        <w:tc>
          <w:tcPr>
            <w:tcW w:w="1395" w:type="dxa"/>
            <w:vMerge w:val="continue"/>
            <w:noWrap w:val="0"/>
            <w:vAlign w:val="center"/>
          </w:tcPr>
          <w:p w14:paraId="5DD69B3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p>
        </w:tc>
        <w:tc>
          <w:tcPr>
            <w:tcW w:w="7087" w:type="dxa"/>
            <w:noWrap w:val="0"/>
            <w:vAlign w:val="center"/>
          </w:tcPr>
          <w:p w14:paraId="1DA5ECE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（2）制定</w:t>
            </w:r>
            <w:r>
              <w:rPr>
                <w:rFonts w:hint="eastAsia" w:ascii="宋体" w:hAnsi="宋体" w:eastAsia="宋体" w:cs="宋体"/>
                <w:color w:val="auto"/>
                <w:sz w:val="24"/>
                <w:szCs w:val="24"/>
                <w:highlight w:val="none"/>
                <w:lang w:eastAsia="zh-CN"/>
              </w:rPr>
              <w:t>项目实施方案，主要包括但不限于：</w:t>
            </w:r>
            <w:r>
              <w:rPr>
                <w:rFonts w:hint="eastAsia" w:ascii="宋体" w:hAnsi="宋体" w:eastAsia="宋体" w:cs="宋体"/>
                <w:color w:val="auto"/>
                <w:sz w:val="24"/>
                <w:szCs w:val="24"/>
                <w:highlight w:val="none"/>
                <w:lang w:val="en-US" w:eastAsia="zh-CN"/>
              </w:rPr>
              <w:t>交接</w:t>
            </w:r>
            <w:r>
              <w:rPr>
                <w:rFonts w:hint="eastAsia" w:ascii="宋体" w:hAnsi="宋体" w:eastAsia="宋体" w:cs="宋体"/>
                <w:color w:val="auto"/>
                <w:sz w:val="24"/>
                <w:szCs w:val="24"/>
                <w:highlight w:val="none"/>
                <w:lang w:eastAsia="zh-CN"/>
              </w:rPr>
              <w:t>方案、人员培训方案、人员稳定性方案、保密方案等。</w:t>
            </w:r>
          </w:p>
        </w:tc>
      </w:tr>
      <w:tr w14:paraId="33A60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14:paraId="71DC33B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p>
        </w:tc>
        <w:tc>
          <w:tcPr>
            <w:tcW w:w="1395" w:type="dxa"/>
            <w:vMerge w:val="continue"/>
            <w:noWrap w:val="0"/>
            <w:vAlign w:val="center"/>
          </w:tcPr>
          <w:p w14:paraId="7E6D4AA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p>
        </w:tc>
        <w:tc>
          <w:tcPr>
            <w:tcW w:w="7087" w:type="dxa"/>
            <w:noWrap w:val="0"/>
            <w:vAlign w:val="center"/>
          </w:tcPr>
          <w:p w14:paraId="24246F9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（3）制定</w:t>
            </w:r>
            <w:r>
              <w:rPr>
                <w:rFonts w:hint="eastAsia" w:ascii="宋体" w:hAnsi="宋体" w:eastAsia="宋体" w:cs="宋体"/>
                <w:color w:val="auto"/>
                <w:sz w:val="24"/>
                <w:szCs w:val="24"/>
                <w:highlight w:val="none"/>
                <w:lang w:eastAsia="zh-CN"/>
              </w:rPr>
              <w:t>安保服务方案。</w:t>
            </w:r>
          </w:p>
        </w:tc>
      </w:tr>
    </w:tbl>
    <w:p w14:paraId="799B963C">
      <w:pPr>
        <w:widowControl w:val="0"/>
        <w:spacing w:line="500" w:lineRule="exact"/>
        <w:ind w:firstLine="480" w:firstLineChars="200"/>
        <w:jc w:val="both"/>
        <w:rPr>
          <w:rFonts w:hint="eastAsia"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3.1.2　安保服务</w:t>
      </w:r>
    </w:p>
    <w:tbl>
      <w:tblPr>
        <w:tblStyle w:val="60"/>
        <w:tblW w:w="9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406"/>
        <w:gridCol w:w="7087"/>
      </w:tblGrid>
      <w:tr w14:paraId="20194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noWrap w:val="0"/>
            <w:vAlign w:val="center"/>
          </w:tcPr>
          <w:p w14:paraId="782102C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1406" w:type="dxa"/>
            <w:noWrap w:val="0"/>
            <w:vAlign w:val="center"/>
          </w:tcPr>
          <w:p w14:paraId="22AE84D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服务内容</w:t>
            </w:r>
          </w:p>
        </w:tc>
        <w:tc>
          <w:tcPr>
            <w:tcW w:w="7087" w:type="dxa"/>
            <w:noWrap w:val="0"/>
            <w:vAlign w:val="center"/>
          </w:tcPr>
          <w:p w14:paraId="7ACA710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服务标准</w:t>
            </w:r>
          </w:p>
        </w:tc>
      </w:tr>
      <w:tr w14:paraId="3D26E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restart"/>
            <w:noWrap w:val="0"/>
            <w:vAlign w:val="center"/>
          </w:tcPr>
          <w:p w14:paraId="464F8A6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406" w:type="dxa"/>
            <w:vMerge w:val="restart"/>
            <w:noWrap w:val="0"/>
            <w:vAlign w:val="center"/>
          </w:tcPr>
          <w:p w14:paraId="6C89F3E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基本要求</w:t>
            </w:r>
          </w:p>
        </w:tc>
        <w:tc>
          <w:tcPr>
            <w:tcW w:w="7087" w:type="dxa"/>
            <w:noWrap w:val="0"/>
            <w:vAlign w:val="center"/>
          </w:tcPr>
          <w:p w14:paraId="3486A4B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（1）建立安保服务相关制度，并按照执行。</w:t>
            </w:r>
          </w:p>
        </w:tc>
      </w:tr>
      <w:tr w14:paraId="5CF75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11D27F6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406" w:type="dxa"/>
            <w:vMerge w:val="continue"/>
            <w:noWrap w:val="0"/>
            <w:vAlign w:val="center"/>
          </w:tcPr>
          <w:p w14:paraId="02145CA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eastAsia="zh-CN"/>
              </w:rPr>
            </w:pPr>
          </w:p>
        </w:tc>
        <w:tc>
          <w:tcPr>
            <w:tcW w:w="7087" w:type="dxa"/>
            <w:noWrap w:val="0"/>
            <w:vAlign w:val="center"/>
          </w:tcPr>
          <w:p w14:paraId="5C39891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（2）对巡查、值守、交接班及异常情况等做好相关记录，填写规范，保存完好。</w:t>
            </w:r>
          </w:p>
        </w:tc>
      </w:tr>
      <w:tr w14:paraId="719F1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7905609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406" w:type="dxa"/>
            <w:vMerge w:val="continue"/>
            <w:noWrap w:val="0"/>
            <w:vAlign w:val="center"/>
          </w:tcPr>
          <w:p w14:paraId="1492B15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eastAsia="zh-CN"/>
              </w:rPr>
            </w:pPr>
          </w:p>
        </w:tc>
        <w:tc>
          <w:tcPr>
            <w:tcW w:w="7087" w:type="dxa"/>
            <w:noWrap w:val="0"/>
            <w:vAlign w:val="center"/>
          </w:tcPr>
          <w:p w14:paraId="0BA022F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（3）配备安保服务必要的器材，器材由甲方提供。</w:t>
            </w:r>
          </w:p>
        </w:tc>
      </w:tr>
      <w:tr w14:paraId="7559E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0338D47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406" w:type="dxa"/>
            <w:vMerge w:val="continue"/>
            <w:noWrap w:val="0"/>
            <w:vAlign w:val="center"/>
          </w:tcPr>
          <w:p w14:paraId="506AE65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eastAsia="zh-CN"/>
              </w:rPr>
            </w:pPr>
          </w:p>
        </w:tc>
        <w:tc>
          <w:tcPr>
            <w:tcW w:w="7087" w:type="dxa"/>
            <w:noWrap w:val="0"/>
            <w:vAlign w:val="center"/>
          </w:tcPr>
          <w:p w14:paraId="2E2900C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（4）管理值班台、监控室，保持整洁、干净。</w:t>
            </w:r>
          </w:p>
        </w:tc>
      </w:tr>
      <w:tr w14:paraId="000BF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restart"/>
            <w:noWrap w:val="0"/>
            <w:vAlign w:val="center"/>
          </w:tcPr>
          <w:p w14:paraId="5005F6D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406" w:type="dxa"/>
            <w:vMerge w:val="restart"/>
            <w:noWrap w:val="0"/>
            <w:vAlign w:val="center"/>
          </w:tcPr>
          <w:p w14:paraId="3FEFA09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出入管理</w:t>
            </w:r>
          </w:p>
        </w:tc>
        <w:tc>
          <w:tcPr>
            <w:tcW w:w="7087" w:type="dxa"/>
            <w:noWrap w:val="0"/>
            <w:vAlign w:val="center"/>
          </w:tcPr>
          <w:p w14:paraId="61D4972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（1）办公楼（区）主出入口应当实行 24小时值班制，每班不少于2人。</w:t>
            </w:r>
          </w:p>
        </w:tc>
      </w:tr>
      <w:tr w14:paraId="335D4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55F7C7F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406" w:type="dxa"/>
            <w:vMerge w:val="continue"/>
            <w:noWrap w:val="0"/>
            <w:vAlign w:val="center"/>
          </w:tcPr>
          <w:p w14:paraId="0DB735C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eastAsia="zh-CN"/>
              </w:rPr>
            </w:pPr>
          </w:p>
        </w:tc>
        <w:tc>
          <w:tcPr>
            <w:tcW w:w="7087" w:type="dxa"/>
            <w:noWrap w:val="0"/>
            <w:vAlign w:val="center"/>
          </w:tcPr>
          <w:p w14:paraId="3E58B39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（2）办公楼（区）主出入口设置门岗。</w:t>
            </w:r>
          </w:p>
        </w:tc>
      </w:tr>
      <w:tr w14:paraId="07DC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7177BD4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406" w:type="dxa"/>
            <w:vMerge w:val="continue"/>
            <w:noWrap w:val="0"/>
            <w:vAlign w:val="center"/>
          </w:tcPr>
          <w:p w14:paraId="3924964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eastAsia="zh-CN"/>
              </w:rPr>
            </w:pPr>
          </w:p>
        </w:tc>
        <w:tc>
          <w:tcPr>
            <w:tcW w:w="7087" w:type="dxa"/>
            <w:noWrap w:val="0"/>
            <w:vAlign w:val="center"/>
          </w:tcPr>
          <w:p w14:paraId="3425709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（3）在出入口对外来人员及其携带大件物品、外来车辆进行询问和记录，并与相关（当值）部门取得联系，同意后方可进入。</w:t>
            </w:r>
          </w:p>
        </w:tc>
      </w:tr>
      <w:tr w14:paraId="7057D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023FF3C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406" w:type="dxa"/>
            <w:vMerge w:val="continue"/>
            <w:noWrap w:val="0"/>
            <w:vAlign w:val="center"/>
          </w:tcPr>
          <w:p w14:paraId="72D85D1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eastAsia="zh-CN"/>
              </w:rPr>
            </w:pPr>
          </w:p>
        </w:tc>
        <w:tc>
          <w:tcPr>
            <w:tcW w:w="7087" w:type="dxa"/>
            <w:noWrap w:val="0"/>
            <w:vAlign w:val="center"/>
          </w:tcPr>
          <w:p w14:paraId="39618C3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（4）大件物品搬出经核实后放行。</w:t>
            </w:r>
          </w:p>
        </w:tc>
      </w:tr>
      <w:tr w14:paraId="3A2A0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255" w:type="dxa"/>
            <w:vMerge w:val="continue"/>
            <w:noWrap w:val="0"/>
            <w:vAlign w:val="center"/>
          </w:tcPr>
          <w:p w14:paraId="7E2C266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406" w:type="dxa"/>
            <w:vMerge w:val="continue"/>
            <w:noWrap w:val="0"/>
            <w:vAlign w:val="center"/>
          </w:tcPr>
          <w:p w14:paraId="305F3DD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eastAsia="zh-CN"/>
              </w:rPr>
            </w:pPr>
          </w:p>
        </w:tc>
        <w:tc>
          <w:tcPr>
            <w:tcW w:w="7087" w:type="dxa"/>
            <w:noWrap w:val="0"/>
            <w:vAlign w:val="center"/>
          </w:tcPr>
          <w:p w14:paraId="1BFA9DF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（5）排查可疑人员，对于不出示证件、不按规定登记、不听劝阻而强行闯入者，及时劝离，必要时通知公安机关进行处理。</w:t>
            </w:r>
          </w:p>
        </w:tc>
      </w:tr>
      <w:tr w14:paraId="573D1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5F19CB6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406" w:type="dxa"/>
            <w:vMerge w:val="continue"/>
            <w:noWrap w:val="0"/>
            <w:vAlign w:val="center"/>
          </w:tcPr>
          <w:p w14:paraId="2060737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eastAsia="zh-CN"/>
              </w:rPr>
            </w:pPr>
          </w:p>
        </w:tc>
        <w:tc>
          <w:tcPr>
            <w:tcW w:w="7087" w:type="dxa"/>
            <w:noWrap w:val="0"/>
            <w:vAlign w:val="center"/>
          </w:tcPr>
          <w:p w14:paraId="7FE8089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（6）配合相关部门积极疏导上访人员，有效疏导如出入口人群集聚、车辆拥堵、货物堵塞道路等情况。</w:t>
            </w:r>
          </w:p>
        </w:tc>
      </w:tr>
      <w:tr w14:paraId="31AF2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015EE5E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406" w:type="dxa"/>
            <w:vMerge w:val="continue"/>
            <w:noWrap w:val="0"/>
            <w:vAlign w:val="center"/>
          </w:tcPr>
          <w:p w14:paraId="7696319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eastAsia="zh-CN"/>
              </w:rPr>
            </w:pPr>
          </w:p>
        </w:tc>
        <w:tc>
          <w:tcPr>
            <w:tcW w:w="7087" w:type="dxa"/>
            <w:noWrap w:val="0"/>
            <w:vAlign w:val="center"/>
          </w:tcPr>
          <w:p w14:paraId="0B95A62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（7）对物品进出实行安检、登记、电话确认等分类管理措施。大宗物品进出会同接收单位收件人审检，严防违禁品、限带品进入。</w:t>
            </w:r>
          </w:p>
        </w:tc>
      </w:tr>
      <w:tr w14:paraId="0FC9B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6435CE2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406" w:type="dxa"/>
            <w:vMerge w:val="continue"/>
            <w:noWrap w:val="0"/>
            <w:vAlign w:val="center"/>
          </w:tcPr>
          <w:p w14:paraId="556E0F4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eastAsia="zh-CN"/>
              </w:rPr>
            </w:pPr>
          </w:p>
        </w:tc>
        <w:tc>
          <w:tcPr>
            <w:tcW w:w="7087" w:type="dxa"/>
            <w:noWrap w:val="0"/>
            <w:vAlign w:val="center"/>
          </w:tcPr>
          <w:p w14:paraId="5B5C57F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（8）提供现场引导服务：</w:t>
            </w:r>
          </w:p>
          <w:p w14:paraId="0A4F070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①做好来访人员、车辆进出证件登记，及时通报。</w:t>
            </w:r>
          </w:p>
          <w:p w14:paraId="2846DED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②严禁无关人员、可疑人员和危险物品进入办公楼（区）内。</w:t>
            </w:r>
          </w:p>
          <w:p w14:paraId="0D18337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③物品摆放整齐有序、分类放置。</w:t>
            </w:r>
          </w:p>
          <w:p w14:paraId="02910C1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④对来访人员咨询、建议、求助等事项，及时处理或答复。</w:t>
            </w:r>
          </w:p>
          <w:p w14:paraId="3607CB6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⑤接待服务工作时间应当覆盖甲方工作时间。</w:t>
            </w:r>
          </w:p>
        </w:tc>
      </w:tr>
      <w:tr w14:paraId="7B088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restart"/>
            <w:noWrap w:val="0"/>
            <w:vAlign w:val="center"/>
          </w:tcPr>
          <w:p w14:paraId="1FF5384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406" w:type="dxa"/>
            <w:vMerge w:val="restart"/>
            <w:noWrap w:val="0"/>
            <w:vAlign w:val="center"/>
          </w:tcPr>
          <w:p w14:paraId="06CDAB9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值班</w:t>
            </w:r>
            <w:r>
              <w:rPr>
                <w:rFonts w:hint="eastAsia" w:ascii="宋体" w:hAnsi="宋体" w:eastAsia="宋体" w:cs="宋体"/>
                <w:color w:val="auto"/>
                <w:sz w:val="24"/>
                <w:szCs w:val="24"/>
                <w:highlight w:val="none"/>
                <w:lang w:eastAsia="zh-CN"/>
              </w:rPr>
              <w:t>巡查</w:t>
            </w:r>
          </w:p>
        </w:tc>
        <w:tc>
          <w:tcPr>
            <w:tcW w:w="7087" w:type="dxa"/>
            <w:noWrap w:val="0"/>
            <w:vAlign w:val="center"/>
          </w:tcPr>
          <w:p w14:paraId="51DB8F6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（1）建立24小时值班巡查制度。</w:t>
            </w:r>
          </w:p>
        </w:tc>
      </w:tr>
      <w:tr w14:paraId="01E84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573C88F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406" w:type="dxa"/>
            <w:vMerge w:val="continue"/>
            <w:noWrap w:val="0"/>
            <w:vAlign w:val="center"/>
          </w:tcPr>
          <w:p w14:paraId="63C941C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7087" w:type="dxa"/>
            <w:noWrap w:val="0"/>
            <w:vAlign w:val="center"/>
          </w:tcPr>
          <w:p w14:paraId="001F980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（2）制定巡查路线，按照指定时间和路线执行，加强重点区域、重点部位及装修区域的巡查。</w:t>
            </w:r>
          </w:p>
        </w:tc>
      </w:tr>
      <w:tr w14:paraId="2529C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0EB1FA0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406" w:type="dxa"/>
            <w:vMerge w:val="continue"/>
            <w:noWrap w:val="0"/>
            <w:vAlign w:val="center"/>
          </w:tcPr>
          <w:p w14:paraId="7AA36B8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7087" w:type="dxa"/>
            <w:noWrap w:val="0"/>
            <w:vAlign w:val="center"/>
          </w:tcPr>
          <w:p w14:paraId="53526B6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（3）巡查期间保持通信设施设备畅通，遇到异常情况立即上报并在现场采取相应措施。</w:t>
            </w:r>
          </w:p>
        </w:tc>
      </w:tr>
      <w:tr w14:paraId="5E6FA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6C91FDF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406" w:type="dxa"/>
            <w:vMerge w:val="continue"/>
            <w:noWrap w:val="0"/>
            <w:vAlign w:val="center"/>
          </w:tcPr>
          <w:p w14:paraId="2C7F86B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eastAsia="zh-CN"/>
              </w:rPr>
            </w:pPr>
          </w:p>
        </w:tc>
        <w:tc>
          <w:tcPr>
            <w:tcW w:w="7087" w:type="dxa"/>
            <w:noWrap w:val="0"/>
            <w:vAlign w:val="center"/>
          </w:tcPr>
          <w:p w14:paraId="50717E8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（4）收到监控室指令后，巡查人员及时到达指定地点并迅速采取相应措施。</w:t>
            </w:r>
          </w:p>
        </w:tc>
      </w:tr>
      <w:tr w14:paraId="4CDD9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restart"/>
            <w:noWrap w:val="0"/>
            <w:vAlign w:val="center"/>
          </w:tcPr>
          <w:p w14:paraId="6C9FF9D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406" w:type="dxa"/>
            <w:vMerge w:val="restart"/>
            <w:noWrap w:val="0"/>
            <w:vAlign w:val="center"/>
          </w:tcPr>
          <w:p w14:paraId="1173C76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监控值守</w:t>
            </w:r>
          </w:p>
        </w:tc>
        <w:tc>
          <w:tcPr>
            <w:tcW w:w="7087" w:type="dxa"/>
            <w:noWrap w:val="0"/>
            <w:vAlign w:val="center"/>
          </w:tcPr>
          <w:p w14:paraId="2C0C09C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（1）监控室环境符合系统设备运行要求，定期进行检查和检测，确保系统功能正常。</w:t>
            </w:r>
          </w:p>
        </w:tc>
      </w:tr>
      <w:tr w14:paraId="13EEB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7D6D5B5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406" w:type="dxa"/>
            <w:vMerge w:val="continue"/>
            <w:noWrap w:val="0"/>
            <w:vAlign w:val="center"/>
          </w:tcPr>
          <w:p w14:paraId="27751CC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eastAsia="zh-CN"/>
              </w:rPr>
            </w:pPr>
          </w:p>
        </w:tc>
        <w:tc>
          <w:tcPr>
            <w:tcW w:w="7087" w:type="dxa"/>
            <w:noWrap w:val="0"/>
            <w:vAlign w:val="center"/>
          </w:tcPr>
          <w:p w14:paraId="4E07381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（2）监控设备24小时正常运行。</w:t>
            </w:r>
          </w:p>
        </w:tc>
      </w:tr>
      <w:tr w14:paraId="6AFD7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42F5E78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406" w:type="dxa"/>
            <w:vMerge w:val="continue"/>
            <w:noWrap w:val="0"/>
            <w:vAlign w:val="center"/>
          </w:tcPr>
          <w:p w14:paraId="3BDAB99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eastAsia="zh-CN"/>
              </w:rPr>
            </w:pPr>
          </w:p>
        </w:tc>
        <w:tc>
          <w:tcPr>
            <w:tcW w:w="7087" w:type="dxa"/>
            <w:noWrap w:val="0"/>
            <w:vAlign w:val="center"/>
          </w:tcPr>
          <w:p w14:paraId="6885EFA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（3）监控记录画面清晰，有异常情况及时上报。</w:t>
            </w:r>
          </w:p>
        </w:tc>
      </w:tr>
      <w:tr w14:paraId="338E5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527240C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406" w:type="dxa"/>
            <w:vMerge w:val="continue"/>
            <w:noWrap w:val="0"/>
            <w:vAlign w:val="center"/>
          </w:tcPr>
          <w:p w14:paraId="6D2DB1D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eastAsia="zh-CN"/>
              </w:rPr>
            </w:pPr>
          </w:p>
        </w:tc>
        <w:tc>
          <w:tcPr>
            <w:tcW w:w="7087" w:type="dxa"/>
            <w:noWrap w:val="0"/>
            <w:vAlign w:val="center"/>
          </w:tcPr>
          <w:p w14:paraId="3932661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（4）值守人员遵守操作规程和保密制度。</w:t>
            </w:r>
          </w:p>
        </w:tc>
      </w:tr>
      <w:tr w14:paraId="147B9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665FE2D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406" w:type="dxa"/>
            <w:vMerge w:val="continue"/>
            <w:noWrap w:val="0"/>
            <w:vAlign w:val="center"/>
          </w:tcPr>
          <w:p w14:paraId="22BA799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eastAsia="zh-CN"/>
              </w:rPr>
            </w:pPr>
          </w:p>
        </w:tc>
        <w:tc>
          <w:tcPr>
            <w:tcW w:w="7087" w:type="dxa"/>
            <w:noWrap w:val="0"/>
            <w:vAlign w:val="center"/>
          </w:tcPr>
          <w:p w14:paraId="481A7AA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（5）监控记录保持完整，保存时间不应少于90天。</w:t>
            </w:r>
          </w:p>
        </w:tc>
      </w:tr>
      <w:tr w14:paraId="75205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255" w:type="dxa"/>
            <w:vMerge w:val="continue"/>
            <w:noWrap w:val="0"/>
            <w:vAlign w:val="center"/>
          </w:tcPr>
          <w:p w14:paraId="7084BCF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406" w:type="dxa"/>
            <w:vMerge w:val="continue"/>
            <w:noWrap w:val="0"/>
            <w:vAlign w:val="center"/>
          </w:tcPr>
          <w:p w14:paraId="60BAD7D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eastAsia="zh-CN"/>
              </w:rPr>
            </w:pPr>
          </w:p>
        </w:tc>
        <w:tc>
          <w:tcPr>
            <w:tcW w:w="7087" w:type="dxa"/>
            <w:noWrap w:val="0"/>
            <w:vAlign w:val="center"/>
          </w:tcPr>
          <w:p w14:paraId="79EF1E0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（6）无关人员进入监控室或查阅监控记录，经授权人批准并做好相关记录。</w:t>
            </w:r>
          </w:p>
        </w:tc>
      </w:tr>
      <w:tr w14:paraId="65A31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2ACF314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406" w:type="dxa"/>
            <w:vMerge w:val="continue"/>
            <w:noWrap w:val="0"/>
            <w:vAlign w:val="center"/>
          </w:tcPr>
          <w:p w14:paraId="32215FE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eastAsia="zh-CN"/>
              </w:rPr>
            </w:pPr>
          </w:p>
        </w:tc>
        <w:tc>
          <w:tcPr>
            <w:tcW w:w="7087" w:type="dxa"/>
            <w:noWrap w:val="0"/>
            <w:vAlign w:val="center"/>
          </w:tcPr>
          <w:p w14:paraId="7CC218E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（7）监控室收到火情等报警信号、其他异常情况信号后，及时报警并安排其他安保人员前往现场进行处理。</w:t>
            </w:r>
          </w:p>
        </w:tc>
      </w:tr>
      <w:tr w14:paraId="5E729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restart"/>
            <w:noWrap w:val="0"/>
            <w:vAlign w:val="center"/>
          </w:tcPr>
          <w:p w14:paraId="14665CC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406" w:type="dxa"/>
            <w:vMerge w:val="restart"/>
            <w:noWrap w:val="0"/>
            <w:vAlign w:val="center"/>
          </w:tcPr>
          <w:p w14:paraId="2DD05BB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车辆停放</w:t>
            </w:r>
          </w:p>
        </w:tc>
        <w:tc>
          <w:tcPr>
            <w:tcW w:w="7087" w:type="dxa"/>
            <w:noWrap w:val="0"/>
            <w:vAlign w:val="center"/>
          </w:tcPr>
          <w:p w14:paraId="563CBB3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（1）车辆行驶路线设置合理、规范，导向标志完整、清晰。</w:t>
            </w:r>
          </w:p>
        </w:tc>
      </w:tr>
      <w:tr w14:paraId="36149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29C03B8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406" w:type="dxa"/>
            <w:vMerge w:val="continue"/>
            <w:noWrap w:val="0"/>
            <w:vAlign w:val="center"/>
          </w:tcPr>
          <w:p w14:paraId="7279780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eastAsia="zh-CN"/>
              </w:rPr>
            </w:pPr>
          </w:p>
        </w:tc>
        <w:tc>
          <w:tcPr>
            <w:tcW w:w="7087" w:type="dxa"/>
            <w:noWrap w:val="0"/>
            <w:vAlign w:val="center"/>
          </w:tcPr>
          <w:p w14:paraId="0F1AC6E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（2）合理规划车辆停放区域，张贴车辆引导标识，对车辆及停放区域实行规范管理。</w:t>
            </w:r>
          </w:p>
        </w:tc>
      </w:tr>
      <w:tr w14:paraId="26DE5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6A64549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406" w:type="dxa"/>
            <w:vMerge w:val="continue"/>
            <w:noWrap w:val="0"/>
            <w:vAlign w:val="center"/>
          </w:tcPr>
          <w:p w14:paraId="5BDC5FD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eastAsia="zh-CN"/>
              </w:rPr>
            </w:pPr>
          </w:p>
        </w:tc>
        <w:tc>
          <w:tcPr>
            <w:tcW w:w="7087" w:type="dxa"/>
            <w:noWrap w:val="0"/>
            <w:vAlign w:val="center"/>
          </w:tcPr>
          <w:p w14:paraId="35E6726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（3）严禁在办公楼的公用走道、楼梯间、安全出口处等公共区域停放车辆或充电。非机动车定点有序停放。</w:t>
            </w:r>
          </w:p>
        </w:tc>
      </w:tr>
      <w:tr w14:paraId="5C7A0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1714DCC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406" w:type="dxa"/>
            <w:vMerge w:val="continue"/>
            <w:noWrap w:val="0"/>
            <w:vAlign w:val="center"/>
          </w:tcPr>
          <w:p w14:paraId="0106CC9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eastAsia="zh-CN"/>
              </w:rPr>
            </w:pPr>
          </w:p>
        </w:tc>
        <w:tc>
          <w:tcPr>
            <w:tcW w:w="7087" w:type="dxa"/>
            <w:noWrap w:val="0"/>
            <w:vAlign w:val="center"/>
          </w:tcPr>
          <w:p w14:paraId="2A3EA95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（4）每日下班时间后对办公用车进行清点，做好记录，发现异常及时汇报甲方。</w:t>
            </w:r>
          </w:p>
        </w:tc>
      </w:tr>
      <w:tr w14:paraId="4F38A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4E875BF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406" w:type="dxa"/>
            <w:vMerge w:val="continue"/>
            <w:noWrap w:val="0"/>
            <w:vAlign w:val="center"/>
          </w:tcPr>
          <w:p w14:paraId="0707D38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eastAsia="zh-CN"/>
              </w:rPr>
            </w:pPr>
          </w:p>
        </w:tc>
        <w:tc>
          <w:tcPr>
            <w:tcW w:w="7087" w:type="dxa"/>
            <w:noWrap w:val="0"/>
            <w:vAlign w:val="center"/>
          </w:tcPr>
          <w:p w14:paraId="5EB5DC7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（5）发现车辆异常情况及时通知车主；发生交通事故、自然灾害等意外事故时及时赶赴现场疏导和协助处理，响应时间不超过3分钟。</w:t>
            </w:r>
          </w:p>
        </w:tc>
      </w:tr>
      <w:tr w14:paraId="1F4C5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restart"/>
            <w:noWrap w:val="0"/>
            <w:vAlign w:val="center"/>
          </w:tcPr>
          <w:p w14:paraId="50BA282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406" w:type="dxa"/>
            <w:vMerge w:val="restart"/>
            <w:noWrap w:val="0"/>
            <w:vAlign w:val="center"/>
          </w:tcPr>
          <w:p w14:paraId="59AC745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突发事件</w:t>
            </w:r>
          </w:p>
          <w:p w14:paraId="296B34D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处理</w:t>
            </w:r>
          </w:p>
        </w:tc>
        <w:tc>
          <w:tcPr>
            <w:tcW w:w="7087" w:type="dxa"/>
            <w:noWrap w:val="0"/>
            <w:vAlign w:val="center"/>
          </w:tcPr>
          <w:p w14:paraId="5CD1E5A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（1）制定突发事件安全责任书，明确突发事件责任人及应承担的安全责任。</w:t>
            </w:r>
          </w:p>
        </w:tc>
      </w:tr>
      <w:tr w14:paraId="193C5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5981C1B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406" w:type="dxa"/>
            <w:vMerge w:val="continue"/>
            <w:noWrap w:val="0"/>
            <w:vAlign w:val="center"/>
          </w:tcPr>
          <w:p w14:paraId="2182959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eastAsia="zh-CN"/>
              </w:rPr>
            </w:pPr>
          </w:p>
        </w:tc>
        <w:tc>
          <w:tcPr>
            <w:tcW w:w="7087" w:type="dxa"/>
            <w:noWrap w:val="0"/>
            <w:vAlign w:val="center"/>
          </w:tcPr>
          <w:p w14:paraId="4604B2B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（2）建立应急突发事件处置队伍，明确各自的职责。</w:t>
            </w:r>
          </w:p>
        </w:tc>
      </w:tr>
      <w:tr w14:paraId="49EFA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26B74F2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406" w:type="dxa"/>
            <w:vMerge w:val="continue"/>
            <w:noWrap w:val="0"/>
            <w:vAlign w:val="center"/>
          </w:tcPr>
          <w:p w14:paraId="3381F9F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eastAsia="zh-CN"/>
              </w:rPr>
            </w:pPr>
          </w:p>
        </w:tc>
        <w:tc>
          <w:tcPr>
            <w:tcW w:w="7087" w:type="dxa"/>
            <w:noWrap w:val="0"/>
            <w:vAlign w:val="center"/>
          </w:tcPr>
          <w:p w14:paraId="237B4A0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（3）识别、分析各种潜在风险，针对不同风险类型制定相应解决方案，并配备应急物资。</w:t>
            </w:r>
          </w:p>
        </w:tc>
      </w:tr>
      <w:tr w14:paraId="56784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65371BA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406" w:type="dxa"/>
            <w:vMerge w:val="continue"/>
            <w:noWrap w:val="0"/>
            <w:vAlign w:val="center"/>
          </w:tcPr>
          <w:p w14:paraId="22DA52F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eastAsia="zh-CN"/>
              </w:rPr>
            </w:pPr>
          </w:p>
        </w:tc>
        <w:tc>
          <w:tcPr>
            <w:tcW w:w="7087" w:type="dxa"/>
            <w:noWrap w:val="0"/>
            <w:vAlign w:val="center"/>
          </w:tcPr>
          <w:p w14:paraId="4E5F41E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（4）每半年至少开展1次突发事件应急演练，并有相应记录。</w:t>
            </w:r>
          </w:p>
        </w:tc>
      </w:tr>
      <w:tr w14:paraId="31E60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6916FE7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406" w:type="dxa"/>
            <w:vMerge w:val="continue"/>
            <w:noWrap w:val="0"/>
            <w:vAlign w:val="center"/>
          </w:tcPr>
          <w:p w14:paraId="74FBBB1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eastAsia="zh-CN"/>
              </w:rPr>
            </w:pPr>
          </w:p>
        </w:tc>
        <w:tc>
          <w:tcPr>
            <w:tcW w:w="7087" w:type="dxa"/>
            <w:noWrap w:val="0"/>
            <w:vAlign w:val="center"/>
          </w:tcPr>
          <w:p w14:paraId="2892CC1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（5）发生意外事件时，及时采取应急措施，维护办公区域秩序，保护人身财产安全。</w:t>
            </w:r>
          </w:p>
        </w:tc>
      </w:tr>
      <w:tr w14:paraId="76B5F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722FD1C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406" w:type="dxa"/>
            <w:vMerge w:val="continue"/>
            <w:noWrap w:val="0"/>
            <w:vAlign w:val="center"/>
          </w:tcPr>
          <w:p w14:paraId="4782E4B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eastAsia="zh-CN"/>
              </w:rPr>
            </w:pPr>
          </w:p>
        </w:tc>
        <w:tc>
          <w:tcPr>
            <w:tcW w:w="7087" w:type="dxa"/>
            <w:noWrap w:val="0"/>
            <w:vAlign w:val="center"/>
          </w:tcPr>
          <w:p w14:paraId="20A0DD1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（6）办公区域应急预案终止实施后，积极采取措施，在尽可能短的时间内，消除事故带来的不良影响，妥善安置和慰问受害及受影响的人员和部门。</w:t>
            </w:r>
          </w:p>
        </w:tc>
      </w:tr>
      <w:tr w14:paraId="19C20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4EC47CF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406" w:type="dxa"/>
            <w:vMerge w:val="continue"/>
            <w:noWrap w:val="0"/>
            <w:vAlign w:val="center"/>
          </w:tcPr>
          <w:p w14:paraId="256D21F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eastAsia="zh-CN"/>
              </w:rPr>
            </w:pPr>
          </w:p>
        </w:tc>
        <w:tc>
          <w:tcPr>
            <w:tcW w:w="7087" w:type="dxa"/>
            <w:noWrap w:val="0"/>
            <w:vAlign w:val="center"/>
          </w:tcPr>
          <w:p w14:paraId="4B1B2CD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（7）事故处理后，及时形成事故应急总结报告，完善应急救援工作方案。</w:t>
            </w:r>
          </w:p>
        </w:tc>
      </w:tr>
      <w:tr w14:paraId="012F9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restart"/>
            <w:noWrap w:val="0"/>
            <w:vAlign w:val="center"/>
          </w:tcPr>
          <w:p w14:paraId="5B65F5D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1406" w:type="dxa"/>
            <w:vMerge w:val="restart"/>
            <w:noWrap w:val="0"/>
            <w:vAlign w:val="center"/>
          </w:tcPr>
          <w:p w14:paraId="6AD8D6B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大型活动</w:t>
            </w:r>
          </w:p>
          <w:p w14:paraId="78C5B74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秩序</w:t>
            </w:r>
          </w:p>
        </w:tc>
        <w:tc>
          <w:tcPr>
            <w:tcW w:w="7087" w:type="dxa"/>
            <w:noWrap w:val="0"/>
            <w:vAlign w:val="center"/>
          </w:tcPr>
          <w:p w14:paraId="698925C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（1）制定相应的活动秩序维护方案，合理安排人员，并对场所的安全隐患进行排查。</w:t>
            </w:r>
          </w:p>
        </w:tc>
      </w:tr>
      <w:tr w14:paraId="56845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7B859F3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p>
        </w:tc>
        <w:tc>
          <w:tcPr>
            <w:tcW w:w="1406" w:type="dxa"/>
            <w:vMerge w:val="continue"/>
            <w:noWrap w:val="0"/>
            <w:vAlign w:val="center"/>
          </w:tcPr>
          <w:p w14:paraId="4DE0895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eastAsia="zh-CN"/>
              </w:rPr>
            </w:pPr>
          </w:p>
        </w:tc>
        <w:tc>
          <w:tcPr>
            <w:tcW w:w="7087" w:type="dxa"/>
            <w:noWrap w:val="0"/>
            <w:vAlign w:val="center"/>
          </w:tcPr>
          <w:p w14:paraId="00AEC5F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（2）应当保障通道、出入口、停车场等区域畅通。</w:t>
            </w:r>
          </w:p>
        </w:tc>
      </w:tr>
      <w:tr w14:paraId="3BC9B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4560512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p>
        </w:tc>
        <w:tc>
          <w:tcPr>
            <w:tcW w:w="1406" w:type="dxa"/>
            <w:vMerge w:val="continue"/>
            <w:noWrap w:val="0"/>
            <w:vAlign w:val="center"/>
          </w:tcPr>
          <w:p w14:paraId="5345E0B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eastAsia="zh-CN"/>
              </w:rPr>
            </w:pPr>
          </w:p>
        </w:tc>
        <w:tc>
          <w:tcPr>
            <w:tcW w:w="7087" w:type="dxa"/>
            <w:noWrap w:val="0"/>
            <w:vAlign w:val="center"/>
          </w:tcPr>
          <w:p w14:paraId="373E114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（3）活动举办过程中，做好现场秩序的维护和突发事故的处置工作，确保活动正常进行。</w:t>
            </w:r>
          </w:p>
        </w:tc>
      </w:tr>
    </w:tbl>
    <w:p w14:paraId="0C7D1032">
      <w:pPr>
        <w:widowControl w:val="0"/>
        <w:spacing w:line="500" w:lineRule="exact"/>
        <w:ind w:firstLine="480" w:firstLineChars="200"/>
        <w:jc w:val="both"/>
        <w:rPr>
          <w:rFonts w:hint="eastAsia"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3.1.3　建筑消防设施日常运行维保服务</w:t>
      </w:r>
    </w:p>
    <w:tbl>
      <w:tblPr>
        <w:tblStyle w:val="60"/>
        <w:tblW w:w="9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406"/>
        <w:gridCol w:w="7087"/>
      </w:tblGrid>
      <w:tr w14:paraId="24B08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noWrap w:val="0"/>
            <w:vAlign w:val="center"/>
          </w:tcPr>
          <w:p w14:paraId="5EB3F6A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1406" w:type="dxa"/>
            <w:noWrap w:val="0"/>
            <w:vAlign w:val="center"/>
          </w:tcPr>
          <w:p w14:paraId="0244FEE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服务内容</w:t>
            </w:r>
          </w:p>
        </w:tc>
        <w:tc>
          <w:tcPr>
            <w:tcW w:w="7087" w:type="dxa"/>
            <w:noWrap w:val="0"/>
            <w:vAlign w:val="center"/>
          </w:tcPr>
          <w:p w14:paraId="0804993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服务标准</w:t>
            </w:r>
          </w:p>
        </w:tc>
      </w:tr>
      <w:tr w14:paraId="26624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restart"/>
            <w:noWrap w:val="0"/>
            <w:vAlign w:val="center"/>
          </w:tcPr>
          <w:p w14:paraId="2435579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406" w:type="dxa"/>
            <w:vMerge w:val="restart"/>
            <w:noWrap w:val="0"/>
            <w:vAlign w:val="center"/>
          </w:tcPr>
          <w:p w14:paraId="71D5E49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基本要求</w:t>
            </w:r>
          </w:p>
        </w:tc>
        <w:tc>
          <w:tcPr>
            <w:tcW w:w="7087" w:type="dxa"/>
            <w:noWrap w:val="0"/>
            <w:vAlign w:val="center"/>
          </w:tcPr>
          <w:p w14:paraId="01547F6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（1）建立消防安全责任制，并按照执行。</w:t>
            </w:r>
          </w:p>
        </w:tc>
      </w:tr>
      <w:tr w14:paraId="625AF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5D14FC5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406" w:type="dxa"/>
            <w:vMerge w:val="continue"/>
            <w:noWrap w:val="0"/>
            <w:vAlign w:val="center"/>
          </w:tcPr>
          <w:p w14:paraId="4D22DD0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eastAsia="zh-CN"/>
              </w:rPr>
            </w:pPr>
          </w:p>
        </w:tc>
        <w:tc>
          <w:tcPr>
            <w:tcW w:w="7087" w:type="dxa"/>
            <w:noWrap w:val="0"/>
            <w:vAlign w:val="center"/>
          </w:tcPr>
          <w:p w14:paraId="54B38AA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（2）对巡查、值守、交接班及异常情况等做好相关记录，填写规范，保存完好。</w:t>
            </w:r>
          </w:p>
        </w:tc>
      </w:tr>
      <w:tr w14:paraId="3F939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684EF0E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406" w:type="dxa"/>
            <w:vMerge w:val="continue"/>
            <w:noWrap w:val="0"/>
            <w:vAlign w:val="center"/>
          </w:tcPr>
          <w:p w14:paraId="15A227C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eastAsia="zh-CN"/>
              </w:rPr>
            </w:pPr>
          </w:p>
        </w:tc>
        <w:tc>
          <w:tcPr>
            <w:tcW w:w="7087" w:type="dxa"/>
            <w:noWrap w:val="0"/>
            <w:vAlign w:val="center"/>
          </w:tcPr>
          <w:p w14:paraId="7B23EAB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（3）配备建筑消防设施日常运行维保服务必要的器材。</w:t>
            </w:r>
          </w:p>
        </w:tc>
      </w:tr>
      <w:tr w14:paraId="5854C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7F41A1F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406" w:type="dxa"/>
            <w:vMerge w:val="continue"/>
            <w:noWrap w:val="0"/>
            <w:vAlign w:val="center"/>
          </w:tcPr>
          <w:p w14:paraId="3C40F33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eastAsia="zh-CN"/>
              </w:rPr>
            </w:pPr>
          </w:p>
        </w:tc>
        <w:tc>
          <w:tcPr>
            <w:tcW w:w="7087" w:type="dxa"/>
            <w:noWrap w:val="0"/>
            <w:vAlign w:val="center"/>
          </w:tcPr>
          <w:p w14:paraId="1EC7294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（4）管理微型消防站（消防控制室），保持整洁、干净。</w:t>
            </w:r>
          </w:p>
        </w:tc>
      </w:tr>
      <w:tr w14:paraId="1BE3E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restart"/>
            <w:noWrap w:val="0"/>
            <w:vAlign w:val="center"/>
          </w:tcPr>
          <w:p w14:paraId="2EBEEB2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406" w:type="dxa"/>
            <w:vMerge w:val="restart"/>
            <w:noWrap w:val="0"/>
            <w:vAlign w:val="center"/>
          </w:tcPr>
          <w:p w14:paraId="57BA30E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值班</w:t>
            </w:r>
            <w:r>
              <w:rPr>
                <w:rFonts w:hint="eastAsia" w:ascii="宋体" w:hAnsi="宋体" w:eastAsia="宋体" w:cs="宋体"/>
                <w:color w:val="auto"/>
                <w:sz w:val="24"/>
                <w:szCs w:val="24"/>
                <w:highlight w:val="none"/>
                <w:lang w:eastAsia="zh-CN"/>
              </w:rPr>
              <w:t>巡查</w:t>
            </w:r>
          </w:p>
        </w:tc>
        <w:tc>
          <w:tcPr>
            <w:tcW w:w="7087" w:type="dxa"/>
            <w:noWrap w:val="0"/>
            <w:vAlign w:val="center"/>
          </w:tcPr>
          <w:p w14:paraId="6FCF5ED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（1）建立24小时值班巡查制度。</w:t>
            </w:r>
          </w:p>
        </w:tc>
      </w:tr>
      <w:tr w14:paraId="7B793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4B217AA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406" w:type="dxa"/>
            <w:vMerge w:val="continue"/>
            <w:noWrap w:val="0"/>
            <w:vAlign w:val="center"/>
          </w:tcPr>
          <w:p w14:paraId="61DF89E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7087" w:type="dxa"/>
            <w:noWrap w:val="0"/>
            <w:vAlign w:val="center"/>
          </w:tcPr>
          <w:p w14:paraId="677B1C9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（2）制定巡查路线，按照指定时间和路线执行，加强重点区域、重点部位及装修区域的巡查。</w:t>
            </w:r>
          </w:p>
        </w:tc>
      </w:tr>
      <w:tr w14:paraId="5F90A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501B184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406" w:type="dxa"/>
            <w:vMerge w:val="continue"/>
            <w:noWrap w:val="0"/>
            <w:vAlign w:val="center"/>
          </w:tcPr>
          <w:p w14:paraId="5104CE3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7087" w:type="dxa"/>
            <w:noWrap w:val="0"/>
            <w:vAlign w:val="center"/>
          </w:tcPr>
          <w:p w14:paraId="4D5D106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（3）巡查期间保持通信设施设备畅通，遇到异常情况立即上报并在现场采取相应措施。</w:t>
            </w:r>
          </w:p>
        </w:tc>
      </w:tr>
      <w:tr w14:paraId="4DAD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7DBEEBF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406" w:type="dxa"/>
            <w:vMerge w:val="continue"/>
            <w:noWrap w:val="0"/>
            <w:vAlign w:val="center"/>
          </w:tcPr>
          <w:p w14:paraId="5FEDDDA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eastAsia="zh-CN"/>
              </w:rPr>
            </w:pPr>
          </w:p>
        </w:tc>
        <w:tc>
          <w:tcPr>
            <w:tcW w:w="7087" w:type="dxa"/>
            <w:noWrap w:val="0"/>
            <w:vAlign w:val="center"/>
          </w:tcPr>
          <w:p w14:paraId="4756388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（4）收到监控室指令后，巡查人员及时到达指定地点并迅速采取相应措施。</w:t>
            </w:r>
          </w:p>
        </w:tc>
      </w:tr>
      <w:tr w14:paraId="6764C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restart"/>
            <w:noWrap w:val="0"/>
            <w:vAlign w:val="center"/>
          </w:tcPr>
          <w:p w14:paraId="3EA6F5B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p>
          <w:p w14:paraId="43FDC03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406" w:type="dxa"/>
            <w:vMerge w:val="restart"/>
            <w:noWrap w:val="0"/>
            <w:vAlign w:val="center"/>
          </w:tcPr>
          <w:p w14:paraId="35963EB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消防管理</w:t>
            </w:r>
          </w:p>
          <w:p w14:paraId="0F79BC5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eastAsia="zh-CN"/>
              </w:rPr>
            </w:pPr>
          </w:p>
        </w:tc>
        <w:tc>
          <w:tcPr>
            <w:tcW w:w="7087" w:type="dxa"/>
            <w:noWrap w:val="0"/>
            <w:vAlign w:val="center"/>
          </w:tcPr>
          <w:p w14:paraId="5353DD0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（1）建立消防安全责任制，确定各级消防安全责任人及其职责。</w:t>
            </w:r>
          </w:p>
        </w:tc>
      </w:tr>
      <w:tr w14:paraId="59A50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551B237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406" w:type="dxa"/>
            <w:vMerge w:val="continue"/>
            <w:noWrap w:val="0"/>
            <w:vAlign w:val="center"/>
          </w:tcPr>
          <w:p w14:paraId="3E2A729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eastAsia="zh-CN"/>
              </w:rPr>
            </w:pPr>
          </w:p>
        </w:tc>
        <w:tc>
          <w:tcPr>
            <w:tcW w:w="7087" w:type="dxa"/>
            <w:noWrap w:val="0"/>
            <w:vAlign w:val="center"/>
          </w:tcPr>
          <w:p w14:paraId="35D4832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（2）微型消防站实行24小时值班制度，每班不少于2人，</w:t>
            </w:r>
            <w:r>
              <w:rPr>
                <w:rFonts w:hint="eastAsia" w:ascii="宋体" w:hAnsi="宋体" w:eastAsia="宋体" w:cs="宋体"/>
                <w:b w:val="0"/>
                <w:bCs w:val="0"/>
                <w:color w:val="auto"/>
                <w:sz w:val="24"/>
                <w:szCs w:val="24"/>
                <w:highlight w:val="none"/>
                <w:lang w:val="en-US" w:eastAsia="zh-CN"/>
              </w:rPr>
              <w:t>每班工作时间不大于8小时，</w:t>
            </w:r>
            <w:r>
              <w:rPr>
                <w:rFonts w:hint="eastAsia" w:ascii="宋体" w:hAnsi="宋体" w:eastAsia="宋体" w:cs="宋体"/>
                <w:color w:val="auto"/>
                <w:sz w:val="24"/>
                <w:szCs w:val="24"/>
                <w:highlight w:val="none"/>
                <w:lang w:val="en-US" w:eastAsia="zh-CN"/>
              </w:rPr>
              <w:t>且均应通过消防行业特有工种职业技能鉴定，持有初级以上等级的职业资格证书。</w:t>
            </w:r>
          </w:p>
        </w:tc>
      </w:tr>
      <w:tr w14:paraId="75051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4DF87EC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406" w:type="dxa"/>
            <w:vMerge w:val="continue"/>
            <w:noWrap w:val="0"/>
            <w:vAlign w:val="center"/>
          </w:tcPr>
          <w:p w14:paraId="3345C45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eastAsia="zh-CN"/>
              </w:rPr>
            </w:pPr>
          </w:p>
        </w:tc>
        <w:tc>
          <w:tcPr>
            <w:tcW w:w="7087" w:type="dxa"/>
            <w:noWrap w:val="0"/>
            <w:vAlign w:val="center"/>
          </w:tcPr>
          <w:p w14:paraId="56E2F65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（3）消火栓、应急照明、应急物资、消防及人员逃生通道、消防车通道可随时正常使用。</w:t>
            </w:r>
          </w:p>
        </w:tc>
      </w:tr>
      <w:tr w14:paraId="5641F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3429CFC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406" w:type="dxa"/>
            <w:vMerge w:val="continue"/>
            <w:noWrap w:val="0"/>
            <w:vAlign w:val="center"/>
          </w:tcPr>
          <w:p w14:paraId="2368CC0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eastAsia="zh-CN"/>
              </w:rPr>
            </w:pPr>
          </w:p>
        </w:tc>
        <w:tc>
          <w:tcPr>
            <w:tcW w:w="7087" w:type="dxa"/>
            <w:noWrap w:val="0"/>
            <w:vAlign w:val="center"/>
          </w:tcPr>
          <w:p w14:paraId="3007CAF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（4）定期组织消防安全宣传，每半年至少开展1次消防演练。</w:t>
            </w:r>
          </w:p>
        </w:tc>
      </w:tr>
      <w:tr w14:paraId="1A246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restart"/>
            <w:noWrap w:val="0"/>
            <w:vAlign w:val="center"/>
          </w:tcPr>
          <w:p w14:paraId="5FD5E1A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p>
        </w:tc>
        <w:tc>
          <w:tcPr>
            <w:tcW w:w="1406" w:type="dxa"/>
            <w:vMerge w:val="restart"/>
            <w:noWrap w:val="0"/>
            <w:vAlign w:val="center"/>
          </w:tcPr>
          <w:p w14:paraId="53AE9C6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安全管理</w:t>
            </w:r>
          </w:p>
        </w:tc>
        <w:tc>
          <w:tcPr>
            <w:tcW w:w="7087" w:type="dxa"/>
            <w:noWrap w:val="0"/>
            <w:vAlign w:val="center"/>
          </w:tcPr>
          <w:p w14:paraId="7FB1564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（1）按照《新疆维吾尔自治区消防条例》规定做好办公楼内的消防设备的检查、运行、保养及巡检工作。建立消防安全责任制，确定各级消防安全责任人及其职责。</w:t>
            </w:r>
          </w:p>
        </w:tc>
      </w:tr>
      <w:tr w14:paraId="7F74D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581C561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406" w:type="dxa"/>
            <w:vMerge w:val="continue"/>
            <w:noWrap w:val="0"/>
            <w:vAlign w:val="center"/>
          </w:tcPr>
          <w:p w14:paraId="6D27EB3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eastAsia="zh-CN"/>
              </w:rPr>
            </w:pPr>
          </w:p>
        </w:tc>
        <w:tc>
          <w:tcPr>
            <w:tcW w:w="7087" w:type="dxa"/>
            <w:noWrap w:val="0"/>
            <w:vAlign w:val="center"/>
          </w:tcPr>
          <w:p w14:paraId="62A41A2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（2）每日检查消防供水是否正常,有无漏水现象,能否正常报警（两小时一次）。</w:t>
            </w:r>
          </w:p>
        </w:tc>
      </w:tr>
      <w:tr w14:paraId="3A082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5BD6B5B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406" w:type="dxa"/>
            <w:vMerge w:val="continue"/>
            <w:noWrap w:val="0"/>
            <w:vAlign w:val="center"/>
          </w:tcPr>
          <w:p w14:paraId="76F9CC9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eastAsia="zh-CN"/>
              </w:rPr>
            </w:pPr>
          </w:p>
        </w:tc>
        <w:tc>
          <w:tcPr>
            <w:tcW w:w="7087" w:type="dxa"/>
            <w:noWrap w:val="0"/>
            <w:vAlign w:val="center"/>
          </w:tcPr>
          <w:p w14:paraId="5344ED6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（3）每日对消防报警主机进行自检、楼层火灾显示盘检查。</w:t>
            </w:r>
          </w:p>
        </w:tc>
      </w:tr>
      <w:tr w14:paraId="685E6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702ACE2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406" w:type="dxa"/>
            <w:vMerge w:val="continue"/>
            <w:noWrap w:val="0"/>
            <w:vAlign w:val="center"/>
          </w:tcPr>
          <w:p w14:paraId="0107727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eastAsia="zh-CN"/>
              </w:rPr>
            </w:pPr>
          </w:p>
        </w:tc>
        <w:tc>
          <w:tcPr>
            <w:tcW w:w="7087" w:type="dxa"/>
            <w:noWrap w:val="0"/>
            <w:vAlign w:val="center"/>
          </w:tcPr>
          <w:p w14:paraId="6D46EE5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（4）定期进行消防设备、设施的日常检查和除尘；                                               </w:t>
            </w:r>
          </w:p>
        </w:tc>
      </w:tr>
      <w:tr w14:paraId="24986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41F9CA5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406" w:type="dxa"/>
            <w:vMerge w:val="continue"/>
            <w:noWrap w:val="0"/>
            <w:vAlign w:val="center"/>
          </w:tcPr>
          <w:p w14:paraId="22CE520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eastAsia="zh-CN"/>
              </w:rPr>
            </w:pPr>
          </w:p>
        </w:tc>
        <w:tc>
          <w:tcPr>
            <w:tcW w:w="7087" w:type="dxa"/>
            <w:noWrap w:val="0"/>
            <w:vAlign w:val="center"/>
          </w:tcPr>
          <w:p w14:paraId="393AAD0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（5）每月对各楼层灭火器、应急照明、疏散指示标示、安全指示标识核查、记录。</w:t>
            </w:r>
          </w:p>
        </w:tc>
      </w:tr>
      <w:tr w14:paraId="14E8E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6BE236F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406" w:type="dxa"/>
            <w:vMerge w:val="continue"/>
            <w:noWrap w:val="0"/>
            <w:vAlign w:val="center"/>
          </w:tcPr>
          <w:p w14:paraId="34141A4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eastAsia="zh-CN"/>
              </w:rPr>
            </w:pPr>
          </w:p>
        </w:tc>
        <w:tc>
          <w:tcPr>
            <w:tcW w:w="7087" w:type="dxa"/>
            <w:noWrap w:val="0"/>
            <w:vAlign w:val="center"/>
          </w:tcPr>
          <w:p w14:paraId="128004C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（6）每月对楼内消火栓、消防报警设备、设施检查记录。</w:t>
            </w:r>
          </w:p>
        </w:tc>
      </w:tr>
      <w:tr w14:paraId="3FAB5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7EB1577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406" w:type="dxa"/>
            <w:vMerge w:val="continue"/>
            <w:noWrap w:val="0"/>
            <w:vAlign w:val="center"/>
          </w:tcPr>
          <w:p w14:paraId="141DE2B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eastAsia="zh-CN"/>
              </w:rPr>
            </w:pPr>
          </w:p>
        </w:tc>
        <w:tc>
          <w:tcPr>
            <w:tcW w:w="7087" w:type="dxa"/>
            <w:noWrap w:val="0"/>
            <w:vAlign w:val="center"/>
          </w:tcPr>
          <w:p w14:paraId="458C722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（7）定期配合甲方、消防救援支队开展消防演练。     </w:t>
            </w:r>
          </w:p>
        </w:tc>
      </w:tr>
      <w:tr w14:paraId="48E45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7861C2A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406" w:type="dxa"/>
            <w:vMerge w:val="continue"/>
            <w:noWrap w:val="0"/>
            <w:vAlign w:val="center"/>
          </w:tcPr>
          <w:p w14:paraId="42755BE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eastAsia="zh-CN"/>
              </w:rPr>
            </w:pPr>
          </w:p>
        </w:tc>
        <w:tc>
          <w:tcPr>
            <w:tcW w:w="7087" w:type="dxa"/>
            <w:noWrap w:val="0"/>
            <w:vAlign w:val="center"/>
          </w:tcPr>
          <w:p w14:paraId="381B22B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（8）不定期参加市、区消防救援部门组织的消防知识线上学习（考试）、各类会议。</w:t>
            </w:r>
          </w:p>
        </w:tc>
      </w:tr>
      <w:tr w14:paraId="4161E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2FD2ACB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406" w:type="dxa"/>
            <w:vMerge w:val="continue"/>
            <w:noWrap w:val="0"/>
            <w:vAlign w:val="center"/>
          </w:tcPr>
          <w:p w14:paraId="7EAE26D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eastAsia="zh-CN"/>
              </w:rPr>
            </w:pPr>
          </w:p>
        </w:tc>
        <w:tc>
          <w:tcPr>
            <w:tcW w:w="7087" w:type="dxa"/>
            <w:noWrap w:val="0"/>
            <w:vAlign w:val="center"/>
          </w:tcPr>
          <w:p w14:paraId="260CAE9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（9）巡查、消防安全隐患，检查消防监控系统、设施、设备，确保其正常运行。</w:t>
            </w:r>
          </w:p>
        </w:tc>
      </w:tr>
      <w:tr w14:paraId="71C82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51D6381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406" w:type="dxa"/>
            <w:vMerge w:val="continue"/>
            <w:noWrap w:val="0"/>
            <w:vAlign w:val="center"/>
          </w:tcPr>
          <w:p w14:paraId="4F89E65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eastAsia="zh-CN"/>
              </w:rPr>
            </w:pPr>
          </w:p>
        </w:tc>
        <w:tc>
          <w:tcPr>
            <w:tcW w:w="7087" w:type="dxa"/>
            <w:noWrap w:val="0"/>
            <w:vAlign w:val="center"/>
          </w:tcPr>
          <w:p w14:paraId="4154627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（10）做好其他设施、设备的日常巡检工作及相关记录。</w:t>
            </w:r>
          </w:p>
        </w:tc>
      </w:tr>
      <w:tr w14:paraId="39F8C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7B22F36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406" w:type="dxa"/>
            <w:vMerge w:val="continue"/>
            <w:noWrap w:val="0"/>
            <w:vAlign w:val="center"/>
          </w:tcPr>
          <w:p w14:paraId="772FC56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eastAsia="zh-CN"/>
              </w:rPr>
            </w:pPr>
          </w:p>
        </w:tc>
        <w:tc>
          <w:tcPr>
            <w:tcW w:w="7087" w:type="dxa"/>
            <w:noWrap w:val="0"/>
            <w:vAlign w:val="center"/>
          </w:tcPr>
          <w:p w14:paraId="1E18E32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（11）定期擦拭各楼层消防设备、设施。</w:t>
            </w:r>
          </w:p>
        </w:tc>
      </w:tr>
      <w:tr w14:paraId="7CD8C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69B6C0B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406" w:type="dxa"/>
            <w:vMerge w:val="continue"/>
            <w:noWrap w:val="0"/>
            <w:vAlign w:val="center"/>
          </w:tcPr>
          <w:p w14:paraId="0C426FA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eastAsia="zh-CN"/>
              </w:rPr>
            </w:pPr>
          </w:p>
        </w:tc>
        <w:tc>
          <w:tcPr>
            <w:tcW w:w="7087" w:type="dxa"/>
            <w:noWrap w:val="0"/>
            <w:vAlign w:val="center"/>
          </w:tcPr>
          <w:p w14:paraId="5C43D76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（12）协助做好消防及空调系统的年检及月度测试、日常设施维修监督落实工作。</w:t>
            </w:r>
          </w:p>
        </w:tc>
      </w:tr>
      <w:tr w14:paraId="6D2BF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6E858BB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406" w:type="dxa"/>
            <w:vMerge w:val="continue"/>
            <w:noWrap w:val="0"/>
            <w:vAlign w:val="center"/>
          </w:tcPr>
          <w:p w14:paraId="68697C0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eastAsia="zh-CN"/>
              </w:rPr>
            </w:pPr>
          </w:p>
        </w:tc>
        <w:tc>
          <w:tcPr>
            <w:tcW w:w="7087" w:type="dxa"/>
            <w:noWrap w:val="0"/>
            <w:vAlign w:val="center"/>
          </w:tcPr>
          <w:p w14:paraId="151F51B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（13）不定期协助消防救援支队熟悉楼宇环境，进行模拟疏散演练。</w:t>
            </w:r>
          </w:p>
        </w:tc>
      </w:tr>
      <w:tr w14:paraId="3DA88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1D205CF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406" w:type="dxa"/>
            <w:vMerge w:val="continue"/>
            <w:noWrap w:val="0"/>
            <w:vAlign w:val="center"/>
          </w:tcPr>
          <w:p w14:paraId="3391335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eastAsia="zh-CN"/>
              </w:rPr>
            </w:pPr>
          </w:p>
        </w:tc>
        <w:tc>
          <w:tcPr>
            <w:tcW w:w="7087" w:type="dxa"/>
            <w:noWrap w:val="0"/>
            <w:vAlign w:val="center"/>
          </w:tcPr>
          <w:p w14:paraId="7512F01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（14）定期对消防报警主机进行充放电工作。</w:t>
            </w:r>
          </w:p>
        </w:tc>
      </w:tr>
      <w:tr w14:paraId="66B53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381E5F7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406" w:type="dxa"/>
            <w:vMerge w:val="continue"/>
            <w:noWrap w:val="0"/>
            <w:vAlign w:val="center"/>
          </w:tcPr>
          <w:p w14:paraId="0DF2314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eastAsia="zh-CN"/>
              </w:rPr>
            </w:pPr>
          </w:p>
        </w:tc>
        <w:tc>
          <w:tcPr>
            <w:tcW w:w="7087" w:type="dxa"/>
            <w:noWrap w:val="0"/>
            <w:vAlign w:val="center"/>
          </w:tcPr>
          <w:p w14:paraId="04C1F5D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（15）做好其他临时性工作。</w:t>
            </w:r>
          </w:p>
        </w:tc>
      </w:tr>
      <w:tr w14:paraId="1286B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restart"/>
            <w:noWrap w:val="0"/>
            <w:vAlign w:val="center"/>
          </w:tcPr>
          <w:p w14:paraId="48A60E3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406" w:type="dxa"/>
            <w:vMerge w:val="restart"/>
            <w:noWrap w:val="0"/>
            <w:vAlign w:val="center"/>
          </w:tcPr>
          <w:p w14:paraId="2446AC4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建筑消防设施日常运行维保内容</w:t>
            </w:r>
          </w:p>
          <w:p w14:paraId="4019757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7087" w:type="dxa"/>
            <w:noWrap w:val="0"/>
            <w:vAlign w:val="center"/>
          </w:tcPr>
          <w:p w14:paraId="1964485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（1）消防设施的维护管理符合《建筑消防设施的维护管理》（GB 25201）的相关要求。</w:t>
            </w:r>
          </w:p>
        </w:tc>
      </w:tr>
      <w:tr w14:paraId="2605F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4178D7C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406" w:type="dxa"/>
            <w:vMerge w:val="continue"/>
            <w:noWrap w:val="0"/>
            <w:vAlign w:val="center"/>
          </w:tcPr>
          <w:p w14:paraId="76165E0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7087" w:type="dxa"/>
            <w:noWrap w:val="0"/>
            <w:vAlign w:val="center"/>
          </w:tcPr>
          <w:p w14:paraId="7F4E623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（2）消防设备检测符合《建筑消防设施检测技术规程》（XF 503）的相关要求。</w:t>
            </w:r>
          </w:p>
        </w:tc>
      </w:tr>
      <w:tr w14:paraId="5DB01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5E81688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406" w:type="dxa"/>
            <w:vMerge w:val="continue"/>
            <w:noWrap w:val="0"/>
            <w:vAlign w:val="center"/>
          </w:tcPr>
          <w:p w14:paraId="24CF346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7087" w:type="dxa"/>
            <w:noWrap w:val="0"/>
            <w:vAlign w:val="center"/>
          </w:tcPr>
          <w:p w14:paraId="0F00FA5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（3）消防设施平面图、火警疏散示意图、防火分区图等按幢设置在楼层醒目位置。</w:t>
            </w:r>
          </w:p>
        </w:tc>
      </w:tr>
      <w:tr w14:paraId="6F248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46FFCF7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406" w:type="dxa"/>
            <w:vMerge w:val="continue"/>
            <w:noWrap w:val="0"/>
            <w:vAlign w:val="center"/>
          </w:tcPr>
          <w:p w14:paraId="6B4DA8E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7087" w:type="dxa"/>
            <w:noWrap w:val="0"/>
            <w:vAlign w:val="center"/>
          </w:tcPr>
          <w:p w14:paraId="3764D14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（4）消防系统各设施设备清洁、有效，其使用说明和标识清晰、完整，说明宜图文结合。</w:t>
            </w:r>
          </w:p>
        </w:tc>
      </w:tr>
      <w:tr w14:paraId="26E36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6979865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406" w:type="dxa"/>
            <w:vMerge w:val="continue"/>
            <w:noWrap w:val="0"/>
            <w:vAlign w:val="center"/>
          </w:tcPr>
          <w:p w14:paraId="2DEE7F5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7087" w:type="dxa"/>
            <w:noWrap w:val="0"/>
            <w:vAlign w:val="center"/>
          </w:tcPr>
          <w:p w14:paraId="17BDBFD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（5）自动喷水灭火系统启动正常。</w:t>
            </w:r>
          </w:p>
        </w:tc>
      </w:tr>
      <w:tr w14:paraId="10C56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6FED475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406" w:type="dxa"/>
            <w:vMerge w:val="continue"/>
            <w:noWrap w:val="0"/>
            <w:vAlign w:val="center"/>
          </w:tcPr>
          <w:p w14:paraId="5B01357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7087" w:type="dxa"/>
            <w:noWrap w:val="0"/>
            <w:vAlign w:val="center"/>
          </w:tcPr>
          <w:p w14:paraId="7C277B4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（6）消火栓箱、防火门、灭火器、消防水泵、消防水池、消防水箱、喷淋设施、红外线报警器、应急照明、安全疏散等系统运行正常。</w:t>
            </w:r>
          </w:p>
        </w:tc>
      </w:tr>
      <w:tr w14:paraId="16368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313FE2D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406" w:type="dxa"/>
            <w:vMerge w:val="continue"/>
            <w:noWrap w:val="0"/>
            <w:vAlign w:val="center"/>
          </w:tcPr>
          <w:p w14:paraId="4B2E42F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7087" w:type="dxa"/>
            <w:noWrap w:val="0"/>
            <w:vAlign w:val="center"/>
          </w:tcPr>
          <w:p w14:paraId="54FD305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（7）消防监控系统运行良好，自动和手动报警设施启动正常。</w:t>
            </w:r>
          </w:p>
        </w:tc>
      </w:tr>
      <w:tr w14:paraId="69A6E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56582F1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406" w:type="dxa"/>
            <w:vMerge w:val="continue"/>
            <w:noWrap w:val="0"/>
            <w:vAlign w:val="center"/>
          </w:tcPr>
          <w:p w14:paraId="38D67F2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7087" w:type="dxa"/>
            <w:noWrap w:val="0"/>
            <w:vAlign w:val="center"/>
          </w:tcPr>
          <w:p w14:paraId="22AEA58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（8）正压送风、防排烟系统运行正常。</w:t>
            </w:r>
          </w:p>
        </w:tc>
      </w:tr>
      <w:tr w14:paraId="7873F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restart"/>
            <w:noWrap w:val="0"/>
            <w:vAlign w:val="center"/>
          </w:tcPr>
          <w:p w14:paraId="7804625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406" w:type="dxa"/>
            <w:vMerge w:val="restart"/>
            <w:noWrap w:val="0"/>
            <w:vAlign w:val="center"/>
          </w:tcPr>
          <w:p w14:paraId="6FAA4FB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突发事件</w:t>
            </w:r>
          </w:p>
          <w:p w14:paraId="6D022E4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处理</w:t>
            </w:r>
          </w:p>
        </w:tc>
        <w:tc>
          <w:tcPr>
            <w:tcW w:w="7087" w:type="dxa"/>
            <w:noWrap w:val="0"/>
            <w:vAlign w:val="center"/>
          </w:tcPr>
          <w:p w14:paraId="5FC9294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（1）制定突发事件安全责任书，明确突发事件责任人及应承担的安全责任。</w:t>
            </w:r>
          </w:p>
        </w:tc>
      </w:tr>
      <w:tr w14:paraId="1B7F8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7CDE1C9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p>
        </w:tc>
        <w:tc>
          <w:tcPr>
            <w:tcW w:w="1406" w:type="dxa"/>
            <w:vMerge w:val="continue"/>
            <w:noWrap w:val="0"/>
            <w:vAlign w:val="center"/>
          </w:tcPr>
          <w:p w14:paraId="7E23A68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eastAsia="zh-CN"/>
              </w:rPr>
            </w:pPr>
          </w:p>
        </w:tc>
        <w:tc>
          <w:tcPr>
            <w:tcW w:w="7087" w:type="dxa"/>
            <w:noWrap w:val="0"/>
            <w:vAlign w:val="center"/>
          </w:tcPr>
          <w:p w14:paraId="31679E1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（2）建立应急突发事件处置队伍，明确各自的职责。</w:t>
            </w:r>
          </w:p>
        </w:tc>
      </w:tr>
      <w:tr w14:paraId="04B66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1DE4E47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p>
        </w:tc>
        <w:tc>
          <w:tcPr>
            <w:tcW w:w="1406" w:type="dxa"/>
            <w:vMerge w:val="continue"/>
            <w:noWrap w:val="0"/>
            <w:vAlign w:val="center"/>
          </w:tcPr>
          <w:p w14:paraId="1D60970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eastAsia="zh-CN"/>
              </w:rPr>
            </w:pPr>
          </w:p>
        </w:tc>
        <w:tc>
          <w:tcPr>
            <w:tcW w:w="7087" w:type="dxa"/>
            <w:noWrap w:val="0"/>
            <w:vAlign w:val="center"/>
          </w:tcPr>
          <w:p w14:paraId="6BA9523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（3）识别、分析各种潜在风险，针对不同风险类型制定相应解决方案，并配备应急物资。</w:t>
            </w:r>
          </w:p>
        </w:tc>
      </w:tr>
      <w:tr w14:paraId="56FAA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7B72DFE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p>
        </w:tc>
        <w:tc>
          <w:tcPr>
            <w:tcW w:w="1406" w:type="dxa"/>
            <w:vMerge w:val="continue"/>
            <w:noWrap w:val="0"/>
            <w:vAlign w:val="center"/>
          </w:tcPr>
          <w:p w14:paraId="40D348B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eastAsia="zh-CN"/>
              </w:rPr>
            </w:pPr>
          </w:p>
        </w:tc>
        <w:tc>
          <w:tcPr>
            <w:tcW w:w="7087" w:type="dxa"/>
            <w:noWrap w:val="0"/>
            <w:vAlign w:val="center"/>
          </w:tcPr>
          <w:p w14:paraId="2A570EA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（4）每半年至少开展1次突发事件应急演练，并有相应记录。</w:t>
            </w:r>
          </w:p>
        </w:tc>
      </w:tr>
      <w:tr w14:paraId="3BB04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255" w:type="dxa"/>
            <w:vMerge w:val="continue"/>
            <w:noWrap w:val="0"/>
            <w:vAlign w:val="center"/>
          </w:tcPr>
          <w:p w14:paraId="2C341B5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p>
        </w:tc>
        <w:tc>
          <w:tcPr>
            <w:tcW w:w="1406" w:type="dxa"/>
            <w:vMerge w:val="continue"/>
            <w:noWrap w:val="0"/>
            <w:vAlign w:val="center"/>
          </w:tcPr>
          <w:p w14:paraId="1CD62A3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eastAsia="zh-CN"/>
              </w:rPr>
            </w:pPr>
          </w:p>
        </w:tc>
        <w:tc>
          <w:tcPr>
            <w:tcW w:w="7087" w:type="dxa"/>
            <w:noWrap w:val="0"/>
            <w:vAlign w:val="center"/>
          </w:tcPr>
          <w:p w14:paraId="1C4F234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（5）发生意外事件时，及时采取应急措施，维护办公区域物业服务正常进行，保护人身财产安全。</w:t>
            </w:r>
          </w:p>
        </w:tc>
      </w:tr>
      <w:tr w14:paraId="48552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0013F53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p>
        </w:tc>
        <w:tc>
          <w:tcPr>
            <w:tcW w:w="1406" w:type="dxa"/>
            <w:vMerge w:val="continue"/>
            <w:noWrap w:val="0"/>
            <w:vAlign w:val="center"/>
          </w:tcPr>
          <w:p w14:paraId="2096058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eastAsia="zh-CN"/>
              </w:rPr>
            </w:pPr>
          </w:p>
        </w:tc>
        <w:tc>
          <w:tcPr>
            <w:tcW w:w="7087" w:type="dxa"/>
            <w:noWrap w:val="0"/>
            <w:vAlign w:val="center"/>
          </w:tcPr>
          <w:p w14:paraId="3EB3B39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（6）办公区域应急预案终止实施后，积极采取措施，在尽可能短的时间内，消除事故带来的不良影响，妥善安置和慰问受害及受影响的人员和部门。</w:t>
            </w:r>
          </w:p>
        </w:tc>
      </w:tr>
      <w:tr w14:paraId="5A64B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14:paraId="26A5CC8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p>
        </w:tc>
        <w:tc>
          <w:tcPr>
            <w:tcW w:w="1406" w:type="dxa"/>
            <w:vMerge w:val="continue"/>
            <w:noWrap w:val="0"/>
            <w:vAlign w:val="center"/>
          </w:tcPr>
          <w:p w14:paraId="6502B1A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eastAsia="zh-CN"/>
              </w:rPr>
            </w:pPr>
          </w:p>
        </w:tc>
        <w:tc>
          <w:tcPr>
            <w:tcW w:w="7087" w:type="dxa"/>
            <w:noWrap w:val="0"/>
            <w:vAlign w:val="center"/>
          </w:tcPr>
          <w:p w14:paraId="3A37B0A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（7）事故处理后，及时形成事故应急总结报告，完善应急救援工作方案。</w:t>
            </w:r>
          </w:p>
        </w:tc>
      </w:tr>
    </w:tbl>
    <w:p w14:paraId="74F0F9E5">
      <w:pPr>
        <w:widowControl w:val="0"/>
        <w:spacing w:line="500" w:lineRule="exact"/>
        <w:ind w:firstLine="480" w:firstLineChars="200"/>
        <w:jc w:val="both"/>
        <w:rPr>
          <w:rFonts w:hint="eastAsia"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3.1.4　其他服务</w:t>
      </w:r>
    </w:p>
    <w:tbl>
      <w:tblPr>
        <w:tblStyle w:val="60"/>
        <w:tblW w:w="9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1"/>
        <w:gridCol w:w="1392"/>
        <w:gridCol w:w="7087"/>
      </w:tblGrid>
      <w:tr w14:paraId="40A50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1" w:type="dxa"/>
            <w:noWrap w:val="0"/>
            <w:vAlign w:val="center"/>
          </w:tcPr>
          <w:p w14:paraId="0C6F24D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1392" w:type="dxa"/>
            <w:noWrap w:val="0"/>
            <w:vAlign w:val="center"/>
          </w:tcPr>
          <w:p w14:paraId="6EC2D30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服务内容</w:t>
            </w:r>
          </w:p>
        </w:tc>
        <w:tc>
          <w:tcPr>
            <w:tcW w:w="7087" w:type="dxa"/>
            <w:noWrap w:val="0"/>
            <w:vAlign w:val="center"/>
          </w:tcPr>
          <w:p w14:paraId="6E13DD4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服务标准</w:t>
            </w:r>
          </w:p>
        </w:tc>
      </w:tr>
      <w:tr w14:paraId="173D8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1" w:type="dxa"/>
            <w:noWrap w:val="0"/>
            <w:vAlign w:val="center"/>
          </w:tcPr>
          <w:p w14:paraId="624B868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392" w:type="dxa"/>
            <w:vMerge w:val="restart"/>
            <w:noWrap w:val="0"/>
            <w:vAlign w:val="center"/>
          </w:tcPr>
          <w:p w14:paraId="6FBB3A8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其他服务</w:t>
            </w:r>
          </w:p>
        </w:tc>
        <w:tc>
          <w:tcPr>
            <w:tcW w:w="7087" w:type="dxa"/>
            <w:noWrap w:val="0"/>
            <w:vAlign w:val="center"/>
          </w:tcPr>
          <w:p w14:paraId="333EC6B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（1）楼内设施（设备）及物品的少量简易搬运服务，大件或大批量搬运由甲方负责。</w:t>
            </w:r>
          </w:p>
        </w:tc>
      </w:tr>
      <w:tr w14:paraId="7C9FC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281" w:type="dxa"/>
            <w:noWrap w:val="0"/>
            <w:vAlign w:val="center"/>
          </w:tcPr>
          <w:p w14:paraId="1474F62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392" w:type="dxa"/>
            <w:vMerge w:val="continue"/>
            <w:noWrap w:val="0"/>
            <w:vAlign w:val="center"/>
          </w:tcPr>
          <w:p w14:paraId="5593203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p>
        </w:tc>
        <w:tc>
          <w:tcPr>
            <w:tcW w:w="7087" w:type="dxa"/>
            <w:noWrap w:val="0"/>
            <w:vAlign w:val="center"/>
          </w:tcPr>
          <w:p w14:paraId="0B6E138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（2）配合物业做好环办公楼三侧马路、办公楼正前方马路对面停车场区域、办公楼东侧马路对面停车场区域扫雪铲冰工作。</w:t>
            </w:r>
          </w:p>
        </w:tc>
      </w:tr>
      <w:tr w14:paraId="156A2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281" w:type="dxa"/>
            <w:noWrap w:val="0"/>
            <w:vAlign w:val="center"/>
          </w:tcPr>
          <w:p w14:paraId="72590C3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392" w:type="dxa"/>
            <w:vMerge w:val="continue"/>
            <w:noWrap w:val="0"/>
            <w:vAlign w:val="center"/>
          </w:tcPr>
          <w:p w14:paraId="707EC7B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p>
        </w:tc>
        <w:tc>
          <w:tcPr>
            <w:tcW w:w="7087" w:type="dxa"/>
            <w:noWrap w:val="0"/>
            <w:vAlign w:val="center"/>
          </w:tcPr>
          <w:p w14:paraId="3E73AAD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（3）要与物业方协调配合，积极做好相关工作。</w:t>
            </w:r>
          </w:p>
        </w:tc>
      </w:tr>
    </w:tbl>
    <w:p w14:paraId="0D5D7F29">
      <w:pPr>
        <w:keepNext w:val="0"/>
        <w:keepLines w:val="0"/>
        <w:pageBreakBefore w:val="0"/>
        <w:kinsoku/>
        <w:wordWrap/>
        <w:overflowPunct/>
        <w:topLinePunct w:val="0"/>
        <w:autoSpaceDE/>
        <w:autoSpaceDN/>
        <w:bidi w:val="0"/>
        <w:adjustRightInd/>
        <w:spacing w:line="360" w:lineRule="auto"/>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w:t>
      </w:r>
      <w:r>
        <w:rPr>
          <w:rFonts w:hint="eastAsia" w:hAnsi="宋体" w:cs="宋体"/>
          <w:b w:val="0"/>
          <w:bCs w:val="0"/>
          <w:color w:val="auto"/>
          <w:sz w:val="24"/>
          <w:szCs w:val="24"/>
          <w:u w:val="none" w:color="auto"/>
        </w:rPr>
        <w:t>　</w:t>
      </w:r>
      <w:r>
        <w:rPr>
          <w:rFonts w:hint="eastAsia" w:hAnsi="宋体" w:cs="宋体"/>
          <w:b w:val="0"/>
          <w:bCs w:val="0"/>
          <w:color w:val="auto"/>
          <w:sz w:val="24"/>
          <w:szCs w:val="24"/>
          <w:u w:val="none" w:color="auto"/>
          <w:lang w:val="en-US" w:eastAsia="zh-CN"/>
        </w:rPr>
        <w:t>人员配置要求</w:t>
      </w:r>
    </w:p>
    <w:p w14:paraId="2A8E8C93">
      <w:pPr>
        <w:keepNext w:val="0"/>
        <w:keepLines w:val="0"/>
        <w:pageBreakBefore w:val="0"/>
        <w:kinsoku/>
        <w:wordWrap/>
        <w:overflowPunct/>
        <w:topLinePunct w:val="0"/>
        <w:autoSpaceDE/>
        <w:autoSpaceDN/>
        <w:bidi w:val="0"/>
        <w:adjustRightInd/>
        <w:spacing w:line="360" w:lineRule="auto"/>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3.2.1</w:t>
      </w:r>
      <w:r>
        <w:rPr>
          <w:rFonts w:hint="eastAsia" w:hAnsi="宋体" w:cs="宋体"/>
          <w:color w:val="auto"/>
          <w:sz w:val="24"/>
          <w:szCs w:val="24"/>
          <w:u w:val="none" w:color="auto"/>
        </w:rPr>
        <w:t>　</w:t>
      </w:r>
      <w:r>
        <w:rPr>
          <w:rFonts w:hint="eastAsia" w:ascii="宋体" w:hAnsi="宋体" w:eastAsia="宋体" w:cs="宋体"/>
          <w:color w:val="auto"/>
          <w:sz w:val="24"/>
          <w:szCs w:val="24"/>
          <w:highlight w:val="none"/>
          <w:lang w:val="en-US" w:eastAsia="zh-CN"/>
        </w:rPr>
        <w:t>岗位人员配置</w:t>
      </w:r>
    </w:p>
    <w:tbl>
      <w:tblPr>
        <w:tblStyle w:val="60"/>
        <w:tblW w:w="91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2609"/>
        <w:gridCol w:w="1692"/>
        <w:gridCol w:w="3300"/>
      </w:tblGrid>
      <w:tr w14:paraId="45993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0" w:type="dxa"/>
            <w:noWrap w:val="0"/>
            <w:vAlign w:val="center"/>
          </w:tcPr>
          <w:p w14:paraId="6E9AFC1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部门职能</w:t>
            </w:r>
          </w:p>
        </w:tc>
        <w:tc>
          <w:tcPr>
            <w:tcW w:w="2609" w:type="dxa"/>
            <w:noWrap w:val="0"/>
            <w:vAlign w:val="center"/>
          </w:tcPr>
          <w:p w14:paraId="54B406C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岗位</w:t>
            </w:r>
          </w:p>
        </w:tc>
        <w:tc>
          <w:tcPr>
            <w:tcW w:w="1692" w:type="dxa"/>
            <w:noWrap w:val="0"/>
            <w:vAlign w:val="center"/>
          </w:tcPr>
          <w:p w14:paraId="56F3E47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岗位所需人数</w:t>
            </w:r>
          </w:p>
        </w:tc>
        <w:tc>
          <w:tcPr>
            <w:tcW w:w="3300" w:type="dxa"/>
            <w:noWrap w:val="0"/>
            <w:vAlign w:val="center"/>
          </w:tcPr>
          <w:p w14:paraId="6AD2877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备注（岗位所需服务时长或时段、需具备的上岗资格证、人员学历、工作经验等要求）</w:t>
            </w:r>
          </w:p>
        </w:tc>
      </w:tr>
      <w:tr w14:paraId="16296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0" w:type="dxa"/>
            <w:noWrap w:val="0"/>
            <w:vAlign w:val="center"/>
          </w:tcPr>
          <w:p w14:paraId="7C4AC3A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管理岗</w:t>
            </w:r>
          </w:p>
        </w:tc>
        <w:tc>
          <w:tcPr>
            <w:tcW w:w="2609" w:type="dxa"/>
            <w:noWrap w:val="0"/>
            <w:vAlign w:val="center"/>
          </w:tcPr>
          <w:p w14:paraId="4F032D0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现场主管</w:t>
            </w:r>
          </w:p>
        </w:tc>
        <w:tc>
          <w:tcPr>
            <w:tcW w:w="1692" w:type="dxa"/>
            <w:noWrap w:val="0"/>
            <w:vAlign w:val="center"/>
          </w:tcPr>
          <w:p w14:paraId="53FDF47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3300" w:type="dxa"/>
            <w:noWrap w:val="0"/>
            <w:vAlign w:val="center"/>
          </w:tcPr>
          <w:p w14:paraId="6CF8F6B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eastAsia="zh-CN"/>
              </w:rPr>
            </w:pPr>
          </w:p>
        </w:tc>
      </w:tr>
      <w:tr w14:paraId="4BEC4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0" w:type="dxa"/>
            <w:noWrap w:val="0"/>
            <w:vAlign w:val="center"/>
          </w:tcPr>
          <w:p w14:paraId="3774048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安保</w:t>
            </w:r>
            <w:r>
              <w:rPr>
                <w:rFonts w:hint="eastAsia" w:ascii="宋体" w:hAnsi="宋体" w:eastAsia="宋体" w:cs="宋体"/>
                <w:color w:val="auto"/>
                <w:sz w:val="24"/>
                <w:szCs w:val="24"/>
                <w:highlight w:val="none"/>
                <w:lang w:val="en-US" w:eastAsia="zh-CN"/>
              </w:rPr>
              <w:t>服务</w:t>
            </w:r>
          </w:p>
        </w:tc>
        <w:tc>
          <w:tcPr>
            <w:tcW w:w="2609" w:type="dxa"/>
            <w:noWrap w:val="0"/>
            <w:vAlign w:val="center"/>
          </w:tcPr>
          <w:p w14:paraId="70CBBE9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保安</w:t>
            </w:r>
            <w:r>
              <w:rPr>
                <w:rFonts w:hint="eastAsia" w:ascii="宋体" w:hAnsi="宋体" w:eastAsia="宋体" w:cs="宋体"/>
                <w:color w:val="auto"/>
                <w:sz w:val="24"/>
                <w:szCs w:val="24"/>
                <w:highlight w:val="none"/>
                <w:lang w:eastAsia="zh-CN"/>
              </w:rPr>
              <w:t>岗</w:t>
            </w:r>
          </w:p>
        </w:tc>
        <w:tc>
          <w:tcPr>
            <w:tcW w:w="1692" w:type="dxa"/>
            <w:noWrap w:val="0"/>
            <w:vAlign w:val="center"/>
          </w:tcPr>
          <w:p w14:paraId="66C2DF5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3300" w:type="dxa"/>
            <w:noWrap w:val="0"/>
            <w:vAlign w:val="center"/>
          </w:tcPr>
          <w:p w14:paraId="269475F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服务时长24小时制。具备但不限于保安员证。</w:t>
            </w:r>
          </w:p>
        </w:tc>
      </w:tr>
      <w:tr w14:paraId="543B3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0" w:type="dxa"/>
            <w:noWrap w:val="0"/>
            <w:vAlign w:val="center"/>
          </w:tcPr>
          <w:p w14:paraId="51D9DD7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建筑消防设施日常运行维保服务</w:t>
            </w:r>
          </w:p>
        </w:tc>
        <w:tc>
          <w:tcPr>
            <w:tcW w:w="2609" w:type="dxa"/>
            <w:noWrap w:val="0"/>
            <w:vAlign w:val="center"/>
          </w:tcPr>
          <w:p w14:paraId="1B8E417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消防运行岗</w:t>
            </w:r>
          </w:p>
        </w:tc>
        <w:tc>
          <w:tcPr>
            <w:tcW w:w="1692" w:type="dxa"/>
            <w:noWrap w:val="0"/>
            <w:vAlign w:val="center"/>
          </w:tcPr>
          <w:p w14:paraId="687946C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3300" w:type="dxa"/>
            <w:noWrap w:val="0"/>
            <w:vAlign w:val="center"/>
          </w:tcPr>
          <w:p w14:paraId="6E096B9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均应通过消防行业特有工种职业技能鉴定，持有初级以上等级的职业资格证书。</w:t>
            </w:r>
          </w:p>
        </w:tc>
      </w:tr>
      <w:tr w14:paraId="0F2EF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49" w:type="dxa"/>
            <w:gridSpan w:val="2"/>
            <w:noWrap w:val="0"/>
            <w:vAlign w:val="center"/>
          </w:tcPr>
          <w:p w14:paraId="519BB4E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合计</w:t>
            </w:r>
          </w:p>
        </w:tc>
        <w:tc>
          <w:tcPr>
            <w:tcW w:w="1692" w:type="dxa"/>
            <w:noWrap w:val="0"/>
            <w:vAlign w:val="center"/>
          </w:tcPr>
          <w:p w14:paraId="0396E81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3300" w:type="dxa"/>
            <w:noWrap w:val="0"/>
            <w:vAlign w:val="center"/>
          </w:tcPr>
          <w:p w14:paraId="4992DA4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r>
    </w:tbl>
    <w:p w14:paraId="0AE848E6">
      <w:pPr>
        <w:keepNext w:val="0"/>
        <w:keepLines w:val="0"/>
        <w:pageBreakBefore w:val="0"/>
        <w:kinsoku/>
        <w:wordWrap/>
        <w:overflowPunct/>
        <w:topLinePunct w:val="0"/>
        <w:autoSpaceDE/>
        <w:autoSpaceDN/>
        <w:bidi w:val="0"/>
        <w:adjustRightInd/>
        <w:spacing w:line="360" w:lineRule="auto"/>
        <w:ind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注：乙方</w:t>
      </w:r>
      <w:r>
        <w:rPr>
          <w:rFonts w:hint="eastAsia" w:ascii="宋体" w:hAnsi="宋体" w:eastAsia="宋体" w:cs="宋体"/>
          <w:color w:val="auto"/>
          <w:sz w:val="24"/>
          <w:szCs w:val="24"/>
          <w:highlight w:val="none"/>
          <w:lang w:eastAsia="zh-CN"/>
        </w:rPr>
        <w:t>应当按国家相关法律法规，合理确定服务人员工资标准、工作时间等。</w:t>
      </w:r>
    </w:p>
    <w:p w14:paraId="7F021312">
      <w:pPr>
        <w:keepNext w:val="0"/>
        <w:keepLines w:val="0"/>
        <w:pageBreakBefore w:val="0"/>
        <w:kinsoku/>
        <w:wordWrap/>
        <w:overflowPunct/>
        <w:topLinePunct w:val="0"/>
        <w:autoSpaceDE/>
        <w:autoSpaceDN/>
        <w:bidi w:val="0"/>
        <w:adjustRightInd/>
        <w:spacing w:line="360" w:lineRule="auto"/>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3.2.2</w:t>
      </w:r>
      <w:r>
        <w:rPr>
          <w:rFonts w:hint="eastAsia" w:hAnsi="宋体" w:cs="宋体"/>
          <w:color w:val="auto"/>
          <w:sz w:val="24"/>
          <w:szCs w:val="24"/>
          <w:u w:val="none" w:color="auto"/>
        </w:rPr>
        <w:t>　</w:t>
      </w:r>
      <w:r>
        <w:rPr>
          <w:rFonts w:hint="eastAsia" w:ascii="宋体" w:hAnsi="宋体" w:eastAsia="宋体" w:cs="宋体"/>
          <w:color w:val="auto"/>
          <w:sz w:val="24"/>
          <w:szCs w:val="24"/>
          <w:highlight w:val="none"/>
          <w:lang w:val="en-US" w:eastAsia="zh-CN"/>
        </w:rPr>
        <w:t>其他要求</w:t>
      </w:r>
    </w:p>
    <w:p w14:paraId="5B53221F">
      <w:pPr>
        <w:keepNext w:val="0"/>
        <w:keepLines w:val="0"/>
        <w:pageBreakBefore w:val="0"/>
        <w:kinsoku/>
        <w:wordWrap/>
        <w:overflowPunct/>
        <w:topLinePunct w:val="0"/>
        <w:autoSpaceDE/>
        <w:autoSpaceDN/>
        <w:bidi w:val="0"/>
        <w:adjustRightInd/>
        <w:spacing w:line="360" w:lineRule="auto"/>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不得随意调整、更换项目负责人员。如有调整或更换,应提前告知甲方或物业使用人，并取得甲方或物业使用人同意。未经甲方或物业使用人书面同意，乙方不得私自更换项目负责人（主动辞职或甲方、物业使用人主动要求除外）；</w:t>
      </w:r>
    </w:p>
    <w:p w14:paraId="73BA10EF">
      <w:pPr>
        <w:keepNext w:val="0"/>
        <w:keepLines w:val="0"/>
        <w:pageBreakBefore w:val="0"/>
        <w:kinsoku/>
        <w:wordWrap/>
        <w:overflowPunct/>
        <w:topLinePunct w:val="0"/>
        <w:autoSpaceDE/>
        <w:autoSpaceDN/>
        <w:bidi w:val="0"/>
        <w:adjustRightInd/>
        <w:spacing w:line="360" w:lineRule="auto"/>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（2）乙方为本项目配备的工作人员不得有犯罪记录；</w:t>
      </w:r>
    </w:p>
    <w:p w14:paraId="105B9F5A">
      <w:pPr>
        <w:keepNext w:val="0"/>
        <w:keepLines w:val="0"/>
        <w:pageBreakBefore w:val="0"/>
        <w:kinsoku/>
        <w:wordWrap/>
        <w:overflowPunct/>
        <w:topLinePunct w:val="0"/>
        <w:autoSpaceDE/>
        <w:autoSpaceDN/>
        <w:bidi w:val="0"/>
        <w:adjustRightInd/>
        <w:spacing w:line="360" w:lineRule="auto"/>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（3）乙方应定期对员工进行岗位培训，不断提高员工服务技能；员工有较强的服务责任、保密意识以及稳定性；</w:t>
      </w:r>
    </w:p>
    <w:p w14:paraId="4611A9A4">
      <w:pPr>
        <w:keepNext w:val="0"/>
        <w:keepLines w:val="0"/>
        <w:pageBreakBefore w:val="0"/>
        <w:kinsoku/>
        <w:wordWrap/>
        <w:overflowPunct/>
        <w:topLinePunct w:val="0"/>
        <w:autoSpaceDE/>
        <w:autoSpaceDN/>
        <w:bidi w:val="0"/>
        <w:adjustRightInd/>
        <w:spacing w:line="360" w:lineRule="auto"/>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（4）乙方所有员工身体健康，无传染病、精神病和不良癖好；</w:t>
      </w:r>
    </w:p>
    <w:p w14:paraId="32103B40">
      <w:pPr>
        <w:keepNext w:val="0"/>
        <w:keepLines w:val="0"/>
        <w:pageBreakBefore w:val="0"/>
        <w:kinsoku/>
        <w:wordWrap/>
        <w:overflowPunct/>
        <w:topLinePunct w:val="0"/>
        <w:autoSpaceDE/>
        <w:autoSpaceDN/>
        <w:bidi w:val="0"/>
        <w:adjustRightInd/>
        <w:spacing w:line="360" w:lineRule="auto"/>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（5）要加强员工队伍形象建设，要教育员工文明用语、礼貌待人，同时所有员工须统一着装；</w:t>
      </w:r>
    </w:p>
    <w:p w14:paraId="388CAB97">
      <w:pPr>
        <w:keepNext w:val="0"/>
        <w:keepLines w:val="0"/>
        <w:pageBreakBefore w:val="0"/>
        <w:kinsoku/>
        <w:wordWrap/>
        <w:overflowPunct/>
        <w:topLinePunct w:val="0"/>
        <w:autoSpaceDE/>
        <w:autoSpaceDN/>
        <w:bidi w:val="0"/>
        <w:adjustRightInd/>
        <w:spacing w:line="360" w:lineRule="auto"/>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（6）要对员工进行岗前培训，要加强员工的教育和培养，不断提高员工队伍的整体素质，进而提升服务质量；</w:t>
      </w:r>
    </w:p>
    <w:p w14:paraId="676E0D91">
      <w:pPr>
        <w:keepNext w:val="0"/>
        <w:keepLines w:val="0"/>
        <w:pageBreakBefore w:val="0"/>
        <w:kinsoku/>
        <w:wordWrap/>
        <w:overflowPunct/>
        <w:topLinePunct w:val="0"/>
        <w:autoSpaceDE/>
        <w:autoSpaceDN/>
        <w:bidi w:val="0"/>
        <w:adjustRightInd/>
        <w:spacing w:line="360" w:lineRule="auto"/>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乙方所有员工应服从楼内治安管理，并自觉遵守相关法律法规和楼内管理制度。乙方员工出现违反法律、法规和党群有关规定的行为，乙方须进行处理、解决，承担由此带来的后果，防止类似事件再次发生；</w:t>
      </w:r>
    </w:p>
    <w:p w14:paraId="66B027C6">
      <w:pPr>
        <w:keepNext w:val="0"/>
        <w:keepLines w:val="0"/>
        <w:pageBreakBefore w:val="0"/>
        <w:kinsoku/>
        <w:wordWrap/>
        <w:overflowPunct/>
        <w:topLinePunct w:val="0"/>
        <w:autoSpaceDE/>
        <w:autoSpaceDN/>
        <w:bidi w:val="0"/>
        <w:adjustRightInd/>
        <w:spacing w:line="360" w:lineRule="auto"/>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（8）乙方必须按有关法律和政策规定，为员工参加社会保险；</w:t>
      </w:r>
    </w:p>
    <w:p w14:paraId="52617357">
      <w:pPr>
        <w:keepNext w:val="0"/>
        <w:keepLines w:val="0"/>
        <w:pageBreakBefore w:val="0"/>
        <w:kinsoku/>
        <w:wordWrap/>
        <w:overflowPunct/>
        <w:topLinePunct w:val="0"/>
        <w:autoSpaceDE/>
        <w:autoSpaceDN/>
        <w:bidi w:val="0"/>
        <w:adjustRightInd/>
        <w:spacing w:line="360" w:lineRule="auto"/>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（9）乙方与所聘用员工之间发生劳动、劳务纠纷等均由乙方自行负责。</w:t>
      </w:r>
    </w:p>
    <w:p w14:paraId="0B9D2E2D">
      <w:pPr>
        <w:widowControl w:val="0"/>
        <w:spacing w:line="500" w:lineRule="exact"/>
        <w:ind w:firstLine="482" w:firstLineChars="200"/>
        <w:jc w:val="both"/>
        <w:rPr>
          <w:rFonts w:ascii="宋体" w:hAnsi="宋体" w:eastAsia="宋体" w:cs="宋体"/>
          <w:b/>
          <w:bCs/>
          <w:color w:val="auto"/>
          <w:kern w:val="0"/>
          <w:sz w:val="24"/>
          <w:szCs w:val="24"/>
          <w:u w:val="none" w:color="auto"/>
          <w:lang w:val="en-US" w:eastAsia="zh-CN" w:bidi="ar-SA"/>
        </w:rPr>
      </w:pPr>
      <w:r>
        <w:rPr>
          <w:rFonts w:hint="eastAsia" w:ascii="宋体" w:hAnsi="宋体" w:eastAsia="宋体" w:cs="宋体"/>
          <w:b/>
          <w:bCs/>
          <w:color w:val="auto"/>
          <w:kern w:val="0"/>
          <w:sz w:val="24"/>
          <w:szCs w:val="24"/>
          <w:u w:val="none" w:color="auto"/>
          <w:lang w:val="en-US" w:eastAsia="zh-CN" w:bidi="ar-SA"/>
        </w:rPr>
        <w:t>4.知识产权</w:t>
      </w:r>
    </w:p>
    <w:p w14:paraId="06B47762">
      <w:pPr>
        <w:widowControl w:val="0"/>
        <w:spacing w:line="500" w:lineRule="exact"/>
        <w:ind w:firstLine="480" w:firstLineChars="200"/>
        <w:jc w:val="both"/>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4.1　乙方应保证所提供的服务免受第三方提出侵犯其知识产权(专利权、商标权、版权等)的起诉。因侵害他人知识产权而产生的法律责任，全部由乙方承担。</w:t>
      </w:r>
    </w:p>
    <w:p w14:paraId="39567D72">
      <w:pPr>
        <w:widowControl w:val="0"/>
        <w:spacing w:line="500" w:lineRule="exact"/>
        <w:ind w:firstLine="480" w:firstLineChars="200"/>
        <w:jc w:val="both"/>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4.2　甲方委托乙方开发的产品，甲方享有知识产权，未经甲方许可不得转让任何第三人。</w:t>
      </w:r>
    </w:p>
    <w:p w14:paraId="424BD484">
      <w:pPr>
        <w:widowControl w:val="0"/>
        <w:spacing w:line="500" w:lineRule="exact"/>
        <w:ind w:firstLine="482" w:firstLineChars="200"/>
        <w:jc w:val="both"/>
        <w:rPr>
          <w:rFonts w:ascii="宋体" w:hAnsi="宋体" w:eastAsia="宋体" w:cs="宋体"/>
          <w:b/>
          <w:bCs/>
          <w:color w:val="auto"/>
          <w:kern w:val="0"/>
          <w:sz w:val="24"/>
          <w:szCs w:val="24"/>
          <w:u w:val="none" w:color="auto"/>
          <w:lang w:val="en-US" w:eastAsia="zh-CN" w:bidi="ar-SA"/>
        </w:rPr>
      </w:pPr>
      <w:r>
        <w:rPr>
          <w:rFonts w:hint="eastAsia" w:ascii="宋体" w:hAnsi="宋体" w:eastAsia="宋体" w:cs="宋体"/>
          <w:b/>
          <w:bCs/>
          <w:color w:val="auto"/>
          <w:kern w:val="0"/>
          <w:sz w:val="24"/>
          <w:szCs w:val="24"/>
          <w:u w:val="none" w:color="auto"/>
          <w:lang w:val="en-US" w:eastAsia="zh-CN" w:bidi="ar-SA"/>
        </w:rPr>
        <w:t>5.保密条款</w:t>
      </w:r>
    </w:p>
    <w:p w14:paraId="583CDDA8">
      <w:pPr>
        <w:widowControl w:val="0"/>
        <w:spacing w:line="500" w:lineRule="exact"/>
        <w:ind w:firstLine="480" w:firstLineChars="200"/>
        <w:jc w:val="both"/>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5.1　甲乙双方应对在本合同签订或履行过程中所接触的对方信息，包括但不限于知识产权、技术资料、技术诀窍、内部管理及其他相关信息，负有保密义务。</w:t>
      </w:r>
    </w:p>
    <w:p w14:paraId="7876B2DD">
      <w:pPr>
        <w:widowControl w:val="0"/>
        <w:spacing w:line="500" w:lineRule="exact"/>
        <w:ind w:firstLine="480" w:firstLineChars="200"/>
        <w:jc w:val="both"/>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5.2　乙方在使用甲方为乙方及其工作人员提供的数据、程序、用户名、口令、资料及甲方相关的业务和技术文档，包括税收政策、方案设计细节、程序文件、数据结构，以及相关业务系统的硬软件、文档、测试和测试产生的数据时，应遵循以下规定：</w:t>
      </w:r>
    </w:p>
    <w:p w14:paraId="6664EA57">
      <w:pPr>
        <w:widowControl w:val="0"/>
        <w:spacing w:line="500" w:lineRule="exact"/>
        <w:ind w:firstLine="480" w:firstLineChars="200"/>
        <w:jc w:val="both"/>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(1)应以审慎态度避免泄露、公开或传播甲方的信息；</w:t>
      </w:r>
    </w:p>
    <w:p w14:paraId="5DF605E2">
      <w:pPr>
        <w:widowControl w:val="0"/>
        <w:spacing w:line="500" w:lineRule="exact"/>
        <w:ind w:firstLine="480" w:firstLineChars="200"/>
        <w:jc w:val="both"/>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(2)未经甲方书面许可，不得对有关信息进行修改、补充、复制；</w:t>
      </w:r>
    </w:p>
    <w:p w14:paraId="6CB9410F">
      <w:pPr>
        <w:widowControl w:val="0"/>
        <w:spacing w:line="500" w:lineRule="exact"/>
        <w:ind w:firstLine="480" w:firstLineChars="200"/>
        <w:jc w:val="both"/>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(3)未经甲方书面许可，不得将信息以任何方式(如E－mail)携带出甲方场所；</w:t>
      </w:r>
    </w:p>
    <w:p w14:paraId="1DA0928D">
      <w:pPr>
        <w:widowControl w:val="0"/>
        <w:spacing w:line="500" w:lineRule="exact"/>
        <w:ind w:firstLine="480" w:firstLineChars="200"/>
        <w:jc w:val="both"/>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(4)未经甲方书面许可，不得将信息透露给任何其他人；</w:t>
      </w:r>
    </w:p>
    <w:p w14:paraId="1C965ACB">
      <w:pPr>
        <w:widowControl w:val="0"/>
        <w:spacing w:line="500" w:lineRule="exact"/>
        <w:ind w:firstLine="480" w:firstLineChars="200"/>
        <w:jc w:val="both"/>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(5)甲方以书面形式提出的其他保密措施。</w:t>
      </w:r>
    </w:p>
    <w:p w14:paraId="11A54D70">
      <w:pPr>
        <w:widowControl w:val="0"/>
        <w:spacing w:line="500" w:lineRule="exact"/>
        <w:ind w:firstLine="480" w:firstLineChars="200"/>
        <w:jc w:val="both"/>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(6)乙方如发生泄漏信息行为，泄露信息未达刑法标准的，每次向甲方付1万元违约金；达到刑法标准的每次向甲方付10万元违约金，并承担相应刑事责任。</w:t>
      </w:r>
    </w:p>
    <w:p w14:paraId="06DFCC30">
      <w:pPr>
        <w:widowControl w:val="0"/>
        <w:spacing w:line="500" w:lineRule="exact"/>
        <w:ind w:firstLine="480" w:firstLineChars="200"/>
        <w:jc w:val="both"/>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5.3　保密期限不受合同有效期的限制，在合同有效期结束后，信息接受方仍应承担保密义务，直至该等信息成为公开信息。</w:t>
      </w:r>
    </w:p>
    <w:p w14:paraId="5E94BC04">
      <w:pPr>
        <w:widowControl w:val="0"/>
        <w:spacing w:line="500" w:lineRule="exact"/>
        <w:ind w:firstLine="480" w:firstLineChars="200"/>
        <w:jc w:val="both"/>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5.4　甲乙双方如出现泄密行为，泄密方应承担相关的法律责任，包括但是不限于对由此给对方造成的经济损失进行赔偿。</w:t>
      </w:r>
    </w:p>
    <w:p w14:paraId="72F713F3">
      <w:pPr>
        <w:widowControl w:val="0"/>
        <w:spacing w:line="500" w:lineRule="exact"/>
        <w:ind w:firstLine="482" w:firstLineChars="200"/>
        <w:jc w:val="both"/>
        <w:rPr>
          <w:rFonts w:ascii="宋体" w:hAnsi="宋体" w:eastAsia="宋体" w:cs="宋体"/>
          <w:b/>
          <w:bCs/>
          <w:color w:val="auto"/>
          <w:kern w:val="0"/>
          <w:sz w:val="24"/>
          <w:szCs w:val="24"/>
          <w:u w:val="none" w:color="auto"/>
          <w:lang w:val="en-US" w:eastAsia="zh-CN" w:bidi="ar-SA"/>
        </w:rPr>
      </w:pPr>
      <w:r>
        <w:rPr>
          <w:rFonts w:hint="eastAsia" w:ascii="宋体" w:hAnsi="宋体" w:eastAsia="宋体" w:cs="宋体"/>
          <w:b/>
          <w:bCs/>
          <w:color w:val="auto"/>
          <w:kern w:val="0"/>
          <w:sz w:val="24"/>
          <w:szCs w:val="24"/>
          <w:u w:val="none" w:color="auto"/>
          <w:lang w:val="en-US" w:eastAsia="zh-CN" w:bidi="ar-SA"/>
        </w:rPr>
        <w:t>6.服务质量保证</w:t>
      </w:r>
    </w:p>
    <w:p w14:paraId="2F951F66">
      <w:pPr>
        <w:widowControl w:val="0"/>
        <w:spacing w:line="500" w:lineRule="exact"/>
        <w:ind w:firstLine="480" w:firstLineChars="200"/>
        <w:jc w:val="both"/>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6.1　乙方应保证所提供的服务，符合合同规定的技术要求。如不符时，乙方应负全责并尽快处理解决，由此造成的损失和相关费用由乙方负责，甲方保留终止合同及索赔的权利。</w:t>
      </w:r>
    </w:p>
    <w:p w14:paraId="3C5FD359">
      <w:pPr>
        <w:widowControl w:val="0"/>
        <w:spacing w:line="500" w:lineRule="exact"/>
        <w:ind w:firstLine="480" w:firstLineChars="200"/>
        <w:jc w:val="both"/>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6.2　乙方应保证通过执行合同中全部方案后，可以取得本合同规定的结果，达到本合同规定的预期目标。对任何情况下出现问题的，应尽快提出解决方案。</w:t>
      </w:r>
    </w:p>
    <w:p w14:paraId="515285F0">
      <w:pPr>
        <w:widowControl w:val="0"/>
        <w:spacing w:line="500" w:lineRule="exact"/>
        <w:ind w:firstLine="480" w:firstLineChars="200"/>
        <w:jc w:val="both"/>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6.3　如果乙方提供的服务和解决方案不符合甲方要求，或在规定的时间内没有弥补缺陷，甲方有权采取一切必要的补救措施，由此产生的费用全部由乙方负责。</w:t>
      </w:r>
    </w:p>
    <w:p w14:paraId="457172F8">
      <w:pPr>
        <w:widowControl w:val="0"/>
        <w:spacing w:line="500" w:lineRule="exact"/>
        <w:ind w:firstLine="482" w:firstLineChars="200"/>
        <w:jc w:val="both"/>
        <w:rPr>
          <w:rFonts w:ascii="宋体" w:hAnsi="宋体" w:eastAsia="宋体" w:cs="宋体"/>
          <w:b w:val="0"/>
          <w:bCs w:val="0"/>
          <w:color w:val="auto"/>
          <w:kern w:val="0"/>
          <w:sz w:val="24"/>
          <w:szCs w:val="24"/>
          <w:u w:val="none" w:color="auto"/>
          <w:lang w:val="en-US" w:eastAsia="zh-CN" w:bidi="ar-SA"/>
        </w:rPr>
      </w:pPr>
      <w:r>
        <w:rPr>
          <w:rFonts w:hint="eastAsia" w:ascii="宋体" w:hAnsi="宋体" w:eastAsia="宋体" w:cs="宋体"/>
          <w:b/>
          <w:bCs/>
          <w:color w:val="auto"/>
          <w:kern w:val="0"/>
          <w:sz w:val="24"/>
          <w:szCs w:val="24"/>
          <w:u w:val="none" w:color="auto"/>
          <w:lang w:val="en-US" w:eastAsia="zh-CN" w:bidi="ar-SA"/>
        </w:rPr>
        <w:t>7.履约保证金</w:t>
      </w:r>
      <w:r>
        <w:rPr>
          <w:rFonts w:hint="eastAsia" w:ascii="宋体" w:hAnsi="宋体" w:eastAsia="宋体" w:cs="宋体"/>
          <w:b w:val="0"/>
          <w:bCs w:val="0"/>
          <w:color w:val="auto"/>
          <w:kern w:val="0"/>
          <w:sz w:val="24"/>
          <w:szCs w:val="24"/>
          <w:u w:val="none" w:color="auto"/>
          <w:lang w:val="en-US" w:eastAsia="zh-CN" w:bidi="ar-SA"/>
        </w:rPr>
        <w:t>　</w:t>
      </w:r>
    </w:p>
    <w:p w14:paraId="77EB282D">
      <w:pPr>
        <w:widowControl w:val="0"/>
        <w:spacing w:line="500" w:lineRule="exact"/>
        <w:ind w:firstLine="480" w:firstLineChars="200"/>
        <w:jc w:val="both"/>
        <w:rPr>
          <w:rFonts w:ascii="宋体" w:hAnsi="宋体" w:eastAsia="宋体" w:cs="宋体"/>
          <w:b w:val="0"/>
          <w:bCs w:val="0"/>
          <w:color w:val="auto"/>
          <w:kern w:val="0"/>
          <w:sz w:val="24"/>
          <w:szCs w:val="24"/>
          <w:u w:val="none" w:color="auto"/>
          <w:lang w:val="en-US" w:eastAsia="zh-CN" w:bidi="ar-SA"/>
        </w:rPr>
      </w:pPr>
      <w:r>
        <w:rPr>
          <w:rFonts w:hint="eastAsia" w:ascii="宋体" w:hAnsi="宋体" w:eastAsia="宋体" w:cs="宋体"/>
          <w:b w:val="0"/>
          <w:bCs w:val="0"/>
          <w:color w:val="auto"/>
          <w:kern w:val="0"/>
          <w:sz w:val="24"/>
          <w:szCs w:val="24"/>
          <w:u w:val="none" w:color="auto"/>
          <w:lang w:val="en-US" w:eastAsia="zh-CN" w:bidi="ar-SA"/>
        </w:rPr>
        <w:t>7.1　履约保证金具体金额及返还要求见</w:t>
      </w:r>
      <w:r>
        <w:rPr>
          <w:rFonts w:hint="eastAsia" w:ascii="宋体" w:hAnsi="宋体" w:eastAsia="宋体" w:cs="宋体"/>
          <w:b/>
          <w:bCs/>
          <w:color w:val="auto"/>
          <w:kern w:val="0"/>
          <w:sz w:val="24"/>
          <w:szCs w:val="24"/>
          <w:u w:val="none" w:color="auto"/>
          <w:lang w:val="en-US" w:eastAsia="zh-CN" w:bidi="ar-SA"/>
        </w:rPr>
        <w:t>合同条款前附表</w:t>
      </w:r>
      <w:r>
        <w:rPr>
          <w:rFonts w:hint="eastAsia" w:ascii="宋体" w:hAnsi="宋体" w:eastAsia="宋体" w:cs="宋体"/>
          <w:b w:val="0"/>
          <w:bCs w:val="0"/>
          <w:color w:val="auto"/>
          <w:kern w:val="0"/>
          <w:sz w:val="24"/>
          <w:szCs w:val="24"/>
          <w:u w:val="none" w:color="auto"/>
          <w:lang w:val="en-US" w:eastAsia="zh-CN" w:bidi="ar-SA"/>
        </w:rPr>
        <w:t>。</w:t>
      </w:r>
    </w:p>
    <w:p w14:paraId="3D3F1A5C">
      <w:pPr>
        <w:widowControl w:val="0"/>
        <w:spacing w:line="500" w:lineRule="exact"/>
        <w:ind w:firstLine="482" w:firstLineChars="200"/>
        <w:jc w:val="both"/>
        <w:rPr>
          <w:rFonts w:ascii="宋体" w:hAnsi="宋体" w:eastAsia="宋体" w:cs="宋体"/>
          <w:b/>
          <w:bCs/>
          <w:color w:val="auto"/>
          <w:kern w:val="0"/>
          <w:sz w:val="24"/>
          <w:szCs w:val="24"/>
          <w:u w:val="none" w:color="auto"/>
          <w:lang w:val="en-US" w:eastAsia="zh-CN" w:bidi="ar-SA"/>
        </w:rPr>
      </w:pPr>
      <w:r>
        <w:rPr>
          <w:rFonts w:hint="eastAsia" w:ascii="宋体" w:hAnsi="宋体" w:eastAsia="宋体" w:cs="宋体"/>
          <w:b/>
          <w:bCs/>
          <w:color w:val="auto"/>
          <w:kern w:val="0"/>
          <w:sz w:val="24"/>
          <w:szCs w:val="24"/>
          <w:u w:val="none" w:color="auto"/>
          <w:lang w:val="en-US" w:eastAsia="zh-CN" w:bidi="ar-SA"/>
        </w:rPr>
        <w:t>8.服务时间、地点与验收</w:t>
      </w:r>
    </w:p>
    <w:p w14:paraId="3E0DA609">
      <w:pPr>
        <w:widowControl w:val="0"/>
        <w:spacing w:line="500" w:lineRule="exact"/>
        <w:ind w:firstLine="480" w:firstLineChars="200"/>
        <w:jc w:val="both"/>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8.1　服务地点：</w:t>
      </w:r>
      <w:r>
        <w:rPr>
          <w:rFonts w:hint="eastAsia" w:ascii="宋体" w:hAnsi="宋体" w:eastAsia="宋体" w:cs="宋体"/>
          <w:b/>
          <w:bCs/>
          <w:color w:val="auto"/>
          <w:kern w:val="0"/>
          <w:sz w:val="24"/>
          <w:szCs w:val="24"/>
          <w:u w:val="none" w:color="auto"/>
          <w:lang w:val="en-US" w:eastAsia="zh-CN" w:bidi="ar-SA"/>
        </w:rPr>
        <w:t>合同条款前附表</w:t>
      </w:r>
      <w:r>
        <w:rPr>
          <w:rFonts w:hint="eastAsia" w:ascii="宋体" w:hAnsi="宋体" w:eastAsia="宋体" w:cs="宋体"/>
          <w:color w:val="auto"/>
          <w:kern w:val="0"/>
          <w:sz w:val="24"/>
          <w:szCs w:val="24"/>
          <w:u w:val="none" w:color="auto"/>
          <w:lang w:val="en-US" w:eastAsia="zh-CN" w:bidi="ar-SA"/>
        </w:rPr>
        <w:t>指定地点。</w:t>
      </w:r>
    </w:p>
    <w:p w14:paraId="764ED491">
      <w:pPr>
        <w:widowControl w:val="0"/>
        <w:spacing w:line="500" w:lineRule="exact"/>
        <w:ind w:firstLine="480" w:firstLineChars="200"/>
        <w:jc w:val="both"/>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8.2　服务时间：</w:t>
      </w:r>
      <w:r>
        <w:rPr>
          <w:rFonts w:hint="eastAsia" w:ascii="宋体" w:hAnsi="宋体" w:eastAsia="宋体" w:cs="宋体"/>
          <w:b/>
          <w:bCs/>
          <w:color w:val="auto"/>
          <w:kern w:val="0"/>
          <w:sz w:val="24"/>
          <w:szCs w:val="24"/>
          <w:u w:val="none" w:color="auto"/>
          <w:lang w:val="en-US" w:eastAsia="zh-CN" w:bidi="ar-SA"/>
        </w:rPr>
        <w:t>合同条款前附表</w:t>
      </w:r>
      <w:r>
        <w:rPr>
          <w:rFonts w:hint="eastAsia" w:ascii="宋体" w:hAnsi="宋体" w:eastAsia="宋体" w:cs="宋体"/>
          <w:color w:val="auto"/>
          <w:kern w:val="0"/>
          <w:sz w:val="24"/>
          <w:szCs w:val="24"/>
          <w:u w:val="none" w:color="auto"/>
          <w:lang w:val="en-US" w:eastAsia="zh-CN" w:bidi="ar-SA"/>
        </w:rPr>
        <w:t>指定时间。</w:t>
      </w:r>
    </w:p>
    <w:p w14:paraId="4782EE7B">
      <w:pPr>
        <w:keepNext w:val="0"/>
        <w:keepLines w:val="0"/>
        <w:pageBreakBefore w:val="0"/>
        <w:kinsoku/>
        <w:wordWrap/>
        <w:overflowPunct/>
        <w:topLinePunct w:val="0"/>
        <w:autoSpaceDE/>
        <w:autoSpaceDN/>
        <w:bidi w:val="0"/>
        <w:adjustRightInd/>
        <w:spacing w:line="360" w:lineRule="auto"/>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u w:val="none" w:color="auto"/>
          <w:lang w:val="en-US" w:eastAsia="zh-CN" w:bidi="ar-SA"/>
        </w:rPr>
        <w:t>8.3</w:t>
      </w:r>
      <w:r>
        <w:rPr>
          <w:rFonts w:hint="eastAsia" w:hAnsi="宋体" w:cs="宋体"/>
          <w:color w:val="auto"/>
          <w:sz w:val="24"/>
          <w:szCs w:val="24"/>
          <w:u w:val="none" w:color="auto"/>
        </w:rPr>
        <w:t>　甲方应在乙方完成相关服务工作后及时对服务质量、技术指标、服务成果进行验收。</w:t>
      </w:r>
      <w:r>
        <w:rPr>
          <w:rFonts w:hint="eastAsia" w:ascii="宋体" w:hAnsi="宋体" w:eastAsia="宋体" w:cs="宋体"/>
          <w:color w:val="auto"/>
          <w:sz w:val="24"/>
          <w:szCs w:val="24"/>
          <w:highlight w:val="none"/>
          <w:lang w:val="en-US" w:eastAsia="zh-CN"/>
        </w:rPr>
        <w:t>验收标准与要求如下：</w:t>
      </w:r>
    </w:p>
    <w:p w14:paraId="13897E6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（1）乙方按约定，定期给甲方提交服务报告，合同期满或者履行完毕后，甲方根据合同条款的约定对服务期内的服务实施具体情况进行年度考核评价，根据年度考核评价分数进行验收。</w:t>
      </w:r>
    </w:p>
    <w:p w14:paraId="0E5DAA87">
      <w:pPr>
        <w:keepNext w:val="0"/>
        <w:keepLines w:val="0"/>
        <w:pageBreakBefore w:val="0"/>
        <w:kinsoku/>
        <w:wordWrap/>
        <w:overflowPunct/>
        <w:topLinePunct w:val="0"/>
        <w:autoSpaceDE/>
        <w:autoSpaceDN/>
        <w:bidi w:val="0"/>
        <w:adjustRightInd/>
        <w:spacing w:line="360" w:lineRule="auto"/>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年度考核评价方案采用百分制评分方式，总分≥80分为合格，60-79分为基本合格（需限期整改），＜60分为不合格。验收合格，甲乙双方按照合同约定支付安保服务费用，继续履行合同。基本合格：乙方须在规定期限内完成整改并通过复核后，甲方支付相应服务费用；若整改后仍未达标或超期完成整改，甲方可根据</w:t>
      </w:r>
      <w:r>
        <w:rPr>
          <w:rFonts w:hint="eastAsia" w:asciiTheme="minorEastAsia" w:hAnsiTheme="minorEastAsia" w:eastAsiaTheme="minorEastAsia" w:cstheme="minorEastAsia"/>
          <w:b/>
          <w:bCs/>
          <w:color w:val="auto"/>
          <w:sz w:val="24"/>
          <w:szCs w:val="24"/>
          <w:highlight w:val="none"/>
          <w:lang w:val="en-US" w:eastAsia="zh-CN"/>
        </w:rPr>
        <w:t>合同前附表</w:t>
      </w:r>
      <w:r>
        <w:rPr>
          <w:rFonts w:hint="eastAsia" w:hAnsi="宋体" w:cs="宋体"/>
          <w:b w:val="0"/>
          <w:bCs w:val="0"/>
          <w:color w:val="auto"/>
          <w:sz w:val="24"/>
          <w:szCs w:val="24"/>
          <w:u w:val="none" w:color="auto"/>
        </w:rPr>
        <w:t>11</w:t>
      </w:r>
      <w:r>
        <w:rPr>
          <w:rFonts w:hint="eastAsia" w:hAnsi="宋体" w:cs="宋体"/>
          <w:b w:val="0"/>
          <w:bCs w:val="0"/>
          <w:color w:val="auto"/>
          <w:sz w:val="24"/>
          <w:szCs w:val="24"/>
          <w:u w:val="none" w:color="auto"/>
          <w:lang w:val="en-US" w:eastAsia="zh-CN"/>
        </w:rPr>
        <w:t>.</w:t>
      </w:r>
      <w:r>
        <w:rPr>
          <w:rFonts w:hint="eastAsia" w:hAnsi="宋体" w:cs="宋体"/>
          <w:color w:val="auto"/>
          <w:sz w:val="24"/>
          <w:szCs w:val="24"/>
          <w:u w:val="none" w:color="auto"/>
        </w:rPr>
        <w:t>误期赔偿费约定</w:t>
      </w:r>
      <w:r>
        <w:rPr>
          <w:rFonts w:hint="eastAsia" w:hAnsi="宋体" w:cs="宋体"/>
          <w:b w:val="0"/>
          <w:bCs w:val="0"/>
          <w:color w:val="auto"/>
          <w:sz w:val="24"/>
          <w:szCs w:val="24"/>
          <w:u w:val="none" w:color="auto"/>
          <w:lang w:val="en-US" w:eastAsia="zh-CN"/>
        </w:rPr>
        <w:t>内容，</w:t>
      </w:r>
      <w:r>
        <w:rPr>
          <w:rFonts w:hint="eastAsia" w:asciiTheme="minorEastAsia" w:hAnsiTheme="minorEastAsia" w:eastAsiaTheme="minorEastAsia" w:cstheme="minorEastAsia"/>
          <w:color w:val="auto"/>
          <w:sz w:val="24"/>
          <w:szCs w:val="24"/>
          <w:highlight w:val="none"/>
          <w:lang w:val="en-US" w:eastAsia="zh-CN"/>
        </w:rPr>
        <w:t>要求乙方承担违约责任。验收不合格：甲方有权根据合同约定解除合同，要求乙方承担违约责任，同时启动重新采购程序。</w:t>
      </w:r>
    </w:p>
    <w:p w14:paraId="4A88B511">
      <w:pPr>
        <w:keepNext w:val="0"/>
        <w:keepLines w:val="0"/>
        <w:pageBreakBefore w:val="0"/>
        <w:kinsoku/>
        <w:wordWrap/>
        <w:overflowPunct/>
        <w:topLinePunct w:val="0"/>
        <w:autoSpaceDE/>
        <w:autoSpaceDN/>
        <w:bidi w:val="0"/>
        <w:adjustRightInd/>
        <w:spacing w:line="360" w:lineRule="auto"/>
        <w:ind w:firstLine="480" w:firstLineChars="200"/>
        <w:jc w:val="left"/>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具体评分标准如下：</w:t>
      </w:r>
    </w:p>
    <w:tbl>
      <w:tblPr>
        <w:tblStyle w:val="6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7"/>
        <w:gridCol w:w="2403"/>
        <w:gridCol w:w="2423"/>
        <w:gridCol w:w="3166"/>
      </w:tblGrid>
      <w:tr w14:paraId="04341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7" w:type="pct"/>
            <w:noWrap w:val="0"/>
            <w:vAlign w:val="center"/>
          </w:tcPr>
          <w:p w14:paraId="7AA15AD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验收类别</w:t>
            </w:r>
          </w:p>
        </w:tc>
        <w:tc>
          <w:tcPr>
            <w:tcW w:w="1206" w:type="pct"/>
            <w:noWrap w:val="0"/>
            <w:vAlign w:val="center"/>
          </w:tcPr>
          <w:p w14:paraId="07B2671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验收指标</w:t>
            </w:r>
          </w:p>
        </w:tc>
        <w:tc>
          <w:tcPr>
            <w:tcW w:w="1216" w:type="pct"/>
            <w:noWrap w:val="0"/>
            <w:vAlign w:val="center"/>
          </w:tcPr>
          <w:p w14:paraId="2080955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分值（分）</w:t>
            </w:r>
          </w:p>
        </w:tc>
        <w:tc>
          <w:tcPr>
            <w:tcW w:w="1589" w:type="pct"/>
            <w:noWrap w:val="0"/>
            <w:vAlign w:val="center"/>
          </w:tcPr>
          <w:p w14:paraId="311BDAB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评分标准</w:t>
            </w:r>
          </w:p>
        </w:tc>
      </w:tr>
      <w:tr w14:paraId="2FBF8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7" w:type="pct"/>
            <w:vMerge w:val="restart"/>
            <w:noWrap w:val="0"/>
            <w:vAlign w:val="center"/>
          </w:tcPr>
          <w:p w14:paraId="6C6461C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岗位人员配置</w:t>
            </w:r>
          </w:p>
        </w:tc>
        <w:tc>
          <w:tcPr>
            <w:tcW w:w="1206" w:type="pct"/>
            <w:noWrap w:val="0"/>
            <w:vAlign w:val="center"/>
          </w:tcPr>
          <w:p w14:paraId="72CFB8C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岗位设置合规性</w:t>
            </w:r>
          </w:p>
        </w:tc>
        <w:tc>
          <w:tcPr>
            <w:tcW w:w="1216" w:type="pct"/>
            <w:noWrap w:val="0"/>
            <w:vAlign w:val="center"/>
          </w:tcPr>
          <w:p w14:paraId="4E7CBCE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589" w:type="pct"/>
            <w:noWrap w:val="0"/>
            <w:vAlign w:val="center"/>
          </w:tcPr>
          <w:p w14:paraId="0510D496">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按合同约定设置岗位，足额配置得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分；若发现岗位缺失或人员不足，每处扣2分，扣完为止。</w:t>
            </w:r>
          </w:p>
        </w:tc>
      </w:tr>
      <w:tr w14:paraId="1A196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987" w:type="pct"/>
            <w:vMerge w:val="continue"/>
            <w:noWrap w:val="0"/>
            <w:vAlign w:val="center"/>
          </w:tcPr>
          <w:p w14:paraId="382BA60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206" w:type="pct"/>
            <w:noWrap w:val="0"/>
            <w:vAlign w:val="center"/>
          </w:tcPr>
          <w:p w14:paraId="57436C2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人员资质齐全性</w:t>
            </w:r>
          </w:p>
        </w:tc>
        <w:tc>
          <w:tcPr>
            <w:tcW w:w="1216" w:type="pct"/>
            <w:noWrap w:val="0"/>
            <w:vAlign w:val="center"/>
          </w:tcPr>
          <w:p w14:paraId="6762A4C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589" w:type="pct"/>
            <w:noWrap w:val="0"/>
            <w:vAlign w:val="center"/>
          </w:tcPr>
          <w:p w14:paraId="5CC6E6F0">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所有值守人员资质齐全、符合要求得10分；每1人资质不全或不符，扣2分，扣完为止。 </w:t>
            </w:r>
          </w:p>
        </w:tc>
      </w:tr>
      <w:tr w14:paraId="341E2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987" w:type="pct"/>
            <w:vMerge w:val="continue"/>
            <w:noWrap w:val="0"/>
            <w:vAlign w:val="center"/>
          </w:tcPr>
          <w:p w14:paraId="24A5E54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206" w:type="pct"/>
            <w:noWrap w:val="0"/>
            <w:vAlign w:val="center"/>
          </w:tcPr>
          <w:p w14:paraId="4ABD084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值守工作规范性</w:t>
            </w:r>
          </w:p>
        </w:tc>
        <w:tc>
          <w:tcPr>
            <w:tcW w:w="1216" w:type="pct"/>
            <w:noWrap w:val="0"/>
            <w:vAlign w:val="center"/>
          </w:tcPr>
          <w:p w14:paraId="610112D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589" w:type="pct"/>
            <w:noWrap w:val="0"/>
            <w:vAlign w:val="center"/>
          </w:tcPr>
          <w:p w14:paraId="3F7A1C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严格执行值守制度，登记核实规范、着装整齐、文明执勤得10分；每发现1次违规，扣2分，扣完为止。 </w:t>
            </w:r>
          </w:p>
        </w:tc>
      </w:tr>
      <w:tr w14:paraId="6B0AB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987" w:type="pct"/>
            <w:vMerge w:val="restart"/>
            <w:noWrap w:val="0"/>
            <w:vAlign w:val="center"/>
          </w:tcPr>
          <w:p w14:paraId="4B53AAD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安保服务</w:t>
            </w:r>
          </w:p>
          <w:p w14:paraId="4AD0600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效果考核</w:t>
            </w:r>
          </w:p>
        </w:tc>
        <w:tc>
          <w:tcPr>
            <w:tcW w:w="1206" w:type="pct"/>
            <w:noWrap w:val="0"/>
            <w:vAlign w:val="center"/>
          </w:tcPr>
          <w:p w14:paraId="73B1267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文件、资料查阅</w:t>
            </w:r>
          </w:p>
        </w:tc>
        <w:tc>
          <w:tcPr>
            <w:tcW w:w="1216" w:type="pct"/>
            <w:noWrap w:val="0"/>
            <w:vAlign w:val="center"/>
          </w:tcPr>
          <w:p w14:paraId="2014729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589" w:type="pct"/>
            <w:noWrap w:val="0"/>
            <w:vAlign w:val="center"/>
          </w:tcPr>
          <w:p w14:paraId="2B1AA2A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对巡查、值守、交接班及异常情况、安保服务工作报告、本月安保服务工作计划等做好相关资料档案管理，填写规范，保存完好得10分。缺记漏记，记录不完整，每处扣2分，扣完为止。</w:t>
            </w:r>
          </w:p>
        </w:tc>
      </w:tr>
      <w:tr w14:paraId="5F500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987" w:type="pct"/>
            <w:vMerge w:val="continue"/>
            <w:noWrap w:val="0"/>
            <w:vAlign w:val="center"/>
          </w:tcPr>
          <w:p w14:paraId="0EF5223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ascii="宋体" w:hAnsi="宋体" w:eastAsia="宋体" w:cs="宋体"/>
                <w:color w:val="auto"/>
                <w:sz w:val="24"/>
                <w:szCs w:val="24"/>
                <w:highlight w:val="none"/>
                <w:lang w:val="en-US" w:eastAsia="zh-CN"/>
              </w:rPr>
            </w:pPr>
          </w:p>
        </w:tc>
        <w:tc>
          <w:tcPr>
            <w:tcW w:w="1206" w:type="pct"/>
            <w:noWrap w:val="0"/>
            <w:vAlign w:val="center"/>
          </w:tcPr>
          <w:p w14:paraId="614778E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落实值班</w:t>
            </w:r>
            <w:r>
              <w:rPr>
                <w:rFonts w:hint="eastAsia" w:ascii="宋体" w:hAnsi="宋体" w:eastAsia="宋体" w:cs="宋体"/>
                <w:color w:val="auto"/>
                <w:sz w:val="24"/>
                <w:szCs w:val="24"/>
                <w:highlight w:val="none"/>
                <w:lang w:eastAsia="zh-CN"/>
              </w:rPr>
              <w:t>巡查</w:t>
            </w:r>
          </w:p>
          <w:p w14:paraId="7CA5E7E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工作情况</w:t>
            </w:r>
          </w:p>
        </w:tc>
        <w:tc>
          <w:tcPr>
            <w:tcW w:w="1216" w:type="pct"/>
            <w:noWrap w:val="0"/>
            <w:vAlign w:val="center"/>
          </w:tcPr>
          <w:p w14:paraId="3C4867B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589" w:type="pct"/>
            <w:noWrap w:val="0"/>
            <w:vAlign w:val="center"/>
          </w:tcPr>
          <w:p w14:paraId="4D858CB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严格执行值班</w:t>
            </w:r>
            <w:r>
              <w:rPr>
                <w:rFonts w:hint="eastAsia" w:ascii="宋体" w:hAnsi="宋体" w:eastAsia="宋体" w:cs="宋体"/>
                <w:color w:val="auto"/>
                <w:sz w:val="24"/>
                <w:szCs w:val="24"/>
                <w:highlight w:val="none"/>
                <w:lang w:eastAsia="zh-CN"/>
              </w:rPr>
              <w:t>巡查</w:t>
            </w:r>
            <w:r>
              <w:rPr>
                <w:rFonts w:hint="eastAsia" w:ascii="宋体" w:hAnsi="宋体" w:eastAsia="宋体" w:cs="宋体"/>
                <w:color w:val="auto"/>
                <w:sz w:val="24"/>
                <w:szCs w:val="24"/>
                <w:highlight w:val="none"/>
                <w:lang w:val="en-US" w:eastAsia="zh-CN"/>
              </w:rPr>
              <w:t>制度，落实完好得10分；每发现1次缺勤、无故脱岗、异常情况未及时上报等情况，扣2分，扣完为止。</w:t>
            </w:r>
          </w:p>
        </w:tc>
      </w:tr>
      <w:tr w14:paraId="3FDA3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987" w:type="pct"/>
            <w:vMerge w:val="continue"/>
            <w:noWrap w:val="0"/>
            <w:vAlign w:val="center"/>
          </w:tcPr>
          <w:p w14:paraId="30D174F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206" w:type="pct"/>
            <w:noWrap w:val="0"/>
            <w:vAlign w:val="center"/>
          </w:tcPr>
          <w:p w14:paraId="20EB8A7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落实监控值守</w:t>
            </w:r>
          </w:p>
          <w:p w14:paraId="41A9BFC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工作情况</w:t>
            </w:r>
          </w:p>
        </w:tc>
        <w:tc>
          <w:tcPr>
            <w:tcW w:w="1216" w:type="pct"/>
            <w:noWrap w:val="0"/>
            <w:vAlign w:val="center"/>
          </w:tcPr>
          <w:p w14:paraId="7B4DE20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589" w:type="pct"/>
            <w:noWrap w:val="0"/>
            <w:vAlign w:val="center"/>
          </w:tcPr>
          <w:p w14:paraId="6E8006A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严格执行监控值守制度，落实完好得5分；每发现1次缺勤、无故脱岗、异常情况未及时上报、监控记录保持不完整等情况，扣1分，扣完为止。</w:t>
            </w:r>
          </w:p>
        </w:tc>
      </w:tr>
      <w:tr w14:paraId="63F96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987" w:type="pct"/>
            <w:vMerge w:val="continue"/>
            <w:noWrap w:val="0"/>
            <w:vAlign w:val="center"/>
          </w:tcPr>
          <w:p w14:paraId="182F8E6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206" w:type="pct"/>
            <w:noWrap w:val="0"/>
            <w:vAlign w:val="center"/>
          </w:tcPr>
          <w:p w14:paraId="7C03772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落实</w:t>
            </w:r>
            <w:r>
              <w:rPr>
                <w:rFonts w:hint="eastAsia" w:ascii="宋体" w:hAnsi="宋体" w:eastAsia="宋体" w:cs="宋体"/>
                <w:color w:val="auto"/>
                <w:sz w:val="24"/>
                <w:szCs w:val="24"/>
                <w:highlight w:val="none"/>
                <w:lang w:eastAsia="zh-CN"/>
              </w:rPr>
              <w:t>车辆</w:t>
            </w:r>
            <w:r>
              <w:rPr>
                <w:rFonts w:hint="eastAsia" w:ascii="宋体" w:hAnsi="宋体" w:eastAsia="宋体" w:cs="宋体"/>
                <w:color w:val="auto"/>
                <w:sz w:val="24"/>
                <w:szCs w:val="24"/>
                <w:highlight w:val="none"/>
                <w:lang w:val="en-US" w:eastAsia="zh-CN"/>
              </w:rPr>
              <w:t>停放</w:t>
            </w:r>
          </w:p>
          <w:p w14:paraId="332393D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工作情况</w:t>
            </w:r>
          </w:p>
        </w:tc>
        <w:tc>
          <w:tcPr>
            <w:tcW w:w="1216" w:type="pct"/>
            <w:noWrap w:val="0"/>
            <w:vAlign w:val="center"/>
          </w:tcPr>
          <w:p w14:paraId="020D5F7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589" w:type="pct"/>
            <w:noWrap w:val="0"/>
            <w:vAlign w:val="center"/>
          </w:tcPr>
          <w:p w14:paraId="239DE4A2">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严格执行</w:t>
            </w:r>
            <w:r>
              <w:rPr>
                <w:rFonts w:hint="eastAsia" w:ascii="宋体" w:hAnsi="宋体" w:eastAsia="宋体" w:cs="宋体"/>
                <w:color w:val="auto"/>
                <w:sz w:val="24"/>
                <w:szCs w:val="24"/>
                <w:highlight w:val="none"/>
                <w:lang w:eastAsia="zh-CN"/>
              </w:rPr>
              <w:t>车辆</w:t>
            </w:r>
            <w:r>
              <w:rPr>
                <w:rFonts w:hint="eastAsia" w:ascii="宋体" w:hAnsi="宋体" w:eastAsia="宋体" w:cs="宋体"/>
                <w:color w:val="auto"/>
                <w:sz w:val="24"/>
                <w:szCs w:val="24"/>
                <w:highlight w:val="none"/>
                <w:lang w:val="en-US" w:eastAsia="zh-CN"/>
              </w:rPr>
              <w:t>停放制度，落实完好得5分；每发现1次不及时处理违停乱停、记少记每日办公用车清点记录、异常情况未及时上报等情况，扣1分，扣完为止。</w:t>
            </w:r>
          </w:p>
        </w:tc>
      </w:tr>
      <w:tr w14:paraId="227E3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987" w:type="pct"/>
            <w:vMerge w:val="continue"/>
            <w:noWrap w:val="0"/>
            <w:vAlign w:val="center"/>
          </w:tcPr>
          <w:p w14:paraId="5C22B76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206" w:type="pct"/>
            <w:noWrap w:val="0"/>
            <w:vAlign w:val="center"/>
          </w:tcPr>
          <w:p w14:paraId="7FA0461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落实</w:t>
            </w:r>
            <w:r>
              <w:rPr>
                <w:rFonts w:hint="eastAsia" w:ascii="宋体" w:hAnsi="宋体" w:eastAsia="宋体" w:cs="宋体"/>
                <w:color w:val="auto"/>
                <w:sz w:val="24"/>
                <w:szCs w:val="24"/>
                <w:highlight w:val="none"/>
                <w:lang w:eastAsia="zh-CN"/>
              </w:rPr>
              <w:t>突发事件</w:t>
            </w:r>
            <w:r>
              <w:rPr>
                <w:rFonts w:hint="eastAsia" w:ascii="宋体" w:hAnsi="宋体" w:eastAsia="宋体" w:cs="宋体"/>
                <w:color w:val="auto"/>
                <w:sz w:val="24"/>
                <w:szCs w:val="24"/>
                <w:highlight w:val="none"/>
                <w:lang w:val="en-US" w:eastAsia="zh-CN"/>
              </w:rPr>
              <w:t>响应</w:t>
            </w:r>
          </w:p>
          <w:p w14:paraId="1EBD896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能力工作情况</w:t>
            </w:r>
          </w:p>
        </w:tc>
        <w:tc>
          <w:tcPr>
            <w:tcW w:w="1216" w:type="pct"/>
            <w:noWrap w:val="0"/>
            <w:vAlign w:val="center"/>
          </w:tcPr>
          <w:p w14:paraId="733CD6F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589" w:type="pct"/>
            <w:noWrap w:val="0"/>
            <w:vAlign w:val="center"/>
          </w:tcPr>
          <w:p w14:paraId="10E0915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严格执行</w:t>
            </w:r>
            <w:r>
              <w:rPr>
                <w:rFonts w:hint="eastAsia" w:ascii="宋体" w:hAnsi="宋体" w:eastAsia="宋体" w:cs="宋体"/>
                <w:color w:val="auto"/>
                <w:sz w:val="24"/>
                <w:szCs w:val="24"/>
                <w:highlight w:val="none"/>
                <w:lang w:eastAsia="zh-CN"/>
              </w:rPr>
              <w:t>突发事件</w:t>
            </w:r>
            <w:r>
              <w:rPr>
                <w:rFonts w:hint="eastAsia" w:ascii="宋体" w:hAnsi="宋体" w:eastAsia="宋体" w:cs="宋体"/>
                <w:color w:val="auto"/>
                <w:sz w:val="24"/>
                <w:szCs w:val="24"/>
                <w:highlight w:val="none"/>
                <w:lang w:val="en-US" w:eastAsia="zh-CN"/>
              </w:rPr>
              <w:t>响应能力制度，落实完好得5分；每发现1次缺配少配应急物资、缺记少记突发事件应急演练相应记录、异常情况未及时上报等违规情况，扣1分，扣完为止。</w:t>
            </w:r>
          </w:p>
        </w:tc>
      </w:tr>
      <w:tr w14:paraId="16A58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987" w:type="pct"/>
            <w:vMerge w:val="restart"/>
            <w:noWrap w:val="0"/>
            <w:vAlign w:val="center"/>
          </w:tcPr>
          <w:p w14:paraId="2A1787B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建筑消防设施</w:t>
            </w:r>
          </w:p>
          <w:p w14:paraId="674C153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日常运行维保</w:t>
            </w:r>
          </w:p>
          <w:p w14:paraId="2AEC1E6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服务效果考核</w:t>
            </w:r>
          </w:p>
        </w:tc>
        <w:tc>
          <w:tcPr>
            <w:tcW w:w="1206" w:type="pct"/>
            <w:noWrap w:val="0"/>
            <w:vAlign w:val="center"/>
          </w:tcPr>
          <w:p w14:paraId="24C51E3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文件、资料查阅</w:t>
            </w:r>
          </w:p>
        </w:tc>
        <w:tc>
          <w:tcPr>
            <w:tcW w:w="1216" w:type="pct"/>
            <w:noWrap w:val="0"/>
            <w:vAlign w:val="center"/>
          </w:tcPr>
          <w:p w14:paraId="398E655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w:t>
            </w:r>
          </w:p>
        </w:tc>
        <w:tc>
          <w:tcPr>
            <w:tcW w:w="1589" w:type="pct"/>
            <w:noWrap w:val="0"/>
            <w:vAlign w:val="center"/>
          </w:tcPr>
          <w:p w14:paraId="15F0582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对消防设备台账、消防设备卡、使用说明、消防设备维保记录、巡查记录、消防设施</w:t>
            </w:r>
            <w:r>
              <w:rPr>
                <w:rFonts w:hint="eastAsia" w:ascii="宋体" w:hAnsi="宋体" w:eastAsia="宋体" w:cs="宋体"/>
                <w:color w:val="auto"/>
                <w:sz w:val="24"/>
                <w:szCs w:val="24"/>
                <w:highlight w:val="none"/>
                <w:lang w:eastAsia="zh-CN"/>
              </w:rPr>
              <w:t>设备安全运行、</w:t>
            </w:r>
            <w:r>
              <w:rPr>
                <w:rFonts w:hint="eastAsia" w:ascii="宋体" w:hAnsi="宋体" w:eastAsia="宋体" w:cs="宋体"/>
                <w:color w:val="auto"/>
                <w:sz w:val="24"/>
                <w:szCs w:val="24"/>
                <w:highlight w:val="none"/>
                <w:lang w:val="en-US" w:eastAsia="zh-CN"/>
              </w:rPr>
              <w:t>消防</w:t>
            </w:r>
            <w:r>
              <w:rPr>
                <w:rFonts w:hint="eastAsia" w:ascii="宋体" w:hAnsi="宋体" w:eastAsia="宋体" w:cs="宋体"/>
                <w:color w:val="auto"/>
                <w:sz w:val="24"/>
                <w:szCs w:val="24"/>
                <w:highlight w:val="none"/>
                <w:lang w:eastAsia="zh-CN"/>
              </w:rPr>
              <w:t>设施设备定期巡检、维护保养、维修档案</w:t>
            </w:r>
            <w:r>
              <w:rPr>
                <w:rFonts w:hint="eastAsia" w:ascii="宋体" w:hAnsi="宋体" w:eastAsia="宋体" w:cs="宋体"/>
                <w:color w:val="auto"/>
                <w:sz w:val="24"/>
                <w:szCs w:val="24"/>
                <w:highlight w:val="none"/>
                <w:lang w:val="en-US" w:eastAsia="zh-CN"/>
              </w:rPr>
              <w:t>等做好相关记录，填写规范，保存完好得10分。缺记漏记，记录不完整，每处扣2分，扣完为止。</w:t>
            </w:r>
          </w:p>
        </w:tc>
      </w:tr>
      <w:tr w14:paraId="0DC9F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987" w:type="pct"/>
            <w:vMerge w:val="continue"/>
            <w:noWrap w:val="0"/>
            <w:vAlign w:val="center"/>
          </w:tcPr>
          <w:p w14:paraId="4840EDA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206" w:type="pct"/>
            <w:noWrap w:val="0"/>
            <w:vAlign w:val="center"/>
          </w:tcPr>
          <w:p w14:paraId="7F56667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落实消防</w:t>
            </w:r>
            <w:r>
              <w:rPr>
                <w:rFonts w:hint="eastAsia" w:ascii="宋体" w:hAnsi="宋体" w:eastAsia="宋体" w:cs="宋体"/>
                <w:color w:val="auto"/>
                <w:sz w:val="24"/>
                <w:szCs w:val="24"/>
                <w:highlight w:val="none"/>
                <w:lang w:eastAsia="zh-CN"/>
              </w:rPr>
              <w:t>安全</w:t>
            </w:r>
          </w:p>
          <w:p w14:paraId="783987B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管理</w:t>
            </w:r>
            <w:r>
              <w:rPr>
                <w:rFonts w:hint="eastAsia" w:ascii="宋体" w:hAnsi="宋体" w:eastAsia="宋体" w:cs="宋体"/>
                <w:color w:val="auto"/>
                <w:sz w:val="24"/>
                <w:szCs w:val="24"/>
                <w:highlight w:val="none"/>
                <w:lang w:val="en-US" w:eastAsia="zh-CN"/>
              </w:rPr>
              <w:t>工作情况</w:t>
            </w:r>
          </w:p>
        </w:tc>
        <w:tc>
          <w:tcPr>
            <w:tcW w:w="1216" w:type="pct"/>
            <w:noWrap w:val="0"/>
            <w:vAlign w:val="center"/>
          </w:tcPr>
          <w:p w14:paraId="447ACEA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589" w:type="pct"/>
            <w:noWrap w:val="0"/>
            <w:vAlign w:val="center"/>
          </w:tcPr>
          <w:p w14:paraId="38B57BC4">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对落实消防</w:t>
            </w:r>
            <w:r>
              <w:rPr>
                <w:rFonts w:hint="eastAsia" w:ascii="宋体" w:hAnsi="宋体" w:eastAsia="宋体" w:cs="宋体"/>
                <w:color w:val="auto"/>
                <w:sz w:val="24"/>
                <w:szCs w:val="24"/>
                <w:highlight w:val="none"/>
                <w:lang w:eastAsia="zh-CN"/>
              </w:rPr>
              <w:t>安全管理</w:t>
            </w:r>
            <w:r>
              <w:rPr>
                <w:rFonts w:hint="eastAsia" w:ascii="宋体" w:hAnsi="宋体" w:eastAsia="宋体" w:cs="宋体"/>
                <w:color w:val="auto"/>
                <w:sz w:val="24"/>
                <w:szCs w:val="24"/>
                <w:highlight w:val="none"/>
                <w:lang w:val="en-US" w:eastAsia="zh-CN"/>
              </w:rPr>
              <w:t>制度落实完好得10分。每发现1次缺勤、无故脱岗、异常情况未及时上报等情况，扣2分，扣完为止。</w:t>
            </w:r>
          </w:p>
        </w:tc>
      </w:tr>
      <w:tr w14:paraId="23EDF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987" w:type="pct"/>
            <w:vMerge w:val="restart"/>
            <w:noWrap w:val="0"/>
            <w:vAlign w:val="center"/>
          </w:tcPr>
          <w:p w14:paraId="51627B7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其他服务</w:t>
            </w:r>
          </w:p>
          <w:p w14:paraId="77ED3D3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效果考核</w:t>
            </w:r>
          </w:p>
        </w:tc>
        <w:tc>
          <w:tcPr>
            <w:tcW w:w="1206" w:type="pct"/>
            <w:noWrap w:val="0"/>
            <w:vAlign w:val="center"/>
          </w:tcPr>
          <w:p w14:paraId="7A77049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落实楼内设施（设备）及物品的少量简易搬运服务工作情况</w:t>
            </w:r>
          </w:p>
        </w:tc>
        <w:tc>
          <w:tcPr>
            <w:tcW w:w="1216" w:type="pct"/>
            <w:noWrap w:val="0"/>
            <w:vAlign w:val="center"/>
          </w:tcPr>
          <w:p w14:paraId="2F75A35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589" w:type="pct"/>
            <w:noWrap w:val="0"/>
            <w:vAlign w:val="center"/>
          </w:tcPr>
          <w:p w14:paraId="37F1EF4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对楼内设施（设备）及物品的少量简易搬运服务，落实完好得5分。每发现1次处理不及时扣1分，扣完为止。</w:t>
            </w:r>
          </w:p>
        </w:tc>
      </w:tr>
      <w:tr w14:paraId="1D910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987" w:type="pct"/>
            <w:vMerge w:val="continue"/>
            <w:noWrap w:val="0"/>
            <w:vAlign w:val="center"/>
          </w:tcPr>
          <w:p w14:paraId="1C21344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206" w:type="pct"/>
            <w:noWrap w:val="0"/>
            <w:vAlign w:val="center"/>
          </w:tcPr>
          <w:p w14:paraId="77F0F35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与物业方协调</w:t>
            </w:r>
          </w:p>
          <w:p w14:paraId="1A2D245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配合情况</w:t>
            </w:r>
          </w:p>
        </w:tc>
        <w:tc>
          <w:tcPr>
            <w:tcW w:w="1216" w:type="pct"/>
            <w:noWrap w:val="0"/>
            <w:vAlign w:val="center"/>
          </w:tcPr>
          <w:p w14:paraId="1A6605A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589" w:type="pct"/>
            <w:noWrap w:val="0"/>
            <w:vAlign w:val="center"/>
          </w:tcPr>
          <w:p w14:paraId="2A4F711A">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积极与物业方协调配合，落实完好得10分。每发现1次推诿扯皮、不配合物业方工作、不服从甲方管理等情况，扣2分，扣完为止。</w:t>
            </w:r>
          </w:p>
        </w:tc>
      </w:tr>
    </w:tbl>
    <w:p w14:paraId="1E82CBA4">
      <w:pPr>
        <w:keepNext w:val="0"/>
        <w:keepLines w:val="0"/>
        <w:pageBreakBefore w:val="0"/>
        <w:kinsoku/>
        <w:wordWrap/>
        <w:overflowPunct/>
        <w:topLinePunct w:val="0"/>
        <w:autoSpaceDE/>
        <w:autoSpaceDN/>
        <w:bidi w:val="0"/>
        <w:adjustRightInd/>
        <w:spacing w:line="360" w:lineRule="auto"/>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（2）合同期满或者履行完毕后，甲方有权组织（包括依法邀请国家认可的质量检测机构参加）对乙方履约的验收，即：按照合同约定的标准，组织对乙方履约情况的验收。</w:t>
      </w:r>
    </w:p>
    <w:p w14:paraId="05BF1D7A">
      <w:pPr>
        <w:widowControl w:val="0"/>
        <w:spacing w:line="500" w:lineRule="exact"/>
        <w:ind w:firstLine="482" w:firstLineChars="200"/>
        <w:jc w:val="both"/>
        <w:rPr>
          <w:rFonts w:ascii="宋体" w:hAnsi="宋体" w:eastAsia="宋体" w:cs="宋体"/>
          <w:b/>
          <w:bCs/>
          <w:color w:val="auto"/>
          <w:kern w:val="0"/>
          <w:sz w:val="24"/>
          <w:szCs w:val="24"/>
          <w:u w:val="none" w:color="auto"/>
          <w:lang w:val="en-US" w:eastAsia="zh-CN" w:bidi="ar-SA"/>
        </w:rPr>
      </w:pPr>
      <w:r>
        <w:rPr>
          <w:rFonts w:hint="eastAsia" w:ascii="宋体" w:hAnsi="宋体" w:eastAsia="宋体" w:cs="宋体"/>
          <w:b/>
          <w:bCs/>
          <w:color w:val="auto"/>
          <w:kern w:val="0"/>
          <w:sz w:val="24"/>
          <w:szCs w:val="24"/>
          <w:u w:val="none" w:color="auto"/>
          <w:lang w:val="en-US" w:eastAsia="zh-CN" w:bidi="ar-SA"/>
        </w:rPr>
        <w:t>9.违约责任</w:t>
      </w:r>
    </w:p>
    <w:p w14:paraId="4E4828BA">
      <w:pPr>
        <w:widowControl w:val="0"/>
        <w:spacing w:line="500" w:lineRule="exact"/>
        <w:ind w:firstLine="482" w:firstLineChars="200"/>
        <w:jc w:val="both"/>
        <w:rPr>
          <w:rFonts w:ascii="宋体" w:hAnsi="宋体" w:eastAsia="宋体" w:cs="宋体"/>
          <w:b/>
          <w:bCs/>
          <w:color w:val="auto"/>
          <w:kern w:val="0"/>
          <w:sz w:val="24"/>
          <w:szCs w:val="24"/>
          <w:u w:val="none" w:color="auto"/>
          <w:lang w:val="en-US" w:eastAsia="zh-CN" w:bidi="ar-SA"/>
        </w:rPr>
      </w:pPr>
      <w:r>
        <w:rPr>
          <w:rFonts w:hint="eastAsia" w:ascii="宋体" w:hAnsi="宋体" w:eastAsia="宋体" w:cs="宋体"/>
          <w:b/>
          <w:bCs/>
          <w:color w:val="auto"/>
          <w:kern w:val="0"/>
          <w:sz w:val="24"/>
          <w:szCs w:val="24"/>
          <w:u w:val="none" w:color="auto"/>
          <w:lang w:val="en-US" w:eastAsia="zh-CN" w:bidi="ar-SA"/>
        </w:rPr>
        <w:t>9.1　服务缺陷的补救措施和索赔</w:t>
      </w:r>
    </w:p>
    <w:p w14:paraId="2BE021EB">
      <w:pPr>
        <w:widowControl w:val="0"/>
        <w:spacing w:line="500" w:lineRule="exact"/>
        <w:ind w:firstLine="480" w:firstLineChars="200"/>
        <w:jc w:val="both"/>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(1)如果乙方提供的服务不符合本合同约定以及招标文件、投标文件关于服务的要求和承诺，乙方应按照甲方同意的下列一种或几种方式结合起来解决索赔事宜：</w:t>
      </w:r>
    </w:p>
    <w:p w14:paraId="6918221B">
      <w:pPr>
        <w:widowControl w:val="0"/>
        <w:spacing w:line="500" w:lineRule="exact"/>
        <w:ind w:firstLine="480" w:firstLineChars="200"/>
        <w:jc w:val="both"/>
        <w:rPr>
          <w:rFonts w:ascii="宋体" w:hAnsi="宋体" w:eastAsia="宋体" w:cs="宋体"/>
          <w:b w:val="0"/>
          <w:bCs w:val="0"/>
          <w:color w:val="auto"/>
          <w:kern w:val="0"/>
          <w:sz w:val="24"/>
          <w:szCs w:val="24"/>
          <w:u w:val="none" w:color="auto"/>
          <w:lang w:val="en-US" w:eastAsia="zh-CN" w:bidi="ar-SA"/>
        </w:rPr>
      </w:pPr>
      <w:r>
        <w:rPr>
          <w:rFonts w:hint="eastAsia" w:ascii="宋体" w:hAnsi="宋体" w:eastAsia="宋体" w:cs="宋体"/>
          <w:b w:val="0"/>
          <w:bCs w:val="0"/>
          <w:color w:val="auto"/>
          <w:kern w:val="0"/>
          <w:sz w:val="24"/>
          <w:szCs w:val="24"/>
          <w:u w:val="none" w:color="auto"/>
          <w:lang w:val="en-US" w:eastAsia="zh-CN" w:bidi="ar-SA"/>
        </w:rPr>
        <w:t>①乙方同意将服务款项退还给甲方，由此发生的一切费用和损失由乙方承担。如甲方以适当的条件和方法购买与未履约标的相类似的服务，乙方应负担新购买类似服务所超出的费用。</w:t>
      </w:r>
    </w:p>
    <w:p w14:paraId="33B0494A">
      <w:pPr>
        <w:widowControl w:val="0"/>
        <w:spacing w:line="500" w:lineRule="exact"/>
        <w:ind w:firstLine="480" w:firstLineChars="200"/>
        <w:jc w:val="both"/>
        <w:rPr>
          <w:rFonts w:ascii="宋体" w:hAnsi="宋体" w:eastAsia="宋体" w:cs="宋体"/>
          <w:b w:val="0"/>
          <w:bCs w:val="0"/>
          <w:color w:val="auto"/>
          <w:kern w:val="0"/>
          <w:sz w:val="24"/>
          <w:szCs w:val="24"/>
          <w:u w:val="none" w:color="auto"/>
          <w:lang w:val="en-US" w:eastAsia="zh-CN" w:bidi="ar-SA"/>
        </w:rPr>
      </w:pPr>
      <w:r>
        <w:rPr>
          <w:rFonts w:hint="eastAsia" w:ascii="宋体" w:hAnsi="宋体" w:eastAsia="宋体" w:cs="宋体"/>
          <w:b w:val="0"/>
          <w:bCs w:val="0"/>
          <w:color w:val="auto"/>
          <w:kern w:val="0"/>
          <w:sz w:val="24"/>
          <w:szCs w:val="24"/>
          <w:u w:val="none" w:color="auto"/>
          <w:lang w:val="en-US" w:eastAsia="zh-CN" w:bidi="ar-SA"/>
        </w:rPr>
        <w:t>②根据服务的质量状况以及甲方所遭受的损失，经过甲乙双方商定降低服务的价格。</w:t>
      </w:r>
    </w:p>
    <w:p w14:paraId="4EA95E56">
      <w:pPr>
        <w:widowControl w:val="0"/>
        <w:spacing w:line="500" w:lineRule="exact"/>
        <w:ind w:firstLine="480" w:firstLineChars="200"/>
        <w:jc w:val="both"/>
        <w:rPr>
          <w:rFonts w:ascii="宋体" w:hAnsi="宋体" w:eastAsia="宋体" w:cs="宋体"/>
          <w:b w:val="0"/>
          <w:bCs w:val="0"/>
          <w:color w:val="auto"/>
          <w:kern w:val="0"/>
          <w:sz w:val="24"/>
          <w:szCs w:val="24"/>
          <w:u w:val="none" w:color="auto"/>
          <w:lang w:val="en-US" w:eastAsia="zh-CN" w:bidi="ar-SA"/>
        </w:rPr>
      </w:pPr>
      <w:r>
        <w:rPr>
          <w:rFonts w:hint="eastAsia" w:ascii="宋体" w:hAnsi="宋体" w:eastAsia="宋体" w:cs="宋体"/>
          <w:b w:val="0"/>
          <w:bCs w:val="0"/>
          <w:color w:val="auto"/>
          <w:kern w:val="0"/>
          <w:sz w:val="24"/>
          <w:szCs w:val="24"/>
          <w:u w:val="none" w:color="auto"/>
          <w:lang w:val="en-US" w:eastAsia="zh-CN" w:bidi="ar-SA"/>
        </w:rPr>
        <w:t>(2)如果在甲方发出索赔通知后10日内乙方未作答复，上述索赔应视为已被乙方接受。如果乙方未能在甲方发出索赔通知后10日内或甲方同意延长的期限内，按照上述规定的任何一种方法采取补救措施，甲方有权从应付服务款中扣除索赔金额或者没收履约保证金，如不足以弥补甲方损失的，甲方有权进一步要求乙方赔偿。</w:t>
      </w:r>
    </w:p>
    <w:p w14:paraId="280E3E32">
      <w:pPr>
        <w:widowControl w:val="0"/>
        <w:spacing w:line="500" w:lineRule="exact"/>
        <w:ind w:firstLine="482" w:firstLineChars="200"/>
        <w:jc w:val="both"/>
        <w:rPr>
          <w:rFonts w:ascii="宋体" w:hAnsi="宋体" w:eastAsia="宋体" w:cs="宋体"/>
          <w:b/>
          <w:bCs/>
          <w:color w:val="auto"/>
          <w:kern w:val="0"/>
          <w:sz w:val="24"/>
          <w:szCs w:val="24"/>
          <w:u w:val="none" w:color="auto"/>
          <w:lang w:val="en-US" w:eastAsia="zh-CN" w:bidi="ar-SA"/>
        </w:rPr>
      </w:pPr>
      <w:r>
        <w:rPr>
          <w:rFonts w:hint="eastAsia" w:ascii="宋体" w:hAnsi="宋体" w:eastAsia="宋体" w:cs="宋体"/>
          <w:b/>
          <w:bCs/>
          <w:color w:val="auto"/>
          <w:kern w:val="0"/>
          <w:sz w:val="24"/>
          <w:szCs w:val="24"/>
          <w:u w:val="none" w:color="auto"/>
          <w:lang w:val="en-US" w:eastAsia="zh-CN" w:bidi="ar-SA"/>
        </w:rPr>
        <w:t>9.2　迟延履约的违约责任</w:t>
      </w:r>
    </w:p>
    <w:p w14:paraId="03D44C95">
      <w:pPr>
        <w:widowControl w:val="0"/>
        <w:spacing w:line="500" w:lineRule="exact"/>
        <w:ind w:firstLine="480" w:firstLineChars="200"/>
        <w:jc w:val="both"/>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(1)乙方应按照本合同规定的时间、地点提供服务。</w:t>
      </w:r>
    </w:p>
    <w:p w14:paraId="31880022">
      <w:pPr>
        <w:widowControl w:val="0"/>
        <w:spacing w:line="500" w:lineRule="exact"/>
        <w:ind w:firstLine="480" w:firstLineChars="200"/>
        <w:jc w:val="both"/>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(2)在履行合同过程中，如果乙方遇到可能妨碍按时提供服务的情形时，应及时以书面形式将迟延的事实、可能迟延的期限和理由通知甲方。甲方在收到乙方通知后，应尽快对情况进行评价，并确定是否同意延期提供服务。</w:t>
      </w:r>
    </w:p>
    <w:p w14:paraId="099EC4D7">
      <w:pPr>
        <w:widowControl w:val="0"/>
        <w:spacing w:line="500" w:lineRule="exact"/>
        <w:ind w:firstLine="480" w:firstLineChars="200"/>
        <w:jc w:val="both"/>
        <w:rPr>
          <w:rFonts w:ascii="宋体" w:hAnsi="宋体" w:eastAsia="宋体" w:cs="宋体"/>
          <w:b w:val="0"/>
          <w:bCs w:val="0"/>
          <w:color w:val="auto"/>
          <w:kern w:val="0"/>
          <w:sz w:val="24"/>
          <w:szCs w:val="24"/>
          <w:u w:val="none" w:color="auto"/>
          <w:lang w:val="en-US" w:eastAsia="zh-CN" w:bidi="ar-SA"/>
        </w:rPr>
      </w:pPr>
      <w:r>
        <w:rPr>
          <w:rFonts w:hint="eastAsia" w:ascii="宋体" w:hAnsi="宋体" w:eastAsia="宋体" w:cs="宋体"/>
          <w:b w:val="0"/>
          <w:bCs w:val="0"/>
          <w:color w:val="auto"/>
          <w:kern w:val="0"/>
          <w:sz w:val="24"/>
          <w:szCs w:val="24"/>
          <w:u w:val="none" w:color="auto"/>
          <w:lang w:val="en-US" w:eastAsia="zh-CN" w:bidi="ar-SA"/>
        </w:rPr>
        <w:t>(3)除甲乙双方另有约定外，如果乙方没有按照合同规定的时间提供服务，且没有在甲方同意的延长的期限内进行补救时，甲方有权从服务款、履约保证金中扣除或要求乙方另行支付误期赔偿费而不影响合同项下的其他补救方法。赔偿费按每日加收合同金额的0.5%计收，直至提供服务为止。误期超过30日的，甲方有权单方解除合同，并要求乙方承担合同价款总额15%的违约金。</w:t>
      </w:r>
    </w:p>
    <w:p w14:paraId="045D5B99">
      <w:pPr>
        <w:widowControl w:val="0"/>
        <w:spacing w:line="500" w:lineRule="exact"/>
        <w:ind w:firstLine="482" w:firstLineChars="200"/>
        <w:jc w:val="both"/>
        <w:rPr>
          <w:rFonts w:ascii="宋体" w:hAnsi="宋体" w:eastAsia="宋体" w:cs="宋体"/>
          <w:b/>
          <w:bCs/>
          <w:color w:val="auto"/>
          <w:kern w:val="0"/>
          <w:sz w:val="24"/>
          <w:szCs w:val="24"/>
          <w:u w:val="none" w:color="auto"/>
          <w:lang w:val="en-US" w:eastAsia="zh-CN" w:bidi="ar-SA"/>
        </w:rPr>
      </w:pPr>
      <w:r>
        <w:rPr>
          <w:rFonts w:hint="eastAsia" w:ascii="宋体" w:hAnsi="宋体" w:eastAsia="宋体" w:cs="宋体"/>
          <w:b/>
          <w:bCs/>
          <w:color w:val="auto"/>
          <w:kern w:val="0"/>
          <w:sz w:val="24"/>
          <w:szCs w:val="24"/>
          <w:u w:val="none" w:color="auto"/>
          <w:lang w:val="en-US" w:eastAsia="zh-CN" w:bidi="ar-SA"/>
        </w:rPr>
        <w:t>9.3　未履行合同义务的违约责任</w:t>
      </w:r>
    </w:p>
    <w:p w14:paraId="0945D4A2">
      <w:pPr>
        <w:widowControl w:val="0"/>
        <w:spacing w:line="500" w:lineRule="exact"/>
        <w:ind w:firstLine="480" w:firstLineChars="200"/>
        <w:jc w:val="both"/>
        <w:rPr>
          <w:rFonts w:ascii="宋体" w:hAnsi="宋体" w:eastAsia="宋体" w:cs="宋体"/>
          <w:b w:val="0"/>
          <w:bCs w:val="0"/>
          <w:color w:val="auto"/>
          <w:kern w:val="0"/>
          <w:sz w:val="24"/>
          <w:szCs w:val="24"/>
          <w:u w:val="none" w:color="auto"/>
          <w:shd w:val="clear" w:color="auto" w:fill="auto"/>
          <w:lang w:val="en-US" w:eastAsia="zh-CN" w:bidi="ar-SA"/>
        </w:rPr>
      </w:pPr>
      <w:r>
        <w:rPr>
          <w:rFonts w:hint="eastAsia" w:ascii="宋体" w:hAnsi="宋体" w:eastAsia="宋体" w:cs="宋体"/>
          <w:b w:val="0"/>
          <w:bCs w:val="0"/>
          <w:color w:val="auto"/>
          <w:kern w:val="0"/>
          <w:sz w:val="24"/>
          <w:szCs w:val="24"/>
          <w:u w:val="none" w:color="auto"/>
          <w:shd w:val="clear" w:color="auto" w:fill="auto"/>
          <w:lang w:val="en-US" w:eastAsia="zh-CN" w:bidi="ar-SA"/>
        </w:rPr>
        <w:t>(1)守约方有权终止全部或部分合同。</w:t>
      </w:r>
    </w:p>
    <w:p w14:paraId="08633B98">
      <w:pPr>
        <w:widowControl w:val="0"/>
        <w:spacing w:line="500" w:lineRule="exact"/>
        <w:ind w:firstLine="480" w:firstLineChars="200"/>
        <w:jc w:val="both"/>
        <w:rPr>
          <w:rFonts w:ascii="宋体" w:hAnsi="宋体" w:eastAsia="宋体" w:cs="宋体"/>
          <w:b w:val="0"/>
          <w:bCs w:val="0"/>
          <w:color w:val="auto"/>
          <w:kern w:val="0"/>
          <w:sz w:val="24"/>
          <w:szCs w:val="24"/>
          <w:u w:val="none" w:color="auto"/>
          <w:shd w:val="clear" w:color="auto" w:fill="auto"/>
          <w:lang w:val="en-US" w:eastAsia="zh-CN" w:bidi="ar-SA"/>
        </w:rPr>
      </w:pPr>
      <w:r>
        <w:rPr>
          <w:rFonts w:hint="eastAsia" w:ascii="宋体" w:hAnsi="宋体" w:eastAsia="宋体" w:cs="宋体"/>
          <w:b w:val="0"/>
          <w:bCs w:val="0"/>
          <w:color w:val="auto"/>
          <w:kern w:val="0"/>
          <w:sz w:val="24"/>
          <w:szCs w:val="24"/>
          <w:u w:val="none" w:color="auto"/>
          <w:shd w:val="clear" w:color="auto" w:fill="auto"/>
          <w:lang w:val="en-US" w:eastAsia="zh-CN" w:bidi="ar-SA"/>
        </w:rPr>
        <w:t>(2)没收全额履约保证金。</w:t>
      </w:r>
    </w:p>
    <w:p w14:paraId="76A95EF3">
      <w:pPr>
        <w:widowControl w:val="0"/>
        <w:spacing w:line="500" w:lineRule="exact"/>
        <w:ind w:firstLine="480" w:firstLineChars="200"/>
        <w:jc w:val="both"/>
        <w:rPr>
          <w:rFonts w:ascii="宋体" w:hAnsi="宋体" w:eastAsia="宋体" w:cs="宋体"/>
          <w:b w:val="0"/>
          <w:bCs w:val="0"/>
          <w:color w:val="auto"/>
          <w:kern w:val="0"/>
          <w:sz w:val="24"/>
          <w:szCs w:val="24"/>
          <w:u w:val="none" w:color="auto"/>
          <w:shd w:val="clear" w:color="auto" w:fill="auto"/>
          <w:lang w:val="en-US" w:eastAsia="zh-CN" w:bidi="ar-SA"/>
        </w:rPr>
      </w:pPr>
      <w:r>
        <w:rPr>
          <w:rFonts w:hint="eastAsia" w:ascii="宋体" w:hAnsi="宋体" w:eastAsia="宋体" w:cs="宋体"/>
          <w:b w:val="0"/>
          <w:bCs w:val="0"/>
          <w:color w:val="auto"/>
          <w:kern w:val="0"/>
          <w:sz w:val="24"/>
          <w:szCs w:val="24"/>
          <w:u w:val="none" w:color="auto"/>
          <w:shd w:val="clear" w:color="auto" w:fill="auto"/>
          <w:lang w:val="en-US" w:eastAsia="zh-CN" w:bidi="ar-SA"/>
        </w:rPr>
        <w:t>(3)由违约一方支付违约金，违约金标准见合同条款前附表。</w:t>
      </w:r>
    </w:p>
    <w:p w14:paraId="786A4D1B">
      <w:pPr>
        <w:widowControl w:val="0"/>
        <w:spacing w:line="500" w:lineRule="exact"/>
        <w:ind w:firstLine="480" w:firstLineChars="200"/>
        <w:jc w:val="both"/>
        <w:rPr>
          <w:rFonts w:ascii="宋体" w:hAnsi="宋体" w:eastAsia="宋体" w:cs="宋体"/>
          <w:b w:val="0"/>
          <w:bCs w:val="0"/>
          <w:color w:val="auto"/>
          <w:kern w:val="0"/>
          <w:sz w:val="24"/>
          <w:szCs w:val="24"/>
          <w:u w:val="none" w:color="auto"/>
          <w:shd w:val="clear" w:color="auto" w:fill="auto"/>
          <w:lang w:val="en-US" w:eastAsia="zh-CN" w:bidi="ar-SA"/>
        </w:rPr>
      </w:pPr>
      <w:r>
        <w:rPr>
          <w:rFonts w:hint="eastAsia" w:ascii="宋体" w:hAnsi="宋体" w:eastAsia="宋体" w:cs="宋体"/>
          <w:b w:val="0"/>
          <w:bCs w:val="0"/>
          <w:color w:val="auto"/>
          <w:kern w:val="0"/>
          <w:sz w:val="24"/>
          <w:szCs w:val="24"/>
          <w:u w:val="none" w:color="auto"/>
          <w:shd w:val="clear" w:color="auto" w:fill="auto"/>
          <w:lang w:val="en-US" w:eastAsia="zh-CN" w:bidi="ar-SA"/>
        </w:rPr>
        <w:t>(4)违约金不足以弥补守约方实际损失、可预见或者应当预见的损失，由违约方全额予以赔偿。</w:t>
      </w:r>
    </w:p>
    <w:p w14:paraId="57D9CADB">
      <w:pPr>
        <w:widowControl w:val="0"/>
        <w:spacing w:line="500" w:lineRule="exact"/>
        <w:ind w:firstLine="482" w:firstLineChars="200"/>
        <w:jc w:val="both"/>
        <w:rPr>
          <w:rFonts w:ascii="宋体" w:hAnsi="宋体" w:eastAsia="宋体" w:cs="宋体"/>
          <w:b/>
          <w:bCs/>
          <w:color w:val="auto"/>
          <w:kern w:val="0"/>
          <w:sz w:val="24"/>
          <w:szCs w:val="24"/>
          <w:u w:val="none" w:color="auto"/>
          <w:lang w:val="en-US" w:eastAsia="zh-CN" w:bidi="ar-SA"/>
        </w:rPr>
      </w:pPr>
      <w:r>
        <w:rPr>
          <w:rFonts w:hint="eastAsia" w:ascii="宋体" w:hAnsi="宋体" w:eastAsia="宋体" w:cs="宋体"/>
          <w:b/>
          <w:bCs/>
          <w:color w:val="auto"/>
          <w:kern w:val="0"/>
          <w:sz w:val="24"/>
          <w:szCs w:val="24"/>
          <w:u w:val="none" w:color="auto"/>
          <w:lang w:val="en-US" w:eastAsia="zh-CN" w:bidi="ar-SA"/>
        </w:rPr>
        <w:t>10.不可抗力</w:t>
      </w:r>
    </w:p>
    <w:p w14:paraId="30DF5D86">
      <w:pPr>
        <w:widowControl w:val="0"/>
        <w:spacing w:line="500" w:lineRule="exact"/>
        <w:ind w:firstLine="480" w:firstLineChars="200"/>
        <w:jc w:val="both"/>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10.1　如果合同双方因不可抗力而导致合同实施延误或合同无法实施，不应该承担误期赔偿或不能履行合同义务的责任。</w:t>
      </w:r>
    </w:p>
    <w:p w14:paraId="2FEEC472">
      <w:pPr>
        <w:widowControl w:val="0"/>
        <w:spacing w:line="500" w:lineRule="exact"/>
        <w:ind w:firstLine="480" w:firstLineChars="200"/>
        <w:jc w:val="both"/>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10.2　本条所述的“不可抗力”系指那些双方不可预见、不可避免、不可克服的客观情况，但不包括双方的违约或疏忽。这些事件包括但不限于：战争、严重火灾、洪水、台风、地震等。</w:t>
      </w:r>
    </w:p>
    <w:p w14:paraId="6C2CB00C">
      <w:pPr>
        <w:widowControl w:val="0"/>
        <w:spacing w:line="500" w:lineRule="exact"/>
        <w:ind w:firstLine="480" w:firstLineChars="200"/>
        <w:jc w:val="both"/>
        <w:rPr>
          <w:rFonts w:ascii="宋体" w:hAnsi="宋体" w:eastAsia="宋体" w:cs="宋体"/>
          <w:b w:val="0"/>
          <w:bCs w:val="0"/>
          <w:color w:val="auto"/>
          <w:kern w:val="0"/>
          <w:sz w:val="24"/>
          <w:szCs w:val="24"/>
          <w:u w:val="none" w:color="auto"/>
          <w:lang w:val="en-US" w:eastAsia="zh-CN" w:bidi="ar-SA"/>
        </w:rPr>
      </w:pPr>
      <w:r>
        <w:rPr>
          <w:rFonts w:hint="eastAsia" w:ascii="宋体" w:hAnsi="宋体" w:eastAsia="宋体" w:cs="宋体"/>
          <w:b w:val="0"/>
          <w:bCs w:val="0"/>
          <w:color w:val="auto"/>
          <w:kern w:val="0"/>
          <w:sz w:val="24"/>
          <w:szCs w:val="24"/>
          <w:u w:val="none" w:color="auto"/>
          <w:lang w:val="en-US" w:eastAsia="zh-CN" w:bidi="ar-SA"/>
        </w:rPr>
        <w:t>10.3　在不可抗力事件发生后，当事方应及时将不可抗力情况通知合同对方，在不可抗力事件结束后3日内以书面形式将不可抗力的情况和原因通知合同对方，并提供相应的证明文件。合同各方应尽可能继续履行合同义务，并积极寻求采取合理的措施履行不受不可抗力影响的其他事项。合同各方应通过友好协商在合理的时间内达成进一步履行的协议。</w:t>
      </w:r>
    </w:p>
    <w:p w14:paraId="11EC7462">
      <w:pPr>
        <w:widowControl w:val="0"/>
        <w:spacing w:line="500" w:lineRule="exact"/>
        <w:ind w:firstLine="482" w:firstLineChars="200"/>
        <w:jc w:val="both"/>
        <w:rPr>
          <w:rFonts w:ascii="宋体" w:hAnsi="宋体" w:eastAsia="宋体" w:cs="宋体"/>
          <w:b/>
          <w:bCs/>
          <w:color w:val="auto"/>
          <w:kern w:val="0"/>
          <w:sz w:val="24"/>
          <w:szCs w:val="24"/>
          <w:u w:val="none" w:color="auto"/>
          <w:lang w:val="en-US" w:eastAsia="zh-CN" w:bidi="ar-SA"/>
        </w:rPr>
      </w:pPr>
      <w:r>
        <w:rPr>
          <w:rFonts w:hint="eastAsia" w:ascii="宋体" w:hAnsi="宋体" w:eastAsia="宋体" w:cs="宋体"/>
          <w:b/>
          <w:bCs/>
          <w:color w:val="auto"/>
          <w:kern w:val="0"/>
          <w:sz w:val="24"/>
          <w:szCs w:val="24"/>
          <w:u w:val="none" w:color="auto"/>
          <w:lang w:val="en-US" w:eastAsia="zh-CN" w:bidi="ar-SA"/>
        </w:rPr>
        <w:t>11.合同纠纷的解决方式</w:t>
      </w:r>
    </w:p>
    <w:p w14:paraId="3775F30B">
      <w:pPr>
        <w:widowControl w:val="0"/>
        <w:spacing w:line="500" w:lineRule="exact"/>
        <w:ind w:firstLine="480" w:firstLineChars="200"/>
        <w:jc w:val="both"/>
        <w:rPr>
          <w:rFonts w:ascii="宋体" w:hAnsi="宋体" w:eastAsia="宋体" w:cs="宋体"/>
          <w:color w:val="auto"/>
          <w:kern w:val="0"/>
          <w:sz w:val="24"/>
          <w:szCs w:val="24"/>
          <w:u w:val="none" w:color="auto"/>
          <w:lang w:val="en-US" w:eastAsia="zh-CN" w:bidi="ar-SA"/>
        </w:rPr>
      </w:pPr>
      <w:r>
        <w:rPr>
          <w:rFonts w:hint="eastAsia" w:ascii="宋体" w:hAnsi="宋体" w:eastAsia="宋体" w:cs="宋体"/>
          <w:b w:val="0"/>
          <w:bCs w:val="0"/>
          <w:color w:val="auto"/>
          <w:kern w:val="0"/>
          <w:sz w:val="24"/>
          <w:szCs w:val="24"/>
          <w:u w:val="none" w:color="auto"/>
          <w:lang w:val="en-US" w:eastAsia="zh-CN" w:bidi="ar-SA"/>
        </w:rPr>
        <w:t>合同各方应通过友好协商，解决在执行合同过程中所发生的或与合同有关的一切争端。如协商30日内不能解决，可以向甲方所在地人民法院提起诉讼。</w:t>
      </w:r>
    </w:p>
    <w:p w14:paraId="7257C5A2">
      <w:pPr>
        <w:widowControl w:val="0"/>
        <w:spacing w:line="500" w:lineRule="exact"/>
        <w:ind w:firstLine="482" w:firstLineChars="200"/>
        <w:jc w:val="both"/>
        <w:rPr>
          <w:rFonts w:ascii="宋体" w:hAnsi="宋体" w:eastAsia="宋体" w:cs="宋体"/>
          <w:b/>
          <w:bCs/>
          <w:color w:val="auto"/>
          <w:kern w:val="0"/>
          <w:sz w:val="24"/>
          <w:szCs w:val="24"/>
          <w:u w:val="none" w:color="auto"/>
          <w:lang w:val="en-US" w:eastAsia="zh-CN" w:bidi="ar-SA"/>
        </w:rPr>
      </w:pPr>
      <w:r>
        <w:rPr>
          <w:rFonts w:hint="eastAsia" w:ascii="宋体" w:hAnsi="宋体" w:eastAsia="宋体" w:cs="宋体"/>
          <w:b/>
          <w:bCs/>
          <w:color w:val="auto"/>
          <w:kern w:val="0"/>
          <w:sz w:val="24"/>
          <w:szCs w:val="24"/>
          <w:u w:val="none" w:color="auto"/>
          <w:lang w:val="en-US" w:eastAsia="zh-CN" w:bidi="ar-SA"/>
        </w:rPr>
        <w:t>12.合同修改或变更</w:t>
      </w:r>
    </w:p>
    <w:p w14:paraId="1D07274A">
      <w:pPr>
        <w:widowControl w:val="0"/>
        <w:spacing w:line="500" w:lineRule="exact"/>
        <w:ind w:firstLine="480" w:firstLineChars="200"/>
        <w:jc w:val="both"/>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12.1　如无重大变故，甲方双方不得擅自变更合同。</w:t>
      </w:r>
    </w:p>
    <w:p w14:paraId="77A0C641">
      <w:pPr>
        <w:widowControl w:val="0"/>
        <w:spacing w:line="500" w:lineRule="exact"/>
        <w:ind w:firstLine="480" w:firstLineChars="200"/>
        <w:jc w:val="both"/>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12.2　如确需变更合同，甲乙双方应签署书面变更协议。变更协议为本合同不可分割的一部分。</w:t>
      </w:r>
    </w:p>
    <w:p w14:paraId="1D179586">
      <w:pPr>
        <w:widowControl w:val="0"/>
        <w:spacing w:line="500" w:lineRule="exact"/>
        <w:ind w:firstLine="480" w:firstLineChars="200"/>
        <w:jc w:val="both"/>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12.3　在不改变合同其他条款的前提下，甲方有权在合同价款10%的范围内追加与合同标的相同的货物或服务，并就此与乙方签订补充合同，乙方不得拒绝。</w:t>
      </w:r>
    </w:p>
    <w:p w14:paraId="5890FECB">
      <w:pPr>
        <w:widowControl w:val="0"/>
        <w:spacing w:line="500" w:lineRule="exact"/>
        <w:ind w:firstLine="482" w:firstLineChars="200"/>
        <w:jc w:val="both"/>
        <w:rPr>
          <w:rFonts w:ascii="宋体" w:hAnsi="宋体" w:eastAsia="宋体" w:cs="宋体"/>
          <w:b/>
          <w:bCs/>
          <w:color w:val="auto"/>
          <w:kern w:val="0"/>
          <w:sz w:val="24"/>
          <w:szCs w:val="24"/>
          <w:u w:val="none" w:color="auto"/>
          <w:lang w:val="en-US" w:eastAsia="zh-CN" w:bidi="ar-SA"/>
        </w:rPr>
      </w:pPr>
      <w:r>
        <w:rPr>
          <w:rFonts w:hint="eastAsia" w:ascii="宋体" w:hAnsi="宋体" w:eastAsia="宋体" w:cs="宋体"/>
          <w:b/>
          <w:bCs/>
          <w:color w:val="auto"/>
          <w:kern w:val="0"/>
          <w:sz w:val="24"/>
          <w:szCs w:val="24"/>
          <w:u w:val="none" w:color="auto"/>
          <w:lang w:val="en-US" w:eastAsia="zh-CN" w:bidi="ar-SA"/>
        </w:rPr>
        <w:t>13.合同中止</w:t>
      </w:r>
    </w:p>
    <w:p w14:paraId="0D9FFC77">
      <w:pPr>
        <w:widowControl w:val="0"/>
        <w:spacing w:line="500" w:lineRule="exact"/>
        <w:ind w:firstLine="480" w:firstLineChars="200"/>
        <w:jc w:val="both"/>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13.1  合同在履行过程中，因采购计划调整，甲方可以要求中止履行，待计划确定后继续履行；合同履行过程中因乙方就采购过程或结果提起投诉的，甲方认为有必要或财政部责令中止的，应当中止合同的履行。</w:t>
      </w:r>
    </w:p>
    <w:p w14:paraId="3CDA76FE">
      <w:pPr>
        <w:widowControl w:val="0"/>
        <w:spacing w:line="500" w:lineRule="exact"/>
        <w:ind w:firstLine="482" w:firstLineChars="200"/>
        <w:jc w:val="both"/>
        <w:rPr>
          <w:rFonts w:ascii="宋体" w:hAnsi="宋体" w:eastAsia="宋体" w:cs="宋体"/>
          <w:b/>
          <w:bCs/>
          <w:color w:val="auto"/>
          <w:kern w:val="0"/>
          <w:sz w:val="24"/>
          <w:szCs w:val="24"/>
          <w:u w:val="none" w:color="auto"/>
          <w:lang w:val="en-US" w:eastAsia="zh-CN" w:bidi="ar-SA"/>
        </w:rPr>
      </w:pPr>
      <w:r>
        <w:rPr>
          <w:rFonts w:hint="eastAsia" w:ascii="宋体" w:hAnsi="宋体" w:eastAsia="宋体" w:cs="宋体"/>
          <w:b/>
          <w:bCs/>
          <w:color w:val="auto"/>
          <w:kern w:val="0"/>
          <w:sz w:val="24"/>
          <w:szCs w:val="24"/>
          <w:u w:val="none" w:color="auto"/>
          <w:lang w:val="en-US" w:eastAsia="zh-CN" w:bidi="ar-SA"/>
        </w:rPr>
        <w:t>14.违约终止合同</w:t>
      </w:r>
    </w:p>
    <w:p w14:paraId="118EFC58">
      <w:pPr>
        <w:widowControl w:val="0"/>
        <w:spacing w:line="500" w:lineRule="exact"/>
        <w:ind w:firstLine="480" w:firstLineChars="200"/>
        <w:jc w:val="both"/>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14.1　若出现如下情况，在甲方对乙方违约行为而采取的任何补救措施不受影响的情况下，甲方可向乙方发出书面通知书，提出终止部分或全部合同。</w:t>
      </w:r>
    </w:p>
    <w:p w14:paraId="4241B396">
      <w:pPr>
        <w:widowControl w:val="0"/>
        <w:spacing w:line="500" w:lineRule="exact"/>
        <w:ind w:firstLine="480" w:firstLineChars="200"/>
        <w:jc w:val="both"/>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14.1.1　如果乙方未能在合同规定的期限或甲方同意延长的期限内提供服务；</w:t>
      </w:r>
    </w:p>
    <w:p w14:paraId="76673908">
      <w:pPr>
        <w:widowControl w:val="0"/>
        <w:spacing w:line="500" w:lineRule="exact"/>
        <w:ind w:firstLine="480" w:firstLineChars="200"/>
        <w:jc w:val="both"/>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14.1.2　因乙方技术人员自身技术能力、经验不足等原因造成甲方硬件设备、应用系统发生重大紧急故障或应用系统数据丢失，带来重大影响和损失的；</w:t>
      </w:r>
    </w:p>
    <w:p w14:paraId="68D3BAA6">
      <w:pPr>
        <w:widowControl w:val="0"/>
        <w:spacing w:line="500" w:lineRule="exact"/>
        <w:ind w:firstLine="480" w:firstLineChars="200"/>
        <w:jc w:val="both"/>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14.1.3　乙方对甲方硬件设备、应用系统重大紧急故障没有及时响应，或不能在规定时间内解决处理故障，恢复系统正常运行的；</w:t>
      </w:r>
    </w:p>
    <w:p w14:paraId="11F6FB2B">
      <w:pPr>
        <w:widowControl w:val="0"/>
        <w:spacing w:line="500" w:lineRule="exact"/>
        <w:ind w:firstLine="480" w:firstLineChars="200"/>
        <w:jc w:val="both"/>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14.1.4　不能满足本项目技术需求的管理要求和规范，且经多次整改无明显改进的；</w:t>
      </w:r>
    </w:p>
    <w:p w14:paraId="6B3113D1">
      <w:pPr>
        <w:widowControl w:val="0"/>
        <w:spacing w:line="500" w:lineRule="exact"/>
        <w:ind w:firstLine="480" w:firstLineChars="200"/>
        <w:jc w:val="both"/>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14.1.5　在合同规定的每个服务年度(12个自然月)内，在运行维护支持服务过程中，出现2次经甲乙双方确认的违规操作的。</w:t>
      </w:r>
    </w:p>
    <w:p w14:paraId="5F774E98">
      <w:pPr>
        <w:widowControl w:val="0"/>
        <w:spacing w:line="500" w:lineRule="exact"/>
        <w:ind w:firstLine="480" w:firstLineChars="200"/>
        <w:jc w:val="both"/>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14.2　如果甲方根据上述第14.1条的规定，终止了全部或部分合同，甲方可以适当的条件和方法购买乙方未能提供的服务，乙方应对甲方购买类似服务所超出的费用负责。同时，乙方应继续执行合同中未终止的部分。</w:t>
      </w:r>
    </w:p>
    <w:p w14:paraId="39689809">
      <w:pPr>
        <w:widowControl w:val="0"/>
        <w:spacing w:line="500" w:lineRule="exact"/>
        <w:ind w:firstLine="482" w:firstLineChars="200"/>
        <w:jc w:val="both"/>
        <w:rPr>
          <w:rFonts w:ascii="宋体" w:hAnsi="宋体" w:eastAsia="宋体" w:cs="宋体"/>
          <w:b/>
          <w:bCs/>
          <w:color w:val="auto"/>
          <w:kern w:val="0"/>
          <w:sz w:val="24"/>
          <w:szCs w:val="24"/>
          <w:u w:val="none" w:color="auto"/>
          <w:lang w:val="en-US" w:eastAsia="zh-CN" w:bidi="ar-SA"/>
        </w:rPr>
      </w:pPr>
      <w:r>
        <w:rPr>
          <w:rFonts w:hint="eastAsia" w:ascii="宋体" w:hAnsi="宋体" w:eastAsia="宋体" w:cs="宋体"/>
          <w:b/>
          <w:bCs/>
          <w:color w:val="auto"/>
          <w:kern w:val="0"/>
          <w:sz w:val="24"/>
          <w:szCs w:val="24"/>
          <w:u w:val="none" w:color="auto"/>
          <w:lang w:val="en-US" w:eastAsia="zh-CN" w:bidi="ar-SA"/>
        </w:rPr>
        <w:t>15.破产终止合同</w:t>
      </w:r>
    </w:p>
    <w:p w14:paraId="144E4CCC">
      <w:pPr>
        <w:widowControl w:val="0"/>
        <w:spacing w:line="500" w:lineRule="exact"/>
        <w:ind w:firstLine="480" w:firstLineChars="200"/>
        <w:jc w:val="both"/>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15.1　如果乙方破产或无清偿能力，甲方可在任何时候以书面形式通知乙方终止合同而不给乙方补偿。</w:t>
      </w:r>
    </w:p>
    <w:p w14:paraId="22C76660">
      <w:pPr>
        <w:widowControl w:val="0"/>
        <w:spacing w:line="500" w:lineRule="exact"/>
        <w:ind w:firstLine="480" w:firstLineChars="200"/>
        <w:jc w:val="both"/>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15.2　该终止协议将不损害或影响甲方已经采取或将要采取的任何行动或补救措施的权利。</w:t>
      </w:r>
    </w:p>
    <w:p w14:paraId="00AA4167">
      <w:pPr>
        <w:widowControl w:val="0"/>
        <w:spacing w:line="500" w:lineRule="exact"/>
        <w:ind w:firstLine="482" w:firstLineChars="200"/>
        <w:jc w:val="both"/>
        <w:rPr>
          <w:rFonts w:ascii="宋体" w:hAnsi="宋体" w:eastAsia="宋体" w:cs="宋体"/>
          <w:b/>
          <w:bCs/>
          <w:color w:val="auto"/>
          <w:kern w:val="0"/>
          <w:sz w:val="24"/>
          <w:szCs w:val="24"/>
          <w:u w:val="none" w:color="auto"/>
          <w:lang w:val="en-US" w:eastAsia="zh-CN" w:bidi="ar-SA"/>
        </w:rPr>
      </w:pPr>
      <w:r>
        <w:rPr>
          <w:rFonts w:hint="eastAsia" w:ascii="宋体" w:hAnsi="宋体" w:eastAsia="宋体" w:cs="宋体"/>
          <w:b/>
          <w:bCs/>
          <w:color w:val="auto"/>
          <w:kern w:val="0"/>
          <w:sz w:val="24"/>
          <w:szCs w:val="24"/>
          <w:u w:val="none" w:color="auto"/>
          <w:lang w:val="en-US" w:eastAsia="zh-CN" w:bidi="ar-SA"/>
        </w:rPr>
        <w:t>16.其他情况的终止合同</w:t>
      </w:r>
    </w:p>
    <w:p w14:paraId="7E46E3CA">
      <w:pPr>
        <w:widowControl w:val="0"/>
        <w:spacing w:line="500" w:lineRule="exact"/>
        <w:ind w:firstLine="480" w:firstLineChars="200"/>
        <w:jc w:val="both"/>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16.1　若合同继续履行将给甲方造成重大损失的，甲方可以终止合同而不给予乙方任何补偿。</w:t>
      </w:r>
    </w:p>
    <w:p w14:paraId="14BA5085">
      <w:pPr>
        <w:widowControl w:val="0"/>
        <w:spacing w:line="500" w:lineRule="exact"/>
        <w:ind w:firstLine="480" w:firstLineChars="200"/>
        <w:jc w:val="both"/>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16.2　乙方在执行合同的过程中发生重大事故，对履行合同有直接影响的，甲方可以终止合同而不给予乙方任何补偿。</w:t>
      </w:r>
    </w:p>
    <w:p w14:paraId="6A63E137">
      <w:pPr>
        <w:widowControl w:val="0"/>
        <w:spacing w:line="500" w:lineRule="exact"/>
        <w:ind w:firstLine="480" w:firstLineChars="200"/>
        <w:jc w:val="both"/>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16.3　甲方因重大变故取消或部分取消原来的采购任务，导致合同全部或部分内容无须继续履行的，可以终止合同而不给予乙方任何补偿。</w:t>
      </w:r>
    </w:p>
    <w:p w14:paraId="366F7054">
      <w:pPr>
        <w:widowControl w:val="0"/>
        <w:spacing w:line="500" w:lineRule="exact"/>
        <w:ind w:firstLine="482" w:firstLineChars="200"/>
        <w:jc w:val="both"/>
        <w:rPr>
          <w:rFonts w:ascii="宋体" w:hAnsi="宋体" w:eastAsia="宋体" w:cs="宋体"/>
          <w:b/>
          <w:bCs/>
          <w:color w:val="auto"/>
          <w:kern w:val="0"/>
          <w:sz w:val="24"/>
          <w:szCs w:val="24"/>
          <w:u w:val="none" w:color="auto"/>
          <w:lang w:val="en-US" w:eastAsia="zh-CN" w:bidi="ar-SA"/>
        </w:rPr>
      </w:pPr>
      <w:r>
        <w:rPr>
          <w:rFonts w:hint="eastAsia" w:ascii="宋体" w:hAnsi="宋体" w:eastAsia="宋体" w:cs="宋体"/>
          <w:b/>
          <w:bCs/>
          <w:color w:val="auto"/>
          <w:kern w:val="0"/>
          <w:sz w:val="24"/>
          <w:szCs w:val="24"/>
          <w:u w:val="none" w:color="auto"/>
          <w:lang w:val="en-US" w:eastAsia="zh-CN" w:bidi="ar-SA"/>
        </w:rPr>
        <w:t>17.合同转让和分包</w:t>
      </w:r>
    </w:p>
    <w:p w14:paraId="468B187F">
      <w:pPr>
        <w:widowControl w:val="0"/>
        <w:spacing w:line="500" w:lineRule="exact"/>
        <w:ind w:firstLine="480" w:firstLineChars="200"/>
        <w:jc w:val="both"/>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17.1　乙方不得以任何形式将合同转包，或部分或全部转让其应履行的合同义务。</w:t>
      </w:r>
    </w:p>
    <w:p w14:paraId="5A58315B">
      <w:pPr>
        <w:widowControl w:val="0"/>
        <w:spacing w:line="500" w:lineRule="exact"/>
        <w:ind w:firstLine="480" w:firstLineChars="200"/>
        <w:jc w:val="both"/>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17.2　除经甲方事先书面同意外，乙方不得以任何形式将合同分包。</w:t>
      </w:r>
    </w:p>
    <w:p w14:paraId="5E15B76F">
      <w:pPr>
        <w:widowControl w:val="0"/>
        <w:spacing w:line="500" w:lineRule="exact"/>
        <w:ind w:firstLine="482" w:firstLineChars="200"/>
        <w:jc w:val="both"/>
        <w:rPr>
          <w:rFonts w:ascii="宋体" w:hAnsi="宋体" w:eastAsia="宋体" w:cs="宋体"/>
          <w:b/>
          <w:bCs/>
          <w:color w:val="auto"/>
          <w:kern w:val="0"/>
          <w:sz w:val="24"/>
          <w:szCs w:val="24"/>
          <w:u w:val="none" w:color="auto"/>
          <w:lang w:val="en-US" w:eastAsia="zh-CN" w:bidi="ar-SA"/>
        </w:rPr>
      </w:pPr>
      <w:r>
        <w:rPr>
          <w:rFonts w:hint="eastAsia" w:ascii="宋体" w:hAnsi="宋体" w:eastAsia="宋体" w:cs="宋体"/>
          <w:b/>
          <w:bCs/>
          <w:color w:val="auto"/>
          <w:kern w:val="0"/>
          <w:sz w:val="24"/>
          <w:szCs w:val="24"/>
          <w:u w:val="none" w:color="auto"/>
          <w:lang w:val="en-US" w:eastAsia="zh-CN" w:bidi="ar-SA"/>
        </w:rPr>
        <w:t>18.适用法律</w:t>
      </w:r>
    </w:p>
    <w:p w14:paraId="3AFD2EA0">
      <w:pPr>
        <w:widowControl w:val="0"/>
        <w:spacing w:line="500" w:lineRule="exact"/>
        <w:ind w:firstLine="480" w:firstLineChars="200"/>
        <w:jc w:val="both"/>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18.1　本合同适用中华人民共和国现行法律、行政法规和规章，如合同条款与法律、行政法规和规章不一致的，按照法律、行政法规和规章修改本合同。</w:t>
      </w:r>
    </w:p>
    <w:p w14:paraId="38B204B3">
      <w:pPr>
        <w:widowControl w:val="0"/>
        <w:spacing w:line="500" w:lineRule="exact"/>
        <w:ind w:firstLine="482" w:firstLineChars="200"/>
        <w:jc w:val="both"/>
        <w:rPr>
          <w:rFonts w:ascii="宋体" w:hAnsi="宋体" w:eastAsia="宋体" w:cs="宋体"/>
          <w:b/>
          <w:bCs/>
          <w:color w:val="auto"/>
          <w:kern w:val="0"/>
          <w:sz w:val="24"/>
          <w:szCs w:val="24"/>
          <w:u w:val="none" w:color="auto"/>
          <w:lang w:val="en-US" w:eastAsia="zh-CN" w:bidi="ar-SA"/>
        </w:rPr>
      </w:pPr>
      <w:r>
        <w:rPr>
          <w:rFonts w:hint="eastAsia" w:ascii="宋体" w:hAnsi="宋体" w:eastAsia="宋体" w:cs="宋体"/>
          <w:b/>
          <w:bCs/>
          <w:color w:val="auto"/>
          <w:kern w:val="0"/>
          <w:sz w:val="24"/>
          <w:szCs w:val="24"/>
          <w:u w:val="none" w:color="auto"/>
          <w:lang w:val="en-US" w:eastAsia="zh-CN" w:bidi="ar-SA"/>
        </w:rPr>
        <w:t>19.合同语言</w:t>
      </w:r>
    </w:p>
    <w:p w14:paraId="502EB6C3">
      <w:pPr>
        <w:widowControl w:val="0"/>
        <w:spacing w:line="500" w:lineRule="exact"/>
        <w:ind w:firstLine="480" w:firstLineChars="200"/>
        <w:jc w:val="both"/>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19.1　本合同语言为中文。</w:t>
      </w:r>
    </w:p>
    <w:p w14:paraId="55982F86">
      <w:pPr>
        <w:widowControl w:val="0"/>
        <w:spacing w:line="500" w:lineRule="exact"/>
        <w:ind w:firstLine="480" w:firstLineChars="200"/>
        <w:jc w:val="both"/>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19.2　双方交换的与合同有关的信件和其他文件应用合同语言书写。</w:t>
      </w:r>
    </w:p>
    <w:p w14:paraId="6B2E2E1E">
      <w:pPr>
        <w:widowControl w:val="0"/>
        <w:spacing w:line="500" w:lineRule="exact"/>
        <w:ind w:firstLine="482" w:firstLineChars="200"/>
        <w:jc w:val="both"/>
        <w:rPr>
          <w:rFonts w:ascii="宋体" w:hAnsi="宋体" w:eastAsia="宋体" w:cs="宋体"/>
          <w:b/>
          <w:bCs/>
          <w:color w:val="auto"/>
          <w:kern w:val="0"/>
          <w:sz w:val="24"/>
          <w:szCs w:val="24"/>
          <w:u w:val="none" w:color="auto"/>
          <w:lang w:val="en-US" w:eastAsia="zh-CN" w:bidi="ar-SA"/>
        </w:rPr>
      </w:pPr>
      <w:r>
        <w:rPr>
          <w:rFonts w:hint="eastAsia" w:ascii="宋体" w:hAnsi="宋体" w:eastAsia="宋体" w:cs="宋体"/>
          <w:b/>
          <w:bCs/>
          <w:color w:val="auto"/>
          <w:kern w:val="0"/>
          <w:sz w:val="24"/>
          <w:szCs w:val="24"/>
          <w:u w:val="none" w:color="auto"/>
          <w:lang w:val="en-US" w:eastAsia="zh-CN" w:bidi="ar-SA"/>
        </w:rPr>
        <w:t>20.合同生效</w:t>
      </w:r>
    </w:p>
    <w:p w14:paraId="52C70631">
      <w:pPr>
        <w:widowControl w:val="0"/>
        <w:spacing w:line="500" w:lineRule="exact"/>
        <w:ind w:firstLine="480" w:firstLineChars="200"/>
        <w:jc w:val="both"/>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20.1　本合同应在双方法定代表人或授权代表签字盖章后生效。</w:t>
      </w:r>
    </w:p>
    <w:p w14:paraId="26784FB8">
      <w:pPr>
        <w:widowControl w:val="0"/>
        <w:spacing w:line="500" w:lineRule="exact"/>
        <w:ind w:firstLine="482" w:firstLineChars="200"/>
        <w:jc w:val="both"/>
        <w:rPr>
          <w:rFonts w:ascii="宋体" w:hAnsi="宋体" w:eastAsia="宋体" w:cs="宋体"/>
          <w:b/>
          <w:bCs/>
          <w:color w:val="auto"/>
          <w:kern w:val="0"/>
          <w:sz w:val="24"/>
          <w:szCs w:val="24"/>
          <w:u w:val="none" w:color="auto"/>
          <w:lang w:val="en-US" w:eastAsia="zh-CN" w:bidi="ar-SA"/>
        </w:rPr>
      </w:pPr>
      <w:r>
        <w:rPr>
          <w:rFonts w:hint="eastAsia" w:ascii="宋体" w:hAnsi="宋体" w:eastAsia="宋体" w:cs="宋体"/>
          <w:b/>
          <w:bCs/>
          <w:color w:val="auto"/>
          <w:kern w:val="0"/>
          <w:sz w:val="24"/>
          <w:szCs w:val="24"/>
          <w:u w:val="none" w:color="auto"/>
          <w:lang w:val="en-US" w:eastAsia="zh-CN" w:bidi="ar-SA"/>
        </w:rPr>
        <w:t>21.合同效力</w:t>
      </w:r>
    </w:p>
    <w:p w14:paraId="6F3413DF">
      <w:pPr>
        <w:widowControl w:val="0"/>
        <w:spacing w:line="500" w:lineRule="exact"/>
        <w:ind w:firstLine="480" w:firstLineChars="200"/>
        <w:jc w:val="both"/>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21.1　除本合同和甲乙双方书面签署的补充协议外，其他任何形式的双方约定和往来函件均不具有合同效力，对本项目无约束。</w:t>
      </w:r>
    </w:p>
    <w:p w14:paraId="270F5191">
      <w:pPr>
        <w:widowControl w:val="0"/>
        <w:spacing w:line="500" w:lineRule="exact"/>
        <w:ind w:firstLine="482" w:firstLineChars="200"/>
        <w:jc w:val="both"/>
        <w:rPr>
          <w:rFonts w:ascii="宋体" w:hAnsi="宋体" w:eastAsia="宋体" w:cs="宋体"/>
          <w:b/>
          <w:bCs/>
          <w:color w:val="auto"/>
          <w:kern w:val="0"/>
          <w:sz w:val="24"/>
          <w:szCs w:val="24"/>
          <w:u w:val="none" w:color="auto"/>
          <w:lang w:val="en-US" w:eastAsia="zh-CN" w:bidi="ar-SA"/>
        </w:rPr>
      </w:pPr>
      <w:r>
        <w:rPr>
          <w:rFonts w:hint="eastAsia" w:ascii="宋体" w:hAnsi="宋体" w:eastAsia="宋体" w:cs="宋体"/>
          <w:b/>
          <w:bCs/>
          <w:color w:val="auto"/>
          <w:kern w:val="0"/>
          <w:sz w:val="24"/>
          <w:szCs w:val="24"/>
          <w:u w:val="none" w:color="auto"/>
          <w:lang w:val="en-US" w:eastAsia="zh-CN" w:bidi="ar-SA"/>
        </w:rPr>
        <w:t>22.检查和审计</w:t>
      </w:r>
    </w:p>
    <w:p w14:paraId="6ED8D6D7">
      <w:pPr>
        <w:widowControl w:val="0"/>
        <w:spacing w:line="500" w:lineRule="exact"/>
        <w:ind w:firstLine="480" w:firstLineChars="200"/>
        <w:jc w:val="both"/>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22.1在本合同的履行过程中，甲方有权对乙方的合同履约情况进行阶段性检查，并对乙方投标时提供的相关资料进行复核。</w:t>
      </w:r>
    </w:p>
    <w:p w14:paraId="48796DF0">
      <w:pPr>
        <w:widowControl w:val="0"/>
        <w:spacing w:line="500" w:lineRule="exact"/>
        <w:ind w:firstLine="480" w:firstLineChars="200"/>
        <w:jc w:val="both"/>
        <w:rPr>
          <w:rFonts w:ascii="宋体" w:hAnsi="宋体" w:eastAsia="宋体" w:cs="宋体"/>
          <w:color w:val="auto"/>
          <w:kern w:val="0"/>
          <w:sz w:val="24"/>
          <w:szCs w:val="24"/>
          <w:u w:val="none" w:color="auto"/>
          <w:lang w:val="en-US" w:eastAsia="zh-CN" w:bidi="ar-SA"/>
        </w:rPr>
      </w:pPr>
      <w:r>
        <w:rPr>
          <w:rFonts w:hint="eastAsia" w:ascii="宋体" w:hAnsi="宋体" w:eastAsia="宋体" w:cs="宋体"/>
          <w:color w:val="auto"/>
          <w:kern w:val="0"/>
          <w:sz w:val="24"/>
          <w:szCs w:val="24"/>
          <w:u w:val="none" w:color="auto"/>
          <w:lang w:val="en-US" w:eastAsia="zh-CN" w:bidi="ar-SA"/>
        </w:rPr>
        <w:t>22.2　在本合同的履行过程中，如果甲乙双方发生争议或者乙方没有按照合同约定履行义务，乙方应允许甲方检查乙方与实施本合同有关的账户和记录，并由甲方指定的审计人员对其进行审计。</w:t>
      </w:r>
    </w:p>
    <w:p w14:paraId="1A53B048">
      <w:pPr>
        <w:pStyle w:val="2"/>
        <w:rPr>
          <w:rFonts w:hint="eastAsia" w:ascii="宋体" w:hAnsi="宋体" w:eastAsia="宋体" w:cs="宋体"/>
          <w:color w:val="auto"/>
          <w:sz w:val="24"/>
          <w:szCs w:val="24"/>
          <w:highlight w:val="none"/>
        </w:rPr>
      </w:pPr>
    </w:p>
    <w:p w14:paraId="461D09D7">
      <w:pPr>
        <w:pStyle w:val="2"/>
        <w:rPr>
          <w:rFonts w:hint="eastAsia" w:ascii="宋体" w:hAnsi="宋体" w:eastAsia="宋体" w:cs="宋体"/>
          <w:color w:val="auto"/>
          <w:sz w:val="24"/>
          <w:szCs w:val="24"/>
          <w:highlight w:val="none"/>
        </w:rPr>
      </w:pPr>
    </w:p>
    <w:p w14:paraId="031C6EB3">
      <w:pPr>
        <w:pStyle w:val="2"/>
        <w:rPr>
          <w:rFonts w:hint="eastAsia" w:ascii="宋体" w:hAnsi="宋体" w:eastAsia="宋体" w:cs="宋体"/>
          <w:color w:val="auto"/>
          <w:sz w:val="24"/>
          <w:szCs w:val="24"/>
          <w:highlight w:val="none"/>
        </w:rPr>
      </w:pPr>
    </w:p>
    <w:p w14:paraId="530ECC15">
      <w:pPr>
        <w:pStyle w:val="2"/>
        <w:rPr>
          <w:rFonts w:hint="eastAsia" w:ascii="宋体" w:hAnsi="宋体" w:eastAsia="宋体" w:cs="宋体"/>
          <w:color w:val="auto"/>
          <w:sz w:val="24"/>
          <w:szCs w:val="24"/>
          <w:highlight w:val="none"/>
        </w:rPr>
      </w:pPr>
    </w:p>
    <w:p w14:paraId="48CB1A89">
      <w:pPr>
        <w:pStyle w:val="2"/>
        <w:rPr>
          <w:rFonts w:hint="eastAsia" w:ascii="宋体" w:hAnsi="宋体" w:eastAsia="宋体" w:cs="宋体"/>
          <w:color w:val="auto"/>
          <w:sz w:val="24"/>
          <w:szCs w:val="24"/>
          <w:highlight w:val="none"/>
        </w:rPr>
      </w:pPr>
    </w:p>
    <w:p w14:paraId="20F8AAF1">
      <w:pPr>
        <w:pStyle w:val="2"/>
        <w:rPr>
          <w:rFonts w:hint="eastAsia" w:ascii="宋体" w:hAnsi="宋体" w:eastAsia="宋体" w:cs="宋体"/>
          <w:color w:val="auto"/>
          <w:sz w:val="24"/>
          <w:szCs w:val="24"/>
          <w:highlight w:val="none"/>
        </w:rPr>
      </w:pPr>
    </w:p>
    <w:p w14:paraId="70F7EAE6">
      <w:pPr>
        <w:pStyle w:val="2"/>
        <w:rPr>
          <w:rFonts w:hint="eastAsia" w:ascii="宋体" w:hAnsi="宋体" w:eastAsia="宋体" w:cs="宋体"/>
          <w:color w:val="auto"/>
          <w:sz w:val="24"/>
          <w:szCs w:val="24"/>
          <w:highlight w:val="none"/>
        </w:rPr>
      </w:pPr>
    </w:p>
    <w:p w14:paraId="7684765A">
      <w:pPr>
        <w:pStyle w:val="2"/>
        <w:rPr>
          <w:rFonts w:hint="eastAsia" w:ascii="宋体" w:hAnsi="宋体" w:eastAsia="宋体" w:cs="宋体"/>
          <w:color w:val="auto"/>
          <w:sz w:val="24"/>
          <w:szCs w:val="24"/>
          <w:highlight w:val="none"/>
        </w:rPr>
      </w:pPr>
    </w:p>
    <w:p w14:paraId="1EA36E3B">
      <w:pPr>
        <w:pStyle w:val="2"/>
        <w:rPr>
          <w:rFonts w:hint="eastAsia" w:ascii="宋体" w:hAnsi="宋体" w:eastAsia="宋体" w:cs="宋体"/>
          <w:color w:val="auto"/>
          <w:sz w:val="24"/>
          <w:szCs w:val="24"/>
          <w:highlight w:val="none"/>
        </w:rPr>
      </w:pPr>
    </w:p>
    <w:p w14:paraId="069F5E9E">
      <w:pPr>
        <w:pStyle w:val="2"/>
        <w:rPr>
          <w:rFonts w:hint="eastAsia" w:ascii="宋体" w:hAnsi="宋体" w:eastAsia="宋体" w:cs="宋体"/>
          <w:color w:val="auto"/>
          <w:sz w:val="24"/>
          <w:szCs w:val="24"/>
          <w:highlight w:val="none"/>
        </w:rPr>
      </w:pPr>
    </w:p>
    <w:p w14:paraId="73702DAA">
      <w:pPr>
        <w:pStyle w:val="2"/>
        <w:rPr>
          <w:rFonts w:hint="eastAsia" w:ascii="宋体" w:hAnsi="宋体" w:eastAsia="宋体" w:cs="宋体"/>
          <w:color w:val="auto"/>
          <w:sz w:val="24"/>
          <w:szCs w:val="24"/>
          <w:highlight w:val="none"/>
        </w:rPr>
      </w:pPr>
    </w:p>
    <w:p w14:paraId="3355FB79">
      <w:pPr>
        <w:pStyle w:val="2"/>
        <w:rPr>
          <w:rFonts w:hint="eastAsia" w:ascii="宋体" w:hAnsi="宋体" w:eastAsia="宋体" w:cs="宋体"/>
          <w:color w:val="auto"/>
          <w:sz w:val="24"/>
          <w:szCs w:val="24"/>
          <w:highlight w:val="none"/>
        </w:rPr>
      </w:pPr>
    </w:p>
    <w:p w14:paraId="1BB2681A">
      <w:pPr>
        <w:pStyle w:val="2"/>
        <w:rPr>
          <w:rFonts w:hint="eastAsia" w:ascii="宋体" w:hAnsi="宋体" w:eastAsia="宋体" w:cs="宋体"/>
          <w:color w:val="auto"/>
          <w:sz w:val="24"/>
          <w:szCs w:val="24"/>
          <w:highlight w:val="none"/>
        </w:rPr>
      </w:pPr>
    </w:p>
    <w:p w14:paraId="47BA0F9F">
      <w:pPr>
        <w:pStyle w:val="2"/>
        <w:rPr>
          <w:rFonts w:hint="eastAsia" w:ascii="宋体" w:hAnsi="宋体" w:eastAsia="宋体" w:cs="宋体"/>
          <w:color w:val="auto"/>
          <w:sz w:val="24"/>
          <w:szCs w:val="24"/>
          <w:highlight w:val="none"/>
        </w:rPr>
      </w:pPr>
    </w:p>
    <w:p w14:paraId="015D20BB">
      <w:pPr>
        <w:pStyle w:val="2"/>
        <w:rPr>
          <w:rFonts w:hint="eastAsia" w:ascii="宋体" w:hAnsi="宋体" w:eastAsia="宋体" w:cs="宋体"/>
          <w:color w:val="auto"/>
          <w:sz w:val="24"/>
          <w:szCs w:val="24"/>
          <w:highlight w:val="none"/>
        </w:rPr>
      </w:pPr>
    </w:p>
    <w:p w14:paraId="0E4B1E1E">
      <w:pPr>
        <w:pStyle w:val="2"/>
        <w:rPr>
          <w:rFonts w:hint="eastAsia" w:ascii="宋体" w:hAnsi="宋体" w:eastAsia="宋体" w:cs="宋体"/>
          <w:color w:val="auto"/>
          <w:sz w:val="24"/>
          <w:szCs w:val="24"/>
          <w:highlight w:val="none"/>
        </w:rPr>
      </w:pPr>
    </w:p>
    <w:p w14:paraId="2047F478">
      <w:pPr>
        <w:pStyle w:val="2"/>
        <w:rPr>
          <w:rFonts w:hint="eastAsia" w:ascii="宋体" w:hAnsi="宋体" w:eastAsia="宋体" w:cs="宋体"/>
          <w:color w:val="auto"/>
          <w:sz w:val="24"/>
          <w:szCs w:val="24"/>
          <w:highlight w:val="none"/>
        </w:rPr>
      </w:pPr>
    </w:p>
    <w:p w14:paraId="2444B9BA">
      <w:pPr>
        <w:pStyle w:val="2"/>
        <w:rPr>
          <w:rFonts w:hint="eastAsia" w:ascii="宋体" w:hAnsi="宋体" w:eastAsia="宋体" w:cs="宋体"/>
          <w:color w:val="auto"/>
          <w:sz w:val="24"/>
          <w:szCs w:val="24"/>
          <w:highlight w:val="none"/>
        </w:rPr>
      </w:pPr>
    </w:p>
    <w:p w14:paraId="5FE8E782">
      <w:pPr>
        <w:pStyle w:val="2"/>
        <w:rPr>
          <w:rFonts w:hint="eastAsia" w:ascii="宋体" w:hAnsi="宋体" w:eastAsia="宋体" w:cs="宋体"/>
          <w:color w:val="auto"/>
          <w:sz w:val="24"/>
          <w:szCs w:val="24"/>
          <w:highlight w:val="none"/>
        </w:rPr>
      </w:pPr>
    </w:p>
    <w:p w14:paraId="673EE705">
      <w:pPr>
        <w:pStyle w:val="2"/>
        <w:rPr>
          <w:rFonts w:hint="eastAsia" w:ascii="宋体" w:hAnsi="宋体" w:eastAsia="宋体" w:cs="宋体"/>
          <w:color w:val="auto"/>
          <w:sz w:val="24"/>
          <w:szCs w:val="24"/>
          <w:highlight w:val="none"/>
        </w:rPr>
      </w:pPr>
    </w:p>
    <w:p w14:paraId="167A4891">
      <w:pPr>
        <w:pStyle w:val="2"/>
        <w:rPr>
          <w:rFonts w:hint="eastAsia" w:ascii="宋体" w:hAnsi="宋体" w:eastAsia="宋体" w:cs="宋体"/>
          <w:color w:val="auto"/>
          <w:sz w:val="24"/>
          <w:szCs w:val="24"/>
          <w:highlight w:val="none"/>
        </w:rPr>
      </w:pPr>
    </w:p>
    <w:p w14:paraId="1FFE6B34">
      <w:pPr>
        <w:pStyle w:val="2"/>
        <w:rPr>
          <w:rFonts w:hint="eastAsia" w:ascii="宋体" w:hAnsi="宋体" w:eastAsia="宋体" w:cs="宋体"/>
          <w:color w:val="auto"/>
          <w:sz w:val="24"/>
          <w:szCs w:val="24"/>
          <w:highlight w:val="none"/>
        </w:rPr>
      </w:pPr>
    </w:p>
    <w:p w14:paraId="37D0BE79">
      <w:pPr>
        <w:pStyle w:val="2"/>
        <w:rPr>
          <w:rFonts w:hint="eastAsia" w:ascii="宋体" w:hAnsi="宋体" w:eastAsia="宋体" w:cs="宋体"/>
          <w:color w:val="auto"/>
          <w:sz w:val="24"/>
          <w:szCs w:val="24"/>
          <w:highlight w:val="none"/>
        </w:rPr>
      </w:pPr>
    </w:p>
    <w:p w14:paraId="03666E03">
      <w:pPr>
        <w:pStyle w:val="2"/>
        <w:rPr>
          <w:rFonts w:hint="eastAsia" w:ascii="宋体" w:hAnsi="宋体" w:eastAsia="宋体" w:cs="宋体"/>
          <w:color w:val="auto"/>
          <w:sz w:val="24"/>
          <w:szCs w:val="24"/>
          <w:highlight w:val="none"/>
        </w:rPr>
      </w:pPr>
    </w:p>
    <w:p w14:paraId="10EA82B3">
      <w:pPr>
        <w:pStyle w:val="2"/>
        <w:rPr>
          <w:rFonts w:hint="eastAsia" w:ascii="宋体" w:hAnsi="宋体" w:eastAsia="宋体" w:cs="宋体"/>
          <w:color w:val="auto"/>
          <w:sz w:val="24"/>
          <w:szCs w:val="24"/>
          <w:highlight w:val="none"/>
        </w:rPr>
      </w:pPr>
    </w:p>
    <w:p w14:paraId="56E13090">
      <w:pPr>
        <w:pStyle w:val="2"/>
        <w:rPr>
          <w:rFonts w:hint="eastAsia" w:ascii="宋体" w:hAnsi="宋体" w:eastAsia="宋体" w:cs="宋体"/>
          <w:color w:val="auto"/>
          <w:sz w:val="24"/>
          <w:szCs w:val="24"/>
          <w:highlight w:val="none"/>
        </w:rPr>
      </w:pPr>
    </w:p>
    <w:p w14:paraId="7F8A27A2">
      <w:pPr>
        <w:pStyle w:val="2"/>
        <w:rPr>
          <w:rFonts w:hint="eastAsia" w:ascii="宋体" w:hAnsi="宋体" w:eastAsia="宋体" w:cs="宋体"/>
          <w:color w:val="auto"/>
          <w:sz w:val="24"/>
          <w:szCs w:val="24"/>
          <w:highlight w:val="none"/>
        </w:rPr>
      </w:pPr>
    </w:p>
    <w:p w14:paraId="68FBB83B">
      <w:pPr>
        <w:pStyle w:val="2"/>
        <w:rPr>
          <w:rFonts w:hint="eastAsia" w:ascii="宋体" w:hAnsi="宋体" w:eastAsia="宋体" w:cs="宋体"/>
          <w:color w:val="auto"/>
          <w:sz w:val="24"/>
          <w:szCs w:val="24"/>
          <w:highlight w:val="none"/>
        </w:rPr>
      </w:pPr>
    </w:p>
    <w:p w14:paraId="3CE41CA0">
      <w:pPr>
        <w:pStyle w:val="2"/>
        <w:rPr>
          <w:rFonts w:hint="eastAsia" w:ascii="宋体" w:hAnsi="宋体" w:eastAsia="宋体" w:cs="宋体"/>
          <w:color w:val="auto"/>
          <w:sz w:val="24"/>
          <w:szCs w:val="24"/>
          <w:highlight w:val="none"/>
        </w:rPr>
      </w:pPr>
    </w:p>
    <w:p w14:paraId="46FFEB52">
      <w:pPr>
        <w:pStyle w:val="2"/>
        <w:rPr>
          <w:rFonts w:hint="eastAsia" w:ascii="宋体" w:hAnsi="宋体" w:eastAsia="宋体" w:cs="宋体"/>
          <w:color w:val="auto"/>
          <w:sz w:val="24"/>
          <w:szCs w:val="24"/>
          <w:highlight w:val="none"/>
        </w:rPr>
      </w:pPr>
    </w:p>
    <w:p w14:paraId="72C65AF8">
      <w:pPr>
        <w:pStyle w:val="2"/>
        <w:rPr>
          <w:rFonts w:hint="eastAsia" w:ascii="宋体" w:hAnsi="宋体" w:eastAsia="宋体" w:cs="宋体"/>
          <w:color w:val="auto"/>
          <w:sz w:val="24"/>
          <w:szCs w:val="24"/>
          <w:highlight w:val="none"/>
        </w:rPr>
      </w:pPr>
    </w:p>
    <w:p w14:paraId="31F3BF8F">
      <w:pPr>
        <w:pStyle w:val="2"/>
        <w:rPr>
          <w:rFonts w:hint="eastAsia" w:ascii="宋体" w:hAnsi="宋体" w:eastAsia="宋体" w:cs="宋体"/>
          <w:color w:val="auto"/>
          <w:sz w:val="24"/>
          <w:szCs w:val="24"/>
          <w:highlight w:val="none"/>
        </w:rPr>
      </w:pPr>
    </w:p>
    <w:p w14:paraId="38D44A46">
      <w:pPr>
        <w:pStyle w:val="2"/>
        <w:rPr>
          <w:rFonts w:hint="eastAsia" w:ascii="宋体" w:hAnsi="宋体" w:eastAsia="宋体" w:cs="宋体"/>
          <w:color w:val="auto"/>
          <w:sz w:val="24"/>
          <w:szCs w:val="24"/>
          <w:highlight w:val="none"/>
        </w:rPr>
      </w:pPr>
    </w:p>
    <w:p w14:paraId="60738417">
      <w:pPr>
        <w:pStyle w:val="2"/>
        <w:rPr>
          <w:rFonts w:hint="eastAsia" w:ascii="宋体" w:hAnsi="宋体" w:eastAsia="宋体" w:cs="宋体"/>
          <w:color w:val="auto"/>
          <w:sz w:val="24"/>
          <w:szCs w:val="24"/>
          <w:highlight w:val="none"/>
        </w:rPr>
      </w:pPr>
    </w:p>
    <w:p w14:paraId="5107E58C">
      <w:pPr>
        <w:pStyle w:val="2"/>
        <w:rPr>
          <w:rFonts w:hint="eastAsia" w:ascii="宋体" w:hAnsi="宋体" w:eastAsia="宋体" w:cs="宋体"/>
          <w:color w:val="auto"/>
          <w:sz w:val="24"/>
          <w:szCs w:val="24"/>
          <w:highlight w:val="none"/>
        </w:rPr>
      </w:pPr>
    </w:p>
    <w:p w14:paraId="71B849F1">
      <w:pPr>
        <w:pStyle w:val="2"/>
        <w:rPr>
          <w:rFonts w:hint="eastAsia" w:ascii="宋体" w:hAnsi="宋体" w:eastAsia="宋体" w:cs="宋体"/>
          <w:color w:val="auto"/>
          <w:sz w:val="24"/>
          <w:szCs w:val="24"/>
          <w:highlight w:val="none"/>
        </w:rPr>
      </w:pPr>
    </w:p>
    <w:p w14:paraId="5D1CABAA">
      <w:pPr>
        <w:pStyle w:val="2"/>
        <w:rPr>
          <w:rFonts w:hint="eastAsia" w:ascii="宋体" w:hAnsi="宋体" w:eastAsia="宋体" w:cs="宋体"/>
          <w:color w:val="auto"/>
          <w:sz w:val="24"/>
          <w:szCs w:val="24"/>
          <w:highlight w:val="none"/>
        </w:rPr>
      </w:pPr>
    </w:p>
    <w:p w14:paraId="0BA42CF8">
      <w:pPr>
        <w:pStyle w:val="2"/>
        <w:rPr>
          <w:rFonts w:hint="eastAsia" w:ascii="宋体" w:hAnsi="宋体" w:eastAsia="宋体" w:cs="宋体"/>
          <w:color w:val="auto"/>
          <w:sz w:val="24"/>
          <w:szCs w:val="24"/>
          <w:highlight w:val="none"/>
        </w:rPr>
      </w:pPr>
    </w:p>
    <w:p w14:paraId="0D645468">
      <w:pPr>
        <w:pStyle w:val="2"/>
        <w:rPr>
          <w:rFonts w:hint="eastAsia" w:ascii="宋体" w:hAnsi="宋体" w:eastAsia="宋体" w:cs="宋体"/>
          <w:color w:val="auto"/>
          <w:sz w:val="24"/>
          <w:szCs w:val="24"/>
          <w:highlight w:val="none"/>
        </w:rPr>
      </w:pPr>
    </w:p>
    <w:p w14:paraId="63BC43E8">
      <w:pPr>
        <w:pStyle w:val="2"/>
        <w:rPr>
          <w:rFonts w:hint="eastAsia" w:ascii="宋体" w:hAnsi="宋体" w:eastAsia="宋体" w:cs="宋体"/>
          <w:color w:val="auto"/>
          <w:sz w:val="24"/>
          <w:szCs w:val="24"/>
          <w:highlight w:val="none"/>
        </w:rPr>
      </w:pPr>
    </w:p>
    <w:p w14:paraId="2E20339B">
      <w:pPr>
        <w:pStyle w:val="2"/>
        <w:rPr>
          <w:rFonts w:hint="eastAsia" w:ascii="宋体" w:hAnsi="宋体" w:eastAsia="宋体" w:cs="宋体"/>
          <w:color w:val="auto"/>
          <w:sz w:val="24"/>
          <w:szCs w:val="24"/>
          <w:highlight w:val="none"/>
        </w:rPr>
      </w:pPr>
    </w:p>
    <w:p w14:paraId="2A80E8E5">
      <w:pPr>
        <w:pStyle w:val="3"/>
        <w:spacing w:before="0" w:after="0" w:line="360" w:lineRule="auto"/>
        <w:jc w:val="center"/>
        <w:rPr>
          <w:rFonts w:hint="eastAsia" w:ascii="宋体" w:hAnsi="宋体" w:eastAsia="宋体" w:cs="宋体"/>
          <w:bCs w:val="0"/>
          <w:color w:val="auto"/>
          <w:sz w:val="28"/>
          <w:szCs w:val="28"/>
          <w:highlight w:val="none"/>
        </w:rPr>
      </w:pPr>
      <w:r>
        <w:rPr>
          <w:rFonts w:hint="eastAsia" w:ascii="宋体" w:hAnsi="宋体" w:eastAsia="宋体" w:cs="宋体"/>
          <w:bCs w:val="0"/>
          <w:color w:val="auto"/>
          <w:sz w:val="28"/>
          <w:szCs w:val="28"/>
          <w:highlight w:val="none"/>
        </w:rPr>
        <w:t>第四章  响应文件格式</w:t>
      </w:r>
    </w:p>
    <w:p w14:paraId="3E99943B">
      <w:pPr>
        <w:widowControl w:val="0"/>
        <w:wordWrap/>
        <w:adjustRightInd/>
        <w:snapToGrid/>
        <w:spacing w:line="360" w:lineRule="auto"/>
        <w:ind w:firstLine="480" w:firstLineChars="200"/>
        <w:jc w:val="left"/>
        <w:textAlignment w:val="auto"/>
        <w:outlineLvl w:val="9"/>
        <w:rPr>
          <w:rFonts w:hint="eastAsia" w:ascii="宋体" w:hAnsi="宋体" w:eastAsia="宋体" w:cs="宋体"/>
          <w:color w:val="auto"/>
          <w:sz w:val="24"/>
          <w:highlight w:val="none"/>
        </w:rPr>
      </w:pPr>
    </w:p>
    <w:p w14:paraId="35DF38C5">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响应文件封面</w:t>
      </w:r>
    </w:p>
    <w:p w14:paraId="19819424">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格式1   响应函</w:t>
      </w:r>
    </w:p>
    <w:p w14:paraId="6838FD0F">
      <w:pPr>
        <w:spacing w:line="360" w:lineRule="auto"/>
        <w:ind w:firstLine="480" w:firstLineChars="200"/>
        <w:jc w:val="left"/>
        <w:rPr>
          <w:rFonts w:hint="eastAsia" w:ascii="宋体" w:hAnsi="宋体" w:cs="宋体"/>
          <w:bCs/>
          <w:color w:val="auto"/>
          <w:sz w:val="28"/>
          <w:szCs w:val="28"/>
          <w:highlight w:val="none"/>
        </w:rPr>
      </w:pPr>
      <w:r>
        <w:rPr>
          <w:rFonts w:hint="eastAsia" w:ascii="宋体" w:hAnsi="宋体" w:cs="宋体"/>
          <w:bCs/>
          <w:color w:val="auto"/>
          <w:sz w:val="24"/>
          <w:highlight w:val="none"/>
        </w:rPr>
        <w:t>格式2   法定代表人资格证明书</w:t>
      </w:r>
    </w:p>
    <w:p w14:paraId="222F53E4">
      <w:pPr>
        <w:tabs>
          <w:tab w:val="left" w:pos="360"/>
          <w:tab w:val="left" w:pos="1800"/>
        </w:tabs>
        <w:spacing w:line="360"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格式3   法定代表人授权书</w:t>
      </w:r>
    </w:p>
    <w:p w14:paraId="521993C6">
      <w:pPr>
        <w:tabs>
          <w:tab w:val="left" w:pos="360"/>
          <w:tab w:val="left" w:pos="1800"/>
        </w:tabs>
        <w:spacing w:line="36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cs="宋体"/>
          <w:bCs/>
          <w:color w:val="auto"/>
          <w:sz w:val="24"/>
          <w:highlight w:val="none"/>
        </w:rPr>
        <w:t xml:space="preserve">格式4   </w:t>
      </w:r>
      <w:r>
        <w:rPr>
          <w:rFonts w:hint="eastAsia" w:ascii="宋体" w:hAnsi="宋体" w:cs="宋体"/>
          <w:color w:val="auto"/>
          <w:sz w:val="24"/>
          <w:highlight w:val="none"/>
        </w:rPr>
        <w:t>供应商资格声明</w:t>
      </w:r>
    </w:p>
    <w:p w14:paraId="32E6493E">
      <w:pPr>
        <w:tabs>
          <w:tab w:val="left" w:pos="360"/>
          <w:tab w:val="left" w:pos="1800"/>
        </w:tabs>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格式5   政府采购领域诚信承诺书</w:t>
      </w:r>
    </w:p>
    <w:p w14:paraId="2445B69D">
      <w:pPr>
        <w:spacing w:line="360"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格式6   中小企业声明函</w:t>
      </w:r>
    </w:p>
    <w:p w14:paraId="7A020A55">
      <w:pPr>
        <w:spacing w:line="360"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格式7   商务报价一览表（首次）</w:t>
      </w:r>
    </w:p>
    <w:p w14:paraId="0A72E986">
      <w:pPr>
        <w:spacing w:line="360" w:lineRule="auto"/>
        <w:ind w:firstLine="480" w:firstLineChars="200"/>
        <w:jc w:val="left"/>
        <w:rPr>
          <w:rFonts w:hint="eastAsia" w:ascii="宋体" w:hAnsi="宋体" w:cs="宋体"/>
          <w:bCs/>
          <w:color w:val="auto"/>
          <w:sz w:val="36"/>
          <w:szCs w:val="36"/>
          <w:highlight w:val="none"/>
        </w:rPr>
      </w:pPr>
      <w:r>
        <w:rPr>
          <w:rFonts w:hint="eastAsia" w:ascii="宋体" w:hAnsi="宋体" w:cs="宋体"/>
          <w:bCs/>
          <w:color w:val="auto"/>
          <w:sz w:val="24"/>
          <w:highlight w:val="none"/>
        </w:rPr>
        <w:t xml:space="preserve">格式8   </w:t>
      </w:r>
      <w:r>
        <w:rPr>
          <w:rFonts w:hint="eastAsia" w:ascii="宋体" w:hAnsi="宋体" w:cs="宋体"/>
          <w:color w:val="auto"/>
          <w:sz w:val="24"/>
          <w:highlight w:val="none"/>
        </w:rPr>
        <w:t>商务条款响应偏离表</w:t>
      </w:r>
    </w:p>
    <w:p w14:paraId="313D8270">
      <w:pPr>
        <w:tabs>
          <w:tab w:val="left" w:pos="360"/>
          <w:tab w:val="left" w:pos="1800"/>
        </w:tabs>
        <w:spacing w:line="360" w:lineRule="auto"/>
        <w:ind w:firstLine="480" w:firstLineChars="200"/>
        <w:jc w:val="left"/>
        <w:rPr>
          <w:rFonts w:hint="eastAsia" w:ascii="宋体" w:hAnsi="宋体" w:cs="宋体"/>
          <w:color w:val="auto"/>
          <w:sz w:val="24"/>
          <w:highlight w:val="none"/>
        </w:rPr>
      </w:pPr>
      <w:r>
        <w:rPr>
          <w:rFonts w:hint="eastAsia" w:ascii="宋体" w:hAnsi="宋体" w:cs="宋体"/>
          <w:bCs/>
          <w:color w:val="auto"/>
          <w:sz w:val="24"/>
          <w:highlight w:val="none"/>
        </w:rPr>
        <w:t xml:space="preserve">格式9   </w:t>
      </w:r>
      <w:r>
        <w:rPr>
          <w:rFonts w:hint="eastAsia" w:ascii="宋体" w:hAnsi="宋体" w:cs="宋体"/>
          <w:color w:val="auto"/>
          <w:sz w:val="24"/>
          <w:highlight w:val="none"/>
        </w:rPr>
        <w:t>项目主要管理人员表</w:t>
      </w:r>
    </w:p>
    <w:p w14:paraId="6FFB037E">
      <w:pPr>
        <w:tabs>
          <w:tab w:val="left" w:pos="360"/>
          <w:tab w:val="left" w:pos="1800"/>
        </w:tabs>
        <w:spacing w:line="360" w:lineRule="auto"/>
        <w:ind w:firstLine="480" w:firstLineChars="200"/>
        <w:jc w:val="left"/>
        <w:rPr>
          <w:rFonts w:hint="eastAsia" w:ascii="宋体" w:hAnsi="宋体" w:cs="宋体"/>
          <w:color w:val="auto"/>
          <w:sz w:val="24"/>
          <w:highlight w:val="none"/>
        </w:rPr>
      </w:pPr>
      <w:r>
        <w:rPr>
          <w:rFonts w:hint="eastAsia" w:ascii="宋体" w:hAnsi="宋体" w:cs="宋体"/>
          <w:bCs/>
          <w:color w:val="auto"/>
          <w:sz w:val="24"/>
          <w:highlight w:val="none"/>
        </w:rPr>
        <w:t xml:space="preserve">格式10   </w:t>
      </w:r>
      <w:r>
        <w:rPr>
          <w:rFonts w:hint="eastAsia" w:ascii="宋体" w:hAnsi="宋体" w:cs="宋体"/>
          <w:color w:val="auto"/>
          <w:sz w:val="24"/>
          <w:highlight w:val="none"/>
        </w:rPr>
        <w:t>近三年（自202</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年1月1日至今）同类项目业绩表</w:t>
      </w:r>
    </w:p>
    <w:p w14:paraId="5E12ED71">
      <w:pPr>
        <w:spacing w:line="360" w:lineRule="auto"/>
        <w:ind w:firstLine="480" w:firstLineChars="200"/>
        <w:jc w:val="left"/>
        <w:rPr>
          <w:rFonts w:hint="eastAsia" w:ascii="宋体" w:hAnsi="宋体" w:cs="宋体"/>
          <w:color w:val="auto"/>
          <w:sz w:val="24"/>
          <w:highlight w:val="none"/>
        </w:rPr>
      </w:pPr>
      <w:r>
        <w:rPr>
          <w:rFonts w:hint="eastAsia" w:ascii="宋体" w:hAnsi="宋体" w:cs="宋体"/>
          <w:bCs/>
          <w:color w:val="auto"/>
          <w:sz w:val="24"/>
          <w:highlight w:val="none"/>
        </w:rPr>
        <w:t xml:space="preserve">格式11   </w:t>
      </w:r>
      <w:r>
        <w:rPr>
          <w:rFonts w:hint="eastAsia" w:ascii="宋体" w:hAnsi="宋体" w:cs="宋体"/>
          <w:color w:val="auto"/>
          <w:sz w:val="24"/>
          <w:highlight w:val="none"/>
        </w:rPr>
        <w:t>技术条款响应偏离表</w:t>
      </w:r>
    </w:p>
    <w:p w14:paraId="4E47FDB6">
      <w:pPr>
        <w:spacing w:line="360"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格式12   资格性/符合性自查表</w:t>
      </w:r>
    </w:p>
    <w:p w14:paraId="274905C3">
      <w:pPr>
        <w:widowControl w:val="0"/>
        <w:wordWrap/>
        <w:adjustRightInd/>
        <w:snapToGrid/>
        <w:spacing w:line="360" w:lineRule="auto"/>
        <w:ind w:firstLine="480" w:firstLineChars="200"/>
        <w:jc w:val="left"/>
        <w:textAlignment w:val="auto"/>
        <w:outlineLvl w:val="9"/>
        <w:rPr>
          <w:rFonts w:hint="eastAsia" w:ascii="宋体" w:hAnsi="宋体" w:eastAsia="宋体" w:cs="宋体"/>
          <w:color w:val="auto"/>
          <w:sz w:val="24"/>
          <w:highlight w:val="none"/>
        </w:rPr>
      </w:pPr>
    </w:p>
    <w:p w14:paraId="77C91529">
      <w:pPr>
        <w:widowControl w:val="0"/>
        <w:wordWrap/>
        <w:adjustRightInd/>
        <w:snapToGrid/>
        <w:spacing w:line="360" w:lineRule="auto"/>
        <w:ind w:firstLine="723" w:firstLineChars="200"/>
        <w:jc w:val="left"/>
        <w:textAlignment w:val="auto"/>
        <w:outlineLvl w:val="9"/>
        <w:rPr>
          <w:rFonts w:hint="eastAsia" w:ascii="宋体" w:hAnsi="宋体" w:eastAsia="宋体" w:cs="宋体"/>
          <w:b/>
          <w:bCs/>
          <w:color w:val="auto"/>
          <w:sz w:val="36"/>
          <w:szCs w:val="36"/>
          <w:highlight w:val="none"/>
        </w:rPr>
      </w:pPr>
    </w:p>
    <w:p w14:paraId="3999D886">
      <w:pPr>
        <w:spacing w:line="360" w:lineRule="auto"/>
        <w:jc w:val="center"/>
        <w:rPr>
          <w:rFonts w:hint="eastAsia" w:ascii="宋体" w:hAnsi="宋体" w:eastAsia="宋体" w:cs="宋体"/>
          <w:b/>
          <w:color w:val="auto"/>
          <w:sz w:val="48"/>
          <w:szCs w:val="48"/>
          <w:highlight w:val="none"/>
        </w:rPr>
      </w:pPr>
    </w:p>
    <w:p w14:paraId="279AEEA3">
      <w:pPr>
        <w:spacing w:line="360" w:lineRule="auto"/>
        <w:jc w:val="center"/>
        <w:rPr>
          <w:rFonts w:hint="eastAsia" w:ascii="宋体" w:hAnsi="宋体" w:eastAsia="宋体" w:cs="宋体"/>
          <w:b/>
          <w:color w:val="auto"/>
          <w:sz w:val="48"/>
          <w:szCs w:val="48"/>
          <w:highlight w:val="none"/>
        </w:rPr>
      </w:pPr>
    </w:p>
    <w:p w14:paraId="71CB3DA4">
      <w:pPr>
        <w:spacing w:line="360" w:lineRule="auto"/>
        <w:jc w:val="center"/>
        <w:rPr>
          <w:rFonts w:hint="eastAsia" w:ascii="宋体" w:hAnsi="宋体" w:eastAsia="宋体" w:cs="宋体"/>
          <w:b/>
          <w:color w:val="auto"/>
          <w:sz w:val="48"/>
          <w:szCs w:val="48"/>
          <w:highlight w:val="none"/>
        </w:rPr>
      </w:pPr>
    </w:p>
    <w:p w14:paraId="01A42E39">
      <w:pPr>
        <w:pStyle w:val="5"/>
        <w:rPr>
          <w:rFonts w:hint="eastAsia" w:ascii="宋体" w:hAnsi="宋体" w:eastAsia="宋体" w:cs="宋体"/>
          <w:b/>
          <w:color w:val="auto"/>
          <w:sz w:val="48"/>
          <w:szCs w:val="48"/>
          <w:highlight w:val="none"/>
        </w:rPr>
      </w:pPr>
    </w:p>
    <w:p w14:paraId="63B9BE13">
      <w:pPr>
        <w:rPr>
          <w:rFonts w:hint="eastAsia" w:ascii="宋体" w:hAnsi="宋体" w:eastAsia="宋体" w:cs="宋体"/>
          <w:b/>
          <w:color w:val="auto"/>
          <w:sz w:val="48"/>
          <w:szCs w:val="48"/>
          <w:highlight w:val="none"/>
        </w:rPr>
      </w:pPr>
    </w:p>
    <w:p w14:paraId="7185AEB1">
      <w:pPr>
        <w:spacing w:line="360" w:lineRule="auto"/>
        <w:jc w:val="center"/>
        <w:rPr>
          <w:rFonts w:hint="eastAsia" w:ascii="宋体" w:hAnsi="宋体" w:eastAsia="宋体" w:cs="宋体"/>
          <w:b/>
          <w:color w:val="auto"/>
          <w:sz w:val="48"/>
          <w:szCs w:val="48"/>
          <w:highlight w:val="none"/>
        </w:rPr>
      </w:pPr>
    </w:p>
    <w:p w14:paraId="65967E77">
      <w:pPr>
        <w:pStyle w:val="5"/>
        <w:rPr>
          <w:rFonts w:hint="eastAsia" w:ascii="宋体" w:hAnsi="宋体" w:eastAsia="宋体" w:cs="宋体"/>
          <w:color w:val="auto"/>
          <w:highlight w:val="none"/>
        </w:rPr>
      </w:pPr>
    </w:p>
    <w:p w14:paraId="231F82F5">
      <w:pPr>
        <w:spacing w:line="360" w:lineRule="auto"/>
        <w:jc w:val="center"/>
        <w:rPr>
          <w:rFonts w:hint="eastAsia" w:ascii="宋体" w:hAnsi="宋体" w:eastAsia="宋体" w:cs="宋体"/>
          <w:b/>
          <w:color w:val="auto"/>
          <w:sz w:val="84"/>
          <w:szCs w:val="84"/>
          <w:highlight w:val="none"/>
          <w:lang w:eastAsia="zh-CN"/>
        </w:rPr>
      </w:pPr>
      <w:r>
        <w:rPr>
          <w:rFonts w:hint="eastAsia" w:ascii="宋体" w:hAnsi="宋体" w:cs="宋体"/>
          <w:b/>
          <w:color w:val="auto"/>
          <w:sz w:val="72"/>
          <w:szCs w:val="72"/>
          <w:highlight w:val="none"/>
          <w:lang w:eastAsia="zh-CN"/>
        </w:rPr>
        <w:t>国家税务总局克拉玛依市克拉玛依区税务局安保服务</w:t>
      </w:r>
    </w:p>
    <w:p w14:paraId="3721CC5C">
      <w:pPr>
        <w:spacing w:line="360" w:lineRule="auto"/>
        <w:jc w:val="center"/>
        <w:rPr>
          <w:rFonts w:hint="eastAsia" w:ascii="宋体" w:hAnsi="宋体" w:eastAsia="宋体" w:cs="宋体"/>
          <w:b/>
          <w:color w:val="auto"/>
          <w:sz w:val="72"/>
          <w:szCs w:val="72"/>
          <w:highlight w:val="none"/>
        </w:rPr>
      </w:pPr>
    </w:p>
    <w:p w14:paraId="42BE0A9C">
      <w:pPr>
        <w:spacing w:line="360" w:lineRule="auto"/>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响  应  文  件</w:t>
      </w:r>
    </w:p>
    <w:p w14:paraId="5F7C79BC">
      <w:pPr>
        <w:spacing w:line="360" w:lineRule="auto"/>
        <w:jc w:val="center"/>
        <w:rPr>
          <w:rFonts w:hint="eastAsia" w:ascii="宋体" w:hAnsi="宋体" w:eastAsia="宋体" w:cs="宋体"/>
          <w:b/>
          <w:color w:val="auto"/>
          <w:sz w:val="30"/>
          <w:highlight w:val="none"/>
          <w:lang w:eastAsia="zh-CN"/>
        </w:rPr>
      </w:pPr>
      <w:r>
        <w:rPr>
          <w:rFonts w:hint="eastAsia" w:ascii="宋体" w:hAnsi="宋体" w:eastAsia="宋体" w:cs="宋体"/>
          <w:b/>
          <w:color w:val="auto"/>
          <w:sz w:val="30"/>
          <w:highlight w:val="none"/>
        </w:rPr>
        <w:t>采购文件编号：</w:t>
      </w:r>
      <w:r>
        <w:rPr>
          <w:rFonts w:hint="eastAsia" w:ascii="宋体" w:hAnsi="宋体" w:cs="宋体"/>
          <w:b/>
          <w:color w:val="auto"/>
          <w:sz w:val="30"/>
          <w:highlight w:val="none"/>
          <w:lang w:eastAsia="zh-CN"/>
        </w:rPr>
        <w:t>KQSWJ（ZC）2025-02</w:t>
      </w:r>
    </w:p>
    <w:p w14:paraId="17F9E222">
      <w:pPr>
        <w:spacing w:line="360" w:lineRule="auto"/>
        <w:rPr>
          <w:rFonts w:hint="eastAsia" w:ascii="宋体" w:hAnsi="宋体" w:eastAsia="宋体" w:cs="宋体"/>
          <w:b/>
          <w:color w:val="auto"/>
          <w:sz w:val="32"/>
          <w:szCs w:val="32"/>
          <w:highlight w:val="none"/>
        </w:rPr>
      </w:pPr>
    </w:p>
    <w:p w14:paraId="68F77018">
      <w:pPr>
        <w:spacing w:line="360" w:lineRule="auto"/>
        <w:rPr>
          <w:rFonts w:hint="eastAsia" w:ascii="宋体" w:hAnsi="宋体" w:eastAsia="宋体" w:cs="宋体"/>
          <w:b/>
          <w:color w:val="auto"/>
          <w:sz w:val="32"/>
          <w:szCs w:val="32"/>
          <w:highlight w:val="none"/>
        </w:rPr>
      </w:pPr>
    </w:p>
    <w:p w14:paraId="7AA726AA">
      <w:pPr>
        <w:pStyle w:val="2"/>
        <w:rPr>
          <w:rFonts w:hint="eastAsia"/>
          <w:color w:val="auto"/>
          <w:highlight w:val="none"/>
        </w:rPr>
      </w:pPr>
    </w:p>
    <w:p w14:paraId="2093305F">
      <w:pPr>
        <w:spacing w:line="360" w:lineRule="auto"/>
        <w:rPr>
          <w:rFonts w:hint="eastAsia" w:ascii="宋体" w:hAnsi="宋体" w:eastAsia="宋体" w:cs="宋体"/>
          <w:b/>
          <w:color w:val="auto"/>
          <w:sz w:val="32"/>
          <w:szCs w:val="32"/>
          <w:highlight w:val="none"/>
        </w:rPr>
      </w:pPr>
    </w:p>
    <w:p w14:paraId="54399F94">
      <w:pPr>
        <w:spacing w:line="360" w:lineRule="auto"/>
        <w:ind w:firstLine="602"/>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供应商： （单位名称）盖章</w:t>
      </w:r>
    </w:p>
    <w:p w14:paraId="08292CAC">
      <w:pPr>
        <w:spacing w:line="360" w:lineRule="auto"/>
        <w:rPr>
          <w:rFonts w:hint="eastAsia" w:ascii="宋体" w:hAnsi="宋体" w:eastAsia="宋体" w:cs="宋体"/>
          <w:b/>
          <w:color w:val="auto"/>
          <w:sz w:val="30"/>
          <w:szCs w:val="30"/>
          <w:highlight w:val="none"/>
        </w:rPr>
      </w:pPr>
    </w:p>
    <w:p w14:paraId="6D8F130B">
      <w:pPr>
        <w:spacing w:line="360" w:lineRule="auto"/>
        <w:ind w:firstLine="602"/>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单位地址：</w:t>
      </w:r>
    </w:p>
    <w:p w14:paraId="289F3806">
      <w:pPr>
        <w:spacing w:line="360" w:lineRule="auto"/>
        <w:rPr>
          <w:rFonts w:hint="eastAsia" w:ascii="宋体" w:hAnsi="宋体" w:eastAsia="宋体" w:cs="宋体"/>
          <w:b/>
          <w:color w:val="auto"/>
          <w:sz w:val="30"/>
          <w:szCs w:val="30"/>
          <w:highlight w:val="none"/>
        </w:rPr>
      </w:pPr>
    </w:p>
    <w:p w14:paraId="62D98957">
      <w:pPr>
        <w:pStyle w:val="33"/>
        <w:spacing w:line="360" w:lineRule="auto"/>
        <w:ind w:firstLine="596" w:firstLineChars="198"/>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联系人：                   联系电话：</w:t>
      </w:r>
    </w:p>
    <w:p w14:paraId="29CE9F47">
      <w:pPr>
        <w:pStyle w:val="33"/>
        <w:spacing w:line="360" w:lineRule="auto"/>
        <w:ind w:firstLine="596" w:firstLineChars="198"/>
        <w:rPr>
          <w:rFonts w:hint="eastAsia" w:ascii="宋体" w:hAnsi="宋体" w:eastAsia="宋体" w:cs="宋体"/>
          <w:b/>
          <w:color w:val="auto"/>
          <w:sz w:val="30"/>
          <w:szCs w:val="30"/>
          <w:highlight w:val="none"/>
        </w:rPr>
      </w:pPr>
    </w:p>
    <w:p w14:paraId="0D8792EF">
      <w:pPr>
        <w:pStyle w:val="33"/>
        <w:spacing w:line="360" w:lineRule="auto"/>
        <w:ind w:firstLine="596" w:firstLineChars="198"/>
        <w:rPr>
          <w:rFonts w:hint="eastAsia" w:ascii="宋体" w:hAnsi="宋体" w:eastAsia="宋体" w:cs="宋体"/>
          <w:b/>
          <w:color w:val="auto"/>
          <w:sz w:val="30"/>
          <w:szCs w:val="30"/>
          <w:highlight w:val="none"/>
        </w:rPr>
      </w:pPr>
    </w:p>
    <w:p w14:paraId="7A2946D7">
      <w:pPr>
        <w:pStyle w:val="4"/>
        <w:wordWrap/>
        <w:spacing w:before="0" w:after="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格式1  响  应  函</w:t>
      </w:r>
    </w:p>
    <w:p w14:paraId="3CE9AD92">
      <w:pPr>
        <w:wordWrap/>
        <w:spacing w:line="360" w:lineRule="auto"/>
        <w:ind w:firstLine="480" w:firstLineChars="200"/>
        <w:textAlignment w:val="auto"/>
        <w:rPr>
          <w:rFonts w:hint="eastAsia" w:ascii="宋体" w:hAnsi="宋体" w:eastAsia="宋体" w:cs="宋体"/>
          <w:bCs/>
          <w:color w:val="auto"/>
          <w:kern w:val="0"/>
          <w:sz w:val="24"/>
          <w:szCs w:val="24"/>
          <w:highlight w:val="none"/>
          <w:lang w:eastAsia="zh-CN"/>
        </w:rPr>
      </w:pPr>
    </w:p>
    <w:p w14:paraId="24F3A2E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bCs/>
          <w:color w:val="auto"/>
          <w:kern w:val="0"/>
          <w:sz w:val="24"/>
          <w:szCs w:val="24"/>
          <w:highlight w:val="none"/>
          <w:lang w:eastAsia="zh-CN"/>
        </w:rPr>
        <w:t>国家税务总局克拉玛依市克拉玛依区税务局</w:t>
      </w:r>
      <w:r>
        <w:rPr>
          <w:rFonts w:hint="eastAsia" w:ascii="宋体" w:hAnsi="宋体" w:eastAsia="宋体" w:cs="宋体"/>
          <w:color w:val="auto"/>
          <w:sz w:val="24"/>
          <w:szCs w:val="24"/>
          <w:highlight w:val="none"/>
        </w:rPr>
        <w:t>：</w:t>
      </w:r>
    </w:p>
    <w:p w14:paraId="0BDBBB7E">
      <w:pPr>
        <w:pStyle w:val="36"/>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color w:val="auto"/>
          <w:sz w:val="24"/>
          <w:szCs w:val="24"/>
          <w:highlight w:val="none"/>
        </w:rPr>
      </w:pPr>
    </w:p>
    <w:p w14:paraId="669F4A59">
      <w:pPr>
        <w:pStyle w:val="36"/>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我方全面研究了</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项目采购文件</w:t>
      </w:r>
      <w:r>
        <w:rPr>
          <w:rFonts w:hint="eastAsia" w:ascii="宋体" w:hAnsi="宋体" w:eastAsia="宋体" w:cs="宋体"/>
          <w:b w:val="0"/>
          <w:bCs/>
          <w:color w:val="auto"/>
          <w:sz w:val="24"/>
          <w:szCs w:val="24"/>
          <w:highlight w:val="none"/>
          <w:u w:val="single"/>
        </w:rPr>
        <w:t>（文件编号：    ）</w:t>
      </w:r>
      <w:r>
        <w:rPr>
          <w:rFonts w:hint="eastAsia" w:ascii="宋体" w:hAnsi="宋体" w:eastAsia="宋体" w:cs="宋体"/>
          <w:b w:val="0"/>
          <w:bCs/>
          <w:color w:val="auto"/>
          <w:sz w:val="24"/>
          <w:szCs w:val="24"/>
          <w:highlight w:val="none"/>
        </w:rPr>
        <w:t>，决定参加本项目投标。我方授权</w:t>
      </w:r>
      <w:r>
        <w:rPr>
          <w:rFonts w:hint="eastAsia" w:ascii="宋体" w:hAnsi="宋体" w:eastAsia="宋体" w:cs="宋体"/>
          <w:b w:val="0"/>
          <w:bCs/>
          <w:color w:val="auto"/>
          <w:sz w:val="24"/>
          <w:szCs w:val="24"/>
          <w:highlight w:val="none"/>
          <w:u w:val="single"/>
        </w:rPr>
        <w:t xml:space="preserve">        （姓名、职务）</w:t>
      </w:r>
      <w:r>
        <w:rPr>
          <w:rFonts w:hint="eastAsia" w:ascii="宋体" w:hAnsi="宋体" w:eastAsia="宋体" w:cs="宋体"/>
          <w:b w:val="0"/>
          <w:bCs/>
          <w:color w:val="auto"/>
          <w:sz w:val="24"/>
          <w:szCs w:val="24"/>
          <w:highlight w:val="none"/>
        </w:rPr>
        <w:t>代表我方</w:t>
      </w:r>
      <w:r>
        <w:rPr>
          <w:rFonts w:hint="eastAsia" w:ascii="宋体" w:hAnsi="宋体" w:eastAsia="宋体" w:cs="宋体"/>
          <w:b w:val="0"/>
          <w:bCs/>
          <w:color w:val="auto"/>
          <w:sz w:val="24"/>
          <w:szCs w:val="24"/>
          <w:highlight w:val="none"/>
          <w:u w:val="single"/>
        </w:rPr>
        <w:t xml:space="preserve">          （供应商的名称）</w:t>
      </w:r>
      <w:r>
        <w:rPr>
          <w:rFonts w:hint="eastAsia" w:ascii="宋体" w:hAnsi="宋体" w:eastAsia="宋体" w:cs="宋体"/>
          <w:b w:val="0"/>
          <w:bCs/>
          <w:color w:val="auto"/>
          <w:sz w:val="24"/>
          <w:szCs w:val="24"/>
          <w:highlight w:val="none"/>
        </w:rPr>
        <w:t>全权处理本项目投标的有关事宜。</w:t>
      </w:r>
    </w:p>
    <w:p w14:paraId="0ACFDD2B">
      <w:pPr>
        <w:pStyle w:val="36"/>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1、我方自愿按照磋商文件规定的各项要求向采购人提供所需工作内容。</w:t>
      </w:r>
    </w:p>
    <w:p w14:paraId="1AF90FF9">
      <w:pPr>
        <w:pStyle w:val="36"/>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2、若我方入围，我方将严格履行合同规定的责任和义务，保证按采购人要求及我方承诺完成所需服务及应尽义务。</w:t>
      </w:r>
    </w:p>
    <w:p w14:paraId="7DBE34D7">
      <w:pPr>
        <w:pStyle w:val="36"/>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3．其投标自递交响应文件截止之日起有效期为</w:t>
      </w:r>
      <w:r>
        <w:rPr>
          <w:rFonts w:hint="eastAsia" w:ascii="宋体" w:hAnsi="宋体" w:eastAsia="宋体" w:cs="宋体"/>
          <w:color w:val="auto"/>
          <w:sz w:val="24"/>
          <w:szCs w:val="24"/>
          <w:highlight w:val="none"/>
          <w:u w:val="single"/>
        </w:rPr>
        <w:t xml:space="preserve">  90  </w:t>
      </w:r>
      <w:r>
        <w:rPr>
          <w:rFonts w:hint="eastAsia" w:ascii="宋体" w:hAnsi="宋体" w:eastAsia="宋体" w:cs="宋体"/>
          <w:color w:val="auto"/>
          <w:sz w:val="24"/>
          <w:szCs w:val="24"/>
          <w:highlight w:val="none"/>
        </w:rPr>
        <w:t>个日历日。如果我们的投标被接受，则至合同生效时止，本投标始终有效，我们将按服务协议、投标承诺及采购文件的规定履行合同责任和义务。</w:t>
      </w:r>
    </w:p>
    <w:p w14:paraId="19E6D5D6">
      <w:pPr>
        <w:pStyle w:val="36"/>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4、我方愿意提供采购人可能另外要求的，与公开有关的文件资料，并保证我方已提供和将要提供的文件资料是真实、准确的。</w:t>
      </w:r>
    </w:p>
    <w:p w14:paraId="326013E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rPr>
        <w:t>、我方完全理解你们将不受必须接受你们所收到的最低投标价及其它任何响应文件的约束。</w:t>
      </w:r>
    </w:p>
    <w:p w14:paraId="08DC3173">
      <w:pPr>
        <w:wordWrap/>
        <w:spacing w:line="360" w:lineRule="auto"/>
        <w:ind w:firstLine="480" w:firstLineChars="200"/>
        <w:textAlignment w:val="auto"/>
        <w:rPr>
          <w:rFonts w:hint="eastAsia" w:ascii="宋体" w:hAnsi="宋体" w:eastAsia="宋体" w:cs="宋体"/>
          <w:bCs/>
          <w:color w:val="auto"/>
          <w:sz w:val="24"/>
          <w:szCs w:val="24"/>
          <w:highlight w:val="none"/>
        </w:rPr>
      </w:pPr>
    </w:p>
    <w:p w14:paraId="1FADF55D">
      <w:pPr>
        <w:wordWrap/>
        <w:spacing w:line="360" w:lineRule="auto"/>
        <w:ind w:firstLine="480" w:firstLineChars="200"/>
        <w:textAlignment w:val="auto"/>
        <w:rPr>
          <w:rFonts w:hint="eastAsia" w:ascii="宋体" w:hAnsi="宋体" w:eastAsia="宋体" w:cs="宋体"/>
          <w:bCs/>
          <w:color w:val="auto"/>
          <w:sz w:val="24"/>
          <w:szCs w:val="24"/>
          <w:highlight w:val="none"/>
        </w:rPr>
      </w:pPr>
    </w:p>
    <w:p w14:paraId="5012160A">
      <w:pPr>
        <w:wordWrap/>
        <w:spacing w:line="360" w:lineRule="auto"/>
        <w:ind w:firstLine="480" w:firstLineChars="200"/>
        <w:textAlignment w:val="auto"/>
        <w:rPr>
          <w:rFonts w:hint="eastAsia" w:ascii="宋体" w:hAnsi="宋体" w:eastAsia="宋体" w:cs="宋体"/>
          <w:bCs/>
          <w:color w:val="auto"/>
          <w:sz w:val="24"/>
          <w:szCs w:val="24"/>
          <w:highlight w:val="none"/>
        </w:rPr>
      </w:pPr>
    </w:p>
    <w:p w14:paraId="7A7577FB">
      <w:pPr>
        <w:pStyle w:val="36"/>
        <w:wordWrap/>
        <w:spacing w:line="360" w:lineRule="auto"/>
        <w:ind w:left="838"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供应商名称：        （盖章）</w:t>
      </w:r>
    </w:p>
    <w:p w14:paraId="51AF7702">
      <w:pPr>
        <w:pStyle w:val="36"/>
        <w:wordWrap/>
        <w:spacing w:line="360" w:lineRule="auto"/>
        <w:ind w:left="838"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法定代表人或授权代表（签字）或盖章：</w:t>
      </w:r>
    </w:p>
    <w:p w14:paraId="75CF17FA">
      <w:pPr>
        <w:pStyle w:val="36"/>
        <w:wordWrap/>
        <w:spacing w:line="360" w:lineRule="auto"/>
        <w:ind w:left="838"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通讯地址：</w:t>
      </w:r>
    </w:p>
    <w:p w14:paraId="20C89CA3">
      <w:pPr>
        <w:pStyle w:val="36"/>
        <w:wordWrap/>
        <w:spacing w:line="360" w:lineRule="auto"/>
        <w:ind w:left="838"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邮政编码：</w:t>
      </w:r>
    </w:p>
    <w:p w14:paraId="099BFB71">
      <w:pPr>
        <w:pStyle w:val="36"/>
        <w:wordWrap/>
        <w:spacing w:line="360" w:lineRule="auto"/>
        <w:ind w:left="838"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联系电话：</w:t>
      </w:r>
    </w:p>
    <w:p w14:paraId="67383D9A">
      <w:pPr>
        <w:pStyle w:val="36"/>
        <w:wordWrap/>
        <w:spacing w:line="360" w:lineRule="auto"/>
        <w:ind w:left="838"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传    真：</w:t>
      </w:r>
    </w:p>
    <w:p w14:paraId="2DD62071">
      <w:pPr>
        <w:pStyle w:val="36"/>
        <w:wordWrap/>
        <w:spacing w:line="360" w:lineRule="auto"/>
        <w:ind w:left="838"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日    期：      年   月   日</w:t>
      </w:r>
    </w:p>
    <w:p w14:paraId="04372866">
      <w:pPr>
        <w:pStyle w:val="36"/>
        <w:wordWrap/>
        <w:spacing w:line="360" w:lineRule="auto"/>
        <w:ind w:left="838" w:firstLine="480" w:firstLineChars="200"/>
        <w:textAlignment w:val="auto"/>
        <w:rPr>
          <w:rFonts w:hint="eastAsia" w:ascii="宋体" w:hAnsi="宋体" w:eastAsia="宋体" w:cs="宋体"/>
          <w:b w:val="0"/>
          <w:bCs/>
          <w:color w:val="auto"/>
          <w:sz w:val="24"/>
          <w:szCs w:val="24"/>
          <w:highlight w:val="none"/>
        </w:rPr>
      </w:pPr>
    </w:p>
    <w:p w14:paraId="62C02F02">
      <w:pPr>
        <w:pStyle w:val="36"/>
        <w:wordWrap/>
        <w:spacing w:line="360" w:lineRule="auto"/>
        <w:ind w:left="838" w:firstLine="480" w:firstLineChars="200"/>
        <w:textAlignment w:val="auto"/>
        <w:rPr>
          <w:rFonts w:hint="eastAsia" w:ascii="宋体" w:hAnsi="宋体" w:eastAsia="宋体" w:cs="宋体"/>
          <w:b w:val="0"/>
          <w:bCs/>
          <w:color w:val="auto"/>
          <w:sz w:val="24"/>
          <w:szCs w:val="24"/>
          <w:highlight w:val="none"/>
        </w:rPr>
      </w:pPr>
    </w:p>
    <w:p w14:paraId="69F28603">
      <w:pPr>
        <w:pStyle w:val="36"/>
        <w:wordWrap/>
        <w:spacing w:line="360" w:lineRule="auto"/>
        <w:ind w:left="838" w:firstLine="480" w:firstLineChars="200"/>
        <w:textAlignment w:val="auto"/>
        <w:rPr>
          <w:rFonts w:hint="eastAsia" w:ascii="宋体" w:hAnsi="宋体" w:eastAsia="宋体" w:cs="宋体"/>
          <w:b w:val="0"/>
          <w:bCs/>
          <w:color w:val="auto"/>
          <w:sz w:val="24"/>
          <w:szCs w:val="24"/>
          <w:highlight w:val="none"/>
        </w:rPr>
      </w:pPr>
    </w:p>
    <w:p w14:paraId="112805A4">
      <w:pPr>
        <w:pStyle w:val="4"/>
        <w:wordWrap/>
        <w:spacing w:before="0" w:after="0" w:line="360" w:lineRule="auto"/>
        <w:jc w:val="center"/>
        <w:textAlignment w:val="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格式2   法定代表人资格证明书</w:t>
      </w:r>
    </w:p>
    <w:p w14:paraId="45CCB3B8">
      <w:pPr>
        <w:tabs>
          <w:tab w:val="left" w:pos="360"/>
          <w:tab w:val="left" w:pos="1800"/>
        </w:tabs>
        <w:wordWrap/>
        <w:spacing w:line="360" w:lineRule="auto"/>
        <w:ind w:left="540"/>
        <w:textAlignment w:val="auto"/>
        <w:rPr>
          <w:rFonts w:hint="eastAsia" w:ascii="宋体" w:hAnsi="宋体" w:eastAsia="宋体" w:cs="宋体"/>
          <w:bCs/>
          <w:color w:val="auto"/>
          <w:sz w:val="24"/>
          <w:szCs w:val="24"/>
          <w:highlight w:val="none"/>
        </w:rPr>
      </w:pPr>
    </w:p>
    <w:p w14:paraId="5F542B04">
      <w:pPr>
        <w:tabs>
          <w:tab w:val="left" w:pos="360"/>
          <w:tab w:val="left" w:pos="1800"/>
        </w:tabs>
        <w:wordWrap/>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p>
    <w:p w14:paraId="10A1F895">
      <w:pPr>
        <w:tabs>
          <w:tab w:val="left" w:pos="360"/>
          <w:tab w:val="left" w:pos="1800"/>
        </w:tabs>
        <w:wordWrap/>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534CE0C0">
      <w:pPr>
        <w:tabs>
          <w:tab w:val="left" w:pos="360"/>
          <w:tab w:val="left" w:pos="720"/>
          <w:tab w:val="left" w:pos="900"/>
          <w:tab w:val="left" w:pos="1800"/>
        </w:tabs>
        <w:wordWrap/>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姓名：        性别：       年龄：         职务： </w:t>
      </w:r>
    </w:p>
    <w:p w14:paraId="71EAB52E">
      <w:pPr>
        <w:tabs>
          <w:tab w:val="left" w:pos="360"/>
          <w:tab w:val="left" w:pos="1800"/>
        </w:tabs>
        <w:wordWrap/>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（单位） </w:t>
      </w:r>
      <w:r>
        <w:rPr>
          <w:rFonts w:hint="eastAsia" w:ascii="宋体" w:hAnsi="宋体" w:eastAsia="宋体" w:cs="宋体"/>
          <w:color w:val="auto"/>
          <w:sz w:val="24"/>
          <w:szCs w:val="24"/>
          <w:highlight w:val="none"/>
        </w:rPr>
        <w:t>的法定代表人。为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的项目，签署本项目的响应文件、进行合同谈判、签署合同和处理与之有关的一切事务。</w:t>
      </w:r>
    </w:p>
    <w:p w14:paraId="79F05965">
      <w:pPr>
        <w:tabs>
          <w:tab w:val="left" w:pos="360"/>
          <w:tab w:val="left" w:pos="1800"/>
        </w:tabs>
        <w:wordWrap/>
        <w:spacing w:line="360" w:lineRule="auto"/>
        <w:textAlignment w:val="auto"/>
        <w:rPr>
          <w:rFonts w:hint="eastAsia" w:ascii="宋体" w:hAnsi="宋体" w:eastAsia="宋体" w:cs="宋体"/>
          <w:color w:val="auto"/>
          <w:sz w:val="24"/>
          <w:szCs w:val="24"/>
          <w:highlight w:val="none"/>
        </w:rPr>
      </w:pPr>
    </w:p>
    <w:p w14:paraId="584C0EAC">
      <w:pPr>
        <w:tabs>
          <w:tab w:val="left" w:pos="360"/>
          <w:tab w:val="left" w:pos="1800"/>
        </w:tabs>
        <w:wordWrap/>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64A5417C">
      <w:pPr>
        <w:tabs>
          <w:tab w:val="left" w:pos="360"/>
          <w:tab w:val="left" w:pos="1800"/>
        </w:tabs>
        <w:wordWrap/>
        <w:spacing w:line="360" w:lineRule="auto"/>
        <w:ind w:left="45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供应商：（盖章）</w:t>
      </w:r>
    </w:p>
    <w:p w14:paraId="0792C69E">
      <w:pPr>
        <w:tabs>
          <w:tab w:val="left" w:pos="360"/>
          <w:tab w:val="left" w:pos="1800"/>
        </w:tabs>
        <w:wordWrap/>
        <w:spacing w:line="360" w:lineRule="auto"/>
        <w:ind w:left="45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2D0E0AE8">
      <w:pPr>
        <w:tabs>
          <w:tab w:val="left" w:pos="360"/>
          <w:tab w:val="left" w:pos="1800"/>
        </w:tabs>
        <w:wordWrap/>
        <w:spacing w:line="360" w:lineRule="auto"/>
        <w:ind w:firstLine="6000" w:firstLineChars="2500"/>
        <w:textAlignment w:val="auto"/>
        <w:rPr>
          <w:rFonts w:hint="eastAsia" w:ascii="宋体" w:hAnsi="宋体" w:eastAsia="宋体" w:cs="宋体"/>
          <w:bCs/>
          <w:color w:val="auto"/>
          <w:sz w:val="24"/>
          <w:szCs w:val="24"/>
          <w:highlight w:val="none"/>
        </w:rPr>
      </w:pPr>
    </w:p>
    <w:tbl>
      <w:tblPr>
        <w:tblStyle w:val="59"/>
        <w:tblW w:w="6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14:paraId="420DBC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6" w:hRule="atLeast"/>
          <w:jc w:val="center"/>
        </w:trPr>
        <w:tc>
          <w:tcPr>
            <w:tcW w:w="6952" w:type="dxa"/>
            <w:vAlign w:val="top"/>
          </w:tcPr>
          <w:p w14:paraId="72FA3E98">
            <w:pPr>
              <w:tabs>
                <w:tab w:val="left" w:pos="360"/>
                <w:tab w:val="left" w:pos="1800"/>
              </w:tabs>
              <w:wordWrap/>
              <w:spacing w:line="360" w:lineRule="auto"/>
              <w:jc w:val="center"/>
              <w:textAlignment w:val="auto"/>
              <w:rPr>
                <w:rFonts w:hint="eastAsia" w:ascii="宋体" w:hAnsi="宋体" w:eastAsia="宋体" w:cs="宋体"/>
                <w:color w:val="auto"/>
                <w:sz w:val="24"/>
                <w:szCs w:val="24"/>
                <w:highlight w:val="none"/>
              </w:rPr>
            </w:pPr>
          </w:p>
          <w:p w14:paraId="63AAE593">
            <w:pPr>
              <w:tabs>
                <w:tab w:val="left" w:pos="360"/>
                <w:tab w:val="left" w:pos="1800"/>
              </w:tabs>
              <w:wordWrap/>
              <w:spacing w:line="360" w:lineRule="auto"/>
              <w:jc w:val="center"/>
              <w:textAlignment w:val="auto"/>
              <w:rPr>
                <w:rFonts w:hint="eastAsia" w:ascii="宋体" w:hAnsi="宋体" w:eastAsia="宋体" w:cs="宋体"/>
                <w:color w:val="auto"/>
                <w:sz w:val="24"/>
                <w:szCs w:val="24"/>
                <w:highlight w:val="none"/>
              </w:rPr>
            </w:pPr>
          </w:p>
          <w:p w14:paraId="6C0CB166">
            <w:pPr>
              <w:tabs>
                <w:tab w:val="left" w:pos="360"/>
                <w:tab w:val="left" w:pos="1800"/>
              </w:tabs>
              <w:wordWrap/>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法定代表人身份证复印件或扫描件（正、反两面）</w:t>
            </w:r>
          </w:p>
        </w:tc>
      </w:tr>
    </w:tbl>
    <w:p w14:paraId="24664171">
      <w:pPr>
        <w:tabs>
          <w:tab w:val="left" w:pos="360"/>
          <w:tab w:val="left" w:pos="1800"/>
        </w:tabs>
        <w:wordWrap/>
        <w:spacing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注：法定代表人身份证复印件或扫描件应反映出证件有效期等所载内容。</w:t>
      </w:r>
    </w:p>
    <w:p w14:paraId="0BECBFBD">
      <w:pPr>
        <w:tabs>
          <w:tab w:val="left" w:pos="360"/>
          <w:tab w:val="left" w:pos="1800"/>
        </w:tabs>
        <w:wordWrap/>
        <w:spacing w:line="360" w:lineRule="auto"/>
        <w:ind w:left="1980" w:firstLine="1080"/>
        <w:textAlignment w:val="auto"/>
        <w:rPr>
          <w:rFonts w:hint="eastAsia" w:ascii="宋体" w:hAnsi="宋体" w:eastAsia="宋体" w:cs="宋体"/>
          <w:bCs/>
          <w:color w:val="auto"/>
          <w:sz w:val="24"/>
          <w:szCs w:val="24"/>
          <w:highlight w:val="none"/>
        </w:rPr>
      </w:pPr>
    </w:p>
    <w:p w14:paraId="0599C71B">
      <w:pPr>
        <w:tabs>
          <w:tab w:val="left" w:pos="360"/>
          <w:tab w:val="left" w:pos="1800"/>
        </w:tabs>
        <w:wordWrap/>
        <w:spacing w:line="360" w:lineRule="auto"/>
        <w:textAlignment w:val="auto"/>
        <w:rPr>
          <w:rFonts w:hint="eastAsia" w:ascii="宋体" w:hAnsi="宋体" w:eastAsia="宋体" w:cs="宋体"/>
          <w:bCs/>
          <w:color w:val="auto"/>
          <w:sz w:val="24"/>
          <w:szCs w:val="24"/>
          <w:highlight w:val="none"/>
        </w:rPr>
      </w:pPr>
    </w:p>
    <w:p w14:paraId="24C2E736">
      <w:pPr>
        <w:tabs>
          <w:tab w:val="left" w:pos="360"/>
          <w:tab w:val="left" w:pos="1800"/>
        </w:tabs>
        <w:wordWrap/>
        <w:spacing w:line="360" w:lineRule="auto"/>
        <w:textAlignment w:val="auto"/>
        <w:rPr>
          <w:rFonts w:hint="eastAsia" w:ascii="宋体" w:hAnsi="宋体" w:eastAsia="宋体" w:cs="宋体"/>
          <w:bCs/>
          <w:color w:val="auto"/>
          <w:sz w:val="24"/>
          <w:szCs w:val="24"/>
          <w:highlight w:val="none"/>
        </w:rPr>
      </w:pPr>
    </w:p>
    <w:p w14:paraId="1C080CFF">
      <w:pPr>
        <w:pStyle w:val="5"/>
        <w:rPr>
          <w:rFonts w:hint="eastAsia"/>
          <w:color w:val="auto"/>
          <w:highlight w:val="none"/>
        </w:rPr>
      </w:pPr>
    </w:p>
    <w:p w14:paraId="620C842D">
      <w:pPr>
        <w:tabs>
          <w:tab w:val="left" w:pos="360"/>
          <w:tab w:val="left" w:pos="1800"/>
        </w:tabs>
        <w:wordWrap/>
        <w:spacing w:line="360" w:lineRule="auto"/>
        <w:textAlignment w:val="auto"/>
        <w:rPr>
          <w:rFonts w:hint="eastAsia" w:ascii="宋体" w:hAnsi="宋体" w:eastAsia="宋体" w:cs="宋体"/>
          <w:bCs/>
          <w:color w:val="auto"/>
          <w:sz w:val="24"/>
          <w:szCs w:val="24"/>
          <w:highlight w:val="none"/>
        </w:rPr>
      </w:pPr>
    </w:p>
    <w:p w14:paraId="12D00AF5">
      <w:pPr>
        <w:pStyle w:val="4"/>
        <w:wordWrap/>
        <w:spacing w:before="0" w:after="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格式3  法定代表人授权委托书</w:t>
      </w:r>
    </w:p>
    <w:p w14:paraId="7B5A7490">
      <w:pPr>
        <w:tabs>
          <w:tab w:val="left" w:pos="360"/>
          <w:tab w:val="left" w:pos="1800"/>
        </w:tabs>
        <w:wordWrap/>
        <w:spacing w:line="360" w:lineRule="auto"/>
        <w:jc w:val="center"/>
        <w:textAlignment w:val="auto"/>
        <w:rPr>
          <w:rFonts w:hint="eastAsia" w:ascii="宋体" w:hAnsi="宋体" w:eastAsia="宋体" w:cs="宋体"/>
          <w:b/>
          <w:bCs/>
          <w:color w:val="auto"/>
          <w:sz w:val="24"/>
          <w:szCs w:val="24"/>
          <w:highlight w:val="none"/>
        </w:rPr>
      </w:pPr>
    </w:p>
    <w:p w14:paraId="2F56CAD7">
      <w:pPr>
        <w:tabs>
          <w:tab w:val="left" w:pos="360"/>
          <w:tab w:val="left" w:pos="1800"/>
        </w:tabs>
        <w:wordWrap/>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本授权委托书声明：我</w:t>
      </w:r>
      <w:r>
        <w:rPr>
          <w:rFonts w:hint="eastAsia" w:ascii="宋体" w:hAnsi="宋体" w:eastAsia="宋体" w:cs="宋体"/>
          <w:color w:val="auto"/>
          <w:sz w:val="24"/>
          <w:szCs w:val="24"/>
          <w:highlight w:val="none"/>
          <w:u w:val="single"/>
        </w:rPr>
        <w:t xml:space="preserve">（姓名）      系（供应商名称）              </w:t>
      </w:r>
      <w:r>
        <w:rPr>
          <w:rFonts w:hint="eastAsia" w:ascii="宋体" w:hAnsi="宋体" w:eastAsia="宋体" w:cs="宋体"/>
          <w:color w:val="auto"/>
          <w:sz w:val="24"/>
          <w:szCs w:val="24"/>
          <w:highlight w:val="none"/>
        </w:rPr>
        <w:t>的法定代表人，现授权委托</w:t>
      </w:r>
      <w:r>
        <w:rPr>
          <w:rFonts w:hint="eastAsia" w:ascii="宋体" w:hAnsi="宋体" w:eastAsia="宋体" w:cs="宋体"/>
          <w:color w:val="auto"/>
          <w:sz w:val="24"/>
          <w:szCs w:val="24"/>
          <w:highlight w:val="none"/>
          <w:u w:val="single"/>
        </w:rPr>
        <w:t xml:space="preserve">（单位名称）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（姓名）       </w:t>
      </w:r>
      <w:r>
        <w:rPr>
          <w:rFonts w:hint="eastAsia" w:ascii="宋体" w:hAnsi="宋体" w:eastAsia="宋体" w:cs="宋体"/>
          <w:color w:val="auto"/>
          <w:sz w:val="24"/>
          <w:szCs w:val="24"/>
          <w:highlight w:val="none"/>
        </w:rPr>
        <w:t>，其身份证号为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，为我公司代理人，以本公司的名义参加</w:t>
      </w:r>
      <w:r>
        <w:rPr>
          <w:rFonts w:hint="eastAsia" w:ascii="宋体" w:hAnsi="宋体" w:eastAsia="宋体" w:cs="宋体"/>
          <w:color w:val="auto"/>
          <w:sz w:val="24"/>
          <w:szCs w:val="24"/>
          <w:highlight w:val="none"/>
          <w:u w:val="single"/>
        </w:rPr>
        <w:t xml:space="preserve">（采购人）          （采购项目名称）             </w:t>
      </w:r>
      <w:r>
        <w:rPr>
          <w:rFonts w:hint="eastAsia" w:ascii="宋体" w:hAnsi="宋体" w:eastAsia="宋体" w:cs="宋体"/>
          <w:color w:val="auto"/>
          <w:sz w:val="24"/>
          <w:szCs w:val="24"/>
          <w:highlight w:val="none"/>
        </w:rPr>
        <w:t>项目的投标活动。</w:t>
      </w:r>
    </w:p>
    <w:p w14:paraId="65A285F0">
      <w:pPr>
        <w:tabs>
          <w:tab w:val="left" w:pos="360"/>
          <w:tab w:val="left" w:pos="1800"/>
        </w:tabs>
        <w:wordWrap/>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代理人在磋商、评标、合同谈判过程中所签署的一切文件和处理与之有关的一切事务，我均予以承认。</w:t>
      </w:r>
    </w:p>
    <w:p w14:paraId="6C939288">
      <w:pPr>
        <w:tabs>
          <w:tab w:val="left" w:pos="360"/>
          <w:tab w:val="left" w:pos="1800"/>
        </w:tabs>
        <w:wordWrap/>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本授权委托书期限自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日起至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日止。</w:t>
      </w:r>
    </w:p>
    <w:p w14:paraId="2D8A780D">
      <w:pPr>
        <w:tabs>
          <w:tab w:val="left" w:pos="360"/>
          <w:tab w:val="left" w:pos="1800"/>
        </w:tabs>
        <w:wordWrap/>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委托代理人无转委权。特此委托。</w:t>
      </w:r>
    </w:p>
    <w:p w14:paraId="0EB33C63">
      <w:pPr>
        <w:tabs>
          <w:tab w:val="left" w:pos="360"/>
          <w:tab w:val="left" w:pos="1800"/>
        </w:tabs>
        <w:wordWrap/>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            性别：           年龄：</w:t>
      </w:r>
    </w:p>
    <w:p w14:paraId="2D46BD76">
      <w:pPr>
        <w:tabs>
          <w:tab w:val="left" w:pos="360"/>
          <w:tab w:val="left" w:pos="1800"/>
        </w:tabs>
        <w:wordWrap/>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                  部门：           职务：</w:t>
      </w:r>
    </w:p>
    <w:p w14:paraId="118AC113">
      <w:pPr>
        <w:tabs>
          <w:tab w:val="left" w:pos="360"/>
          <w:tab w:val="left" w:pos="1800"/>
        </w:tabs>
        <w:wordWrap/>
        <w:spacing w:line="360" w:lineRule="auto"/>
        <w:ind w:firstLine="36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供应商：（盖章）</w:t>
      </w:r>
    </w:p>
    <w:p w14:paraId="34958641">
      <w:pPr>
        <w:tabs>
          <w:tab w:val="left" w:pos="360"/>
          <w:tab w:val="left" w:pos="1800"/>
        </w:tabs>
        <w:wordWrap/>
        <w:spacing w:line="360" w:lineRule="auto"/>
        <w:ind w:firstLine="36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p>
    <w:p w14:paraId="5EA5A9A5">
      <w:pPr>
        <w:tabs>
          <w:tab w:val="left" w:pos="360"/>
          <w:tab w:val="left" w:pos="1800"/>
        </w:tabs>
        <w:wordWrap/>
        <w:spacing w:line="360" w:lineRule="auto"/>
        <w:ind w:firstLine="36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委托代理人：（签字或盖章）</w:t>
      </w:r>
    </w:p>
    <w:p w14:paraId="07D7135E">
      <w:pPr>
        <w:tabs>
          <w:tab w:val="left" w:pos="360"/>
          <w:tab w:val="left" w:pos="1800"/>
        </w:tabs>
        <w:wordWrap/>
        <w:spacing w:line="360" w:lineRule="auto"/>
        <w:ind w:firstLine="36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532A4ADB">
      <w:pPr>
        <w:tabs>
          <w:tab w:val="left" w:pos="360"/>
          <w:tab w:val="left" w:pos="1800"/>
        </w:tabs>
        <w:wordWrap/>
        <w:spacing w:line="360" w:lineRule="auto"/>
        <w:ind w:firstLine="3600"/>
        <w:textAlignment w:val="auto"/>
        <w:rPr>
          <w:rFonts w:hint="eastAsia" w:ascii="宋体" w:hAnsi="宋体" w:eastAsia="宋体" w:cs="宋体"/>
          <w:color w:val="auto"/>
          <w:sz w:val="24"/>
          <w:szCs w:val="24"/>
          <w:highlight w:val="none"/>
        </w:rPr>
      </w:pPr>
    </w:p>
    <w:tbl>
      <w:tblPr>
        <w:tblStyle w:val="59"/>
        <w:tblW w:w="6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14:paraId="522E22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9" w:hRule="atLeast"/>
          <w:jc w:val="center"/>
        </w:trPr>
        <w:tc>
          <w:tcPr>
            <w:tcW w:w="6952" w:type="dxa"/>
            <w:vAlign w:val="top"/>
          </w:tcPr>
          <w:p w14:paraId="771961D0">
            <w:pPr>
              <w:tabs>
                <w:tab w:val="left" w:pos="360"/>
                <w:tab w:val="left" w:pos="1800"/>
              </w:tabs>
              <w:wordWrap/>
              <w:spacing w:line="360" w:lineRule="auto"/>
              <w:jc w:val="center"/>
              <w:textAlignment w:val="auto"/>
              <w:rPr>
                <w:rFonts w:hint="eastAsia" w:ascii="宋体" w:hAnsi="宋体" w:eastAsia="宋体" w:cs="宋体"/>
                <w:color w:val="auto"/>
                <w:sz w:val="24"/>
                <w:szCs w:val="24"/>
                <w:highlight w:val="none"/>
              </w:rPr>
            </w:pPr>
          </w:p>
          <w:p w14:paraId="7E4410C5">
            <w:pPr>
              <w:tabs>
                <w:tab w:val="left" w:pos="360"/>
                <w:tab w:val="left" w:pos="1800"/>
              </w:tabs>
              <w:wordWrap/>
              <w:spacing w:line="360" w:lineRule="auto"/>
              <w:jc w:val="center"/>
              <w:textAlignment w:val="auto"/>
              <w:rPr>
                <w:rFonts w:hint="eastAsia" w:ascii="宋体" w:hAnsi="宋体" w:eastAsia="宋体" w:cs="宋体"/>
                <w:color w:val="auto"/>
                <w:sz w:val="24"/>
                <w:szCs w:val="24"/>
                <w:highlight w:val="none"/>
              </w:rPr>
            </w:pPr>
          </w:p>
          <w:p w14:paraId="6D1886D9">
            <w:pPr>
              <w:tabs>
                <w:tab w:val="left" w:pos="360"/>
                <w:tab w:val="left" w:pos="1800"/>
              </w:tabs>
              <w:wordWrap/>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委托代理人身份证复印件或扫描件（正、反两面）</w:t>
            </w:r>
          </w:p>
        </w:tc>
      </w:tr>
    </w:tbl>
    <w:p w14:paraId="303A718A">
      <w:pPr>
        <w:tabs>
          <w:tab w:val="left" w:pos="360"/>
          <w:tab w:val="left" w:pos="1800"/>
        </w:tabs>
        <w:wordWrap/>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注：委托代理人身份证复印件或扫描件应反映出证件有效期等所载内容，</w:t>
      </w:r>
      <w:r>
        <w:rPr>
          <w:rFonts w:hint="eastAsia" w:ascii="宋体" w:hAnsi="宋体" w:eastAsia="宋体" w:cs="宋体"/>
          <w:b/>
          <w:color w:val="auto"/>
          <w:sz w:val="24"/>
          <w:szCs w:val="24"/>
          <w:highlight w:val="none"/>
        </w:rPr>
        <w:t>作为本</w:t>
      </w:r>
      <w:r>
        <w:rPr>
          <w:rFonts w:hint="eastAsia" w:ascii="宋体" w:hAnsi="宋体" w:eastAsia="宋体" w:cs="宋体"/>
          <w:b/>
          <w:bCs/>
          <w:color w:val="auto"/>
          <w:sz w:val="24"/>
          <w:szCs w:val="24"/>
          <w:highlight w:val="none"/>
        </w:rPr>
        <w:t>法定代表人授权书的附件。</w:t>
      </w:r>
    </w:p>
    <w:p w14:paraId="07EC981F">
      <w:pPr>
        <w:keepNext/>
        <w:keepLines/>
        <w:widowControl w:val="0"/>
        <w:wordWrap/>
        <w:adjustRightInd/>
        <w:snapToGrid/>
        <w:spacing w:line="416" w:lineRule="auto"/>
        <w:textAlignment w:val="auto"/>
        <w:outlineLvl w:val="9"/>
        <w:rPr>
          <w:rFonts w:hint="eastAsia"/>
          <w:color w:val="auto"/>
          <w:highlight w:val="none"/>
        </w:rPr>
      </w:pPr>
    </w:p>
    <w:p w14:paraId="697FD40F">
      <w:pPr>
        <w:wordWrap/>
        <w:spacing w:line="360" w:lineRule="auto"/>
        <w:ind w:firstLine="573"/>
        <w:jc w:val="center"/>
        <w:textAlignment w:val="auto"/>
        <w:rPr>
          <w:rFonts w:hint="eastAsia" w:ascii="宋体" w:hAnsi="宋体" w:eastAsia="宋体" w:cs="宋体"/>
          <w:b/>
          <w:bCs/>
          <w:color w:val="auto"/>
          <w:sz w:val="24"/>
          <w:szCs w:val="24"/>
          <w:highlight w:val="none"/>
        </w:rPr>
      </w:pPr>
    </w:p>
    <w:p w14:paraId="71F0384D">
      <w:pPr>
        <w:pStyle w:val="33"/>
        <w:wordWrap/>
        <w:spacing w:line="360" w:lineRule="auto"/>
        <w:ind w:right="840"/>
        <w:jc w:val="center"/>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格式4   供应商基本情况表</w:t>
      </w:r>
    </w:p>
    <w:tbl>
      <w:tblPr>
        <w:tblStyle w:val="59"/>
        <w:tblW w:w="9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2"/>
        <w:gridCol w:w="233"/>
        <w:gridCol w:w="1207"/>
        <w:gridCol w:w="1615"/>
        <w:gridCol w:w="1874"/>
        <w:gridCol w:w="1393"/>
        <w:gridCol w:w="1676"/>
      </w:tblGrid>
      <w:tr w14:paraId="1D38E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802" w:type="dxa"/>
            <w:vAlign w:val="center"/>
          </w:tcPr>
          <w:p w14:paraId="576EDD6F">
            <w:pPr>
              <w:wordWrap/>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供应商名称</w:t>
            </w:r>
          </w:p>
        </w:tc>
        <w:tc>
          <w:tcPr>
            <w:tcW w:w="7998" w:type="dxa"/>
            <w:gridSpan w:val="6"/>
            <w:vAlign w:val="center"/>
          </w:tcPr>
          <w:p w14:paraId="0F03B47A">
            <w:pPr>
              <w:wordWrap/>
              <w:spacing w:line="360" w:lineRule="auto"/>
              <w:textAlignment w:val="auto"/>
              <w:rPr>
                <w:rFonts w:hint="eastAsia" w:ascii="宋体" w:hAnsi="宋体" w:eastAsia="宋体" w:cs="宋体"/>
                <w:bCs/>
                <w:color w:val="auto"/>
                <w:sz w:val="24"/>
                <w:szCs w:val="24"/>
                <w:highlight w:val="none"/>
              </w:rPr>
            </w:pPr>
          </w:p>
        </w:tc>
      </w:tr>
      <w:tr w14:paraId="406C7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802" w:type="dxa"/>
            <w:vAlign w:val="center"/>
          </w:tcPr>
          <w:p w14:paraId="2B1134AF">
            <w:pPr>
              <w:wordWrap/>
              <w:spacing w:line="360" w:lineRule="auto"/>
              <w:ind w:firstLine="240" w:firstLineChars="1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 址</w:t>
            </w:r>
          </w:p>
        </w:tc>
        <w:tc>
          <w:tcPr>
            <w:tcW w:w="7998" w:type="dxa"/>
            <w:gridSpan w:val="6"/>
            <w:vAlign w:val="center"/>
          </w:tcPr>
          <w:p w14:paraId="63584B18">
            <w:pPr>
              <w:wordWrap/>
              <w:spacing w:line="360" w:lineRule="auto"/>
              <w:textAlignment w:val="auto"/>
              <w:rPr>
                <w:rFonts w:hint="eastAsia" w:ascii="宋体" w:hAnsi="宋体" w:eastAsia="宋体" w:cs="宋体"/>
                <w:bCs/>
                <w:color w:val="auto"/>
                <w:sz w:val="24"/>
                <w:szCs w:val="24"/>
                <w:highlight w:val="none"/>
              </w:rPr>
            </w:pPr>
          </w:p>
        </w:tc>
      </w:tr>
      <w:tr w14:paraId="399AD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2" w:type="dxa"/>
            <w:vAlign w:val="center"/>
          </w:tcPr>
          <w:p w14:paraId="141C037C">
            <w:pPr>
              <w:wordWrap/>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主管部门</w:t>
            </w:r>
          </w:p>
        </w:tc>
        <w:tc>
          <w:tcPr>
            <w:tcW w:w="1440" w:type="dxa"/>
            <w:gridSpan w:val="2"/>
            <w:vAlign w:val="center"/>
          </w:tcPr>
          <w:p w14:paraId="525F7710">
            <w:pPr>
              <w:wordWrap/>
              <w:spacing w:line="360" w:lineRule="auto"/>
              <w:textAlignment w:val="auto"/>
              <w:rPr>
                <w:rFonts w:hint="eastAsia" w:ascii="宋体" w:hAnsi="宋体" w:eastAsia="宋体" w:cs="宋体"/>
                <w:bCs/>
                <w:color w:val="auto"/>
                <w:sz w:val="24"/>
                <w:szCs w:val="24"/>
                <w:highlight w:val="none"/>
              </w:rPr>
            </w:pPr>
          </w:p>
        </w:tc>
        <w:tc>
          <w:tcPr>
            <w:tcW w:w="1615" w:type="dxa"/>
            <w:vAlign w:val="center"/>
          </w:tcPr>
          <w:p w14:paraId="72D62BA3">
            <w:pPr>
              <w:wordWrap/>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法定代表人</w:t>
            </w:r>
          </w:p>
        </w:tc>
        <w:tc>
          <w:tcPr>
            <w:tcW w:w="1874" w:type="dxa"/>
            <w:vAlign w:val="center"/>
          </w:tcPr>
          <w:p w14:paraId="2CBE769C">
            <w:pPr>
              <w:wordWrap/>
              <w:spacing w:line="360" w:lineRule="auto"/>
              <w:textAlignment w:val="auto"/>
              <w:rPr>
                <w:rFonts w:hint="eastAsia" w:ascii="宋体" w:hAnsi="宋体" w:eastAsia="宋体" w:cs="宋体"/>
                <w:bCs/>
                <w:color w:val="auto"/>
                <w:sz w:val="24"/>
                <w:szCs w:val="24"/>
                <w:highlight w:val="none"/>
              </w:rPr>
            </w:pPr>
          </w:p>
        </w:tc>
        <w:tc>
          <w:tcPr>
            <w:tcW w:w="1393" w:type="dxa"/>
            <w:vAlign w:val="center"/>
          </w:tcPr>
          <w:p w14:paraId="1D2284D8">
            <w:pPr>
              <w:wordWrap/>
              <w:spacing w:line="360" w:lineRule="auto"/>
              <w:ind w:firstLine="240" w:firstLineChars="1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职 务</w:t>
            </w:r>
          </w:p>
        </w:tc>
        <w:tc>
          <w:tcPr>
            <w:tcW w:w="1676" w:type="dxa"/>
            <w:vAlign w:val="top"/>
          </w:tcPr>
          <w:p w14:paraId="5BB5DA7A">
            <w:pPr>
              <w:wordWrap/>
              <w:spacing w:line="360" w:lineRule="auto"/>
              <w:textAlignment w:val="auto"/>
              <w:rPr>
                <w:rFonts w:hint="eastAsia" w:ascii="宋体" w:hAnsi="宋体" w:eastAsia="宋体" w:cs="宋体"/>
                <w:bCs/>
                <w:color w:val="auto"/>
                <w:sz w:val="24"/>
                <w:szCs w:val="24"/>
                <w:highlight w:val="none"/>
              </w:rPr>
            </w:pPr>
          </w:p>
        </w:tc>
      </w:tr>
      <w:tr w14:paraId="134A5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802" w:type="dxa"/>
            <w:vAlign w:val="center"/>
          </w:tcPr>
          <w:p w14:paraId="60CB0F72">
            <w:pPr>
              <w:wordWrap/>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注册时间</w:t>
            </w:r>
          </w:p>
        </w:tc>
        <w:tc>
          <w:tcPr>
            <w:tcW w:w="3055" w:type="dxa"/>
            <w:gridSpan w:val="3"/>
            <w:vAlign w:val="top"/>
          </w:tcPr>
          <w:p w14:paraId="5D904808">
            <w:pPr>
              <w:wordWrap/>
              <w:spacing w:line="360" w:lineRule="auto"/>
              <w:textAlignment w:val="auto"/>
              <w:rPr>
                <w:rFonts w:hint="eastAsia" w:ascii="宋体" w:hAnsi="宋体" w:eastAsia="宋体" w:cs="宋体"/>
                <w:bCs/>
                <w:color w:val="auto"/>
                <w:sz w:val="24"/>
                <w:szCs w:val="24"/>
                <w:highlight w:val="none"/>
              </w:rPr>
            </w:pPr>
          </w:p>
        </w:tc>
        <w:tc>
          <w:tcPr>
            <w:tcW w:w="1874" w:type="dxa"/>
            <w:vAlign w:val="top"/>
          </w:tcPr>
          <w:p w14:paraId="1D8615E8">
            <w:pPr>
              <w:wordWrap/>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经济类型</w:t>
            </w:r>
          </w:p>
        </w:tc>
        <w:tc>
          <w:tcPr>
            <w:tcW w:w="3069" w:type="dxa"/>
            <w:gridSpan w:val="2"/>
            <w:vAlign w:val="top"/>
          </w:tcPr>
          <w:p w14:paraId="468275F6">
            <w:pPr>
              <w:wordWrap/>
              <w:spacing w:line="360" w:lineRule="auto"/>
              <w:textAlignment w:val="auto"/>
              <w:rPr>
                <w:rFonts w:hint="eastAsia" w:ascii="宋体" w:hAnsi="宋体" w:eastAsia="宋体" w:cs="宋体"/>
                <w:bCs/>
                <w:color w:val="auto"/>
                <w:sz w:val="24"/>
                <w:szCs w:val="24"/>
                <w:highlight w:val="none"/>
              </w:rPr>
            </w:pPr>
          </w:p>
        </w:tc>
      </w:tr>
      <w:tr w14:paraId="1DDEE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857" w:type="dxa"/>
            <w:gridSpan w:val="4"/>
            <w:vAlign w:val="center"/>
          </w:tcPr>
          <w:p w14:paraId="6461B717">
            <w:pPr>
              <w:wordWrap/>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营业执照号</w:t>
            </w:r>
          </w:p>
        </w:tc>
        <w:tc>
          <w:tcPr>
            <w:tcW w:w="4943" w:type="dxa"/>
            <w:gridSpan w:val="3"/>
            <w:vAlign w:val="center"/>
          </w:tcPr>
          <w:p w14:paraId="3A098515">
            <w:pPr>
              <w:wordWrap/>
              <w:spacing w:line="360" w:lineRule="auto"/>
              <w:textAlignment w:val="auto"/>
              <w:rPr>
                <w:rFonts w:hint="eastAsia" w:ascii="宋体" w:hAnsi="宋体" w:eastAsia="宋体" w:cs="宋体"/>
                <w:bCs/>
                <w:color w:val="auto"/>
                <w:sz w:val="24"/>
                <w:szCs w:val="24"/>
                <w:highlight w:val="none"/>
              </w:rPr>
            </w:pPr>
          </w:p>
        </w:tc>
      </w:tr>
      <w:tr w14:paraId="6807F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4857" w:type="dxa"/>
            <w:gridSpan w:val="4"/>
            <w:vAlign w:val="center"/>
          </w:tcPr>
          <w:p w14:paraId="1928619A">
            <w:pPr>
              <w:wordWrap/>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近</w:t>
            </w:r>
            <w:r>
              <w:rPr>
                <w:rFonts w:hint="eastAsia" w:ascii="宋体" w:hAnsi="宋体" w:cs="宋体"/>
                <w:bCs/>
                <w:color w:val="auto"/>
                <w:sz w:val="24"/>
                <w:szCs w:val="24"/>
                <w:highlight w:val="none"/>
                <w:lang w:val="en-US" w:eastAsia="zh-CN"/>
              </w:rPr>
              <w:t>三</w:t>
            </w:r>
            <w:r>
              <w:rPr>
                <w:rFonts w:hint="eastAsia" w:ascii="宋体" w:hAnsi="宋体" w:eastAsia="宋体" w:cs="宋体"/>
                <w:bCs/>
                <w:color w:val="auto"/>
                <w:sz w:val="24"/>
                <w:szCs w:val="24"/>
                <w:highlight w:val="none"/>
              </w:rPr>
              <w:t>年内（20</w:t>
            </w:r>
            <w:r>
              <w:rPr>
                <w:rFonts w:hint="eastAsia" w:ascii="宋体" w:hAnsi="宋体" w:cs="宋体"/>
                <w:bCs/>
                <w:color w:val="auto"/>
                <w:sz w:val="24"/>
                <w:szCs w:val="24"/>
                <w:highlight w:val="none"/>
                <w:lang w:val="en-US" w:eastAsia="zh-CN"/>
              </w:rPr>
              <w:t>22</w:t>
            </w:r>
            <w:r>
              <w:rPr>
                <w:rFonts w:hint="eastAsia" w:ascii="宋体" w:hAnsi="宋体" w:eastAsia="宋体" w:cs="宋体"/>
                <w:bCs/>
                <w:color w:val="auto"/>
                <w:sz w:val="24"/>
                <w:szCs w:val="24"/>
                <w:highlight w:val="none"/>
              </w:rPr>
              <w:t>年至20</w:t>
            </w:r>
            <w:r>
              <w:rPr>
                <w:rFonts w:hint="eastAsia" w:ascii="宋体" w:hAnsi="宋体" w:eastAsia="宋体" w:cs="宋体"/>
                <w:bCs/>
                <w:color w:val="auto"/>
                <w:sz w:val="24"/>
                <w:szCs w:val="24"/>
                <w:highlight w:val="none"/>
                <w:lang w:val="en-US" w:eastAsia="zh-CN"/>
              </w:rPr>
              <w:t>2</w:t>
            </w:r>
            <w:r>
              <w:rPr>
                <w:rFonts w:hint="eastAsia" w:ascii="宋体" w:hAnsi="宋体" w:cs="宋体"/>
                <w:bCs/>
                <w:color w:val="auto"/>
                <w:sz w:val="24"/>
                <w:szCs w:val="24"/>
                <w:highlight w:val="none"/>
                <w:lang w:val="en-US" w:eastAsia="zh-CN"/>
              </w:rPr>
              <w:t>4</w:t>
            </w:r>
            <w:r>
              <w:rPr>
                <w:rFonts w:hint="eastAsia" w:ascii="宋体" w:hAnsi="宋体" w:eastAsia="宋体" w:cs="宋体"/>
                <w:bCs/>
                <w:color w:val="auto"/>
                <w:sz w:val="24"/>
                <w:szCs w:val="24"/>
                <w:highlight w:val="none"/>
              </w:rPr>
              <w:t>年）经营活动中有无重大违法</w:t>
            </w:r>
            <w:r>
              <w:rPr>
                <w:rFonts w:hint="eastAsia" w:ascii="宋体" w:hAnsi="宋体" w:cs="宋体"/>
                <w:bCs/>
                <w:color w:val="auto"/>
                <w:sz w:val="24"/>
                <w:szCs w:val="24"/>
                <w:highlight w:val="none"/>
                <w:lang w:eastAsia="zh-CN"/>
              </w:rPr>
              <w:t>记</w:t>
            </w:r>
            <w:r>
              <w:rPr>
                <w:rFonts w:hint="eastAsia" w:ascii="宋体" w:hAnsi="宋体" w:eastAsia="宋体" w:cs="宋体"/>
                <w:bCs/>
                <w:color w:val="auto"/>
                <w:sz w:val="24"/>
                <w:szCs w:val="24"/>
                <w:highlight w:val="none"/>
              </w:rPr>
              <w:t>录</w:t>
            </w:r>
          </w:p>
        </w:tc>
        <w:tc>
          <w:tcPr>
            <w:tcW w:w="4943" w:type="dxa"/>
            <w:gridSpan w:val="3"/>
            <w:vAlign w:val="center"/>
          </w:tcPr>
          <w:p w14:paraId="6A6969BC">
            <w:pPr>
              <w:wordWrap/>
              <w:spacing w:line="360" w:lineRule="auto"/>
              <w:textAlignment w:val="auto"/>
              <w:rPr>
                <w:rFonts w:hint="eastAsia" w:ascii="宋体" w:hAnsi="宋体" w:eastAsia="宋体" w:cs="宋体"/>
                <w:bCs/>
                <w:color w:val="auto"/>
                <w:sz w:val="24"/>
                <w:szCs w:val="24"/>
                <w:highlight w:val="none"/>
              </w:rPr>
            </w:pPr>
          </w:p>
        </w:tc>
      </w:tr>
      <w:tr w14:paraId="68264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2035" w:type="dxa"/>
            <w:gridSpan w:val="2"/>
            <w:vAlign w:val="center"/>
          </w:tcPr>
          <w:p w14:paraId="47DAA207">
            <w:pPr>
              <w:wordWrap/>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是否依法缴纳税收</w:t>
            </w:r>
          </w:p>
        </w:tc>
        <w:tc>
          <w:tcPr>
            <w:tcW w:w="2822" w:type="dxa"/>
            <w:gridSpan w:val="2"/>
            <w:vAlign w:val="top"/>
          </w:tcPr>
          <w:p w14:paraId="5FC3E075">
            <w:pPr>
              <w:wordWrap/>
              <w:spacing w:line="360" w:lineRule="auto"/>
              <w:textAlignment w:val="auto"/>
              <w:rPr>
                <w:rFonts w:hint="eastAsia" w:ascii="宋体" w:hAnsi="宋体" w:eastAsia="宋体" w:cs="宋体"/>
                <w:bCs/>
                <w:color w:val="auto"/>
                <w:sz w:val="24"/>
                <w:szCs w:val="24"/>
                <w:highlight w:val="none"/>
              </w:rPr>
            </w:pPr>
          </w:p>
        </w:tc>
        <w:tc>
          <w:tcPr>
            <w:tcW w:w="1874" w:type="dxa"/>
            <w:vAlign w:val="top"/>
          </w:tcPr>
          <w:p w14:paraId="4C720502">
            <w:pPr>
              <w:wordWrap/>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是否依法缴纳社会保障资金</w:t>
            </w:r>
          </w:p>
        </w:tc>
        <w:tc>
          <w:tcPr>
            <w:tcW w:w="3069" w:type="dxa"/>
            <w:gridSpan w:val="2"/>
            <w:vAlign w:val="top"/>
          </w:tcPr>
          <w:p w14:paraId="369AC4DD">
            <w:pPr>
              <w:wordWrap/>
              <w:spacing w:line="360" w:lineRule="auto"/>
              <w:textAlignment w:val="auto"/>
              <w:rPr>
                <w:rFonts w:hint="eastAsia" w:ascii="宋体" w:hAnsi="宋体" w:eastAsia="宋体" w:cs="宋体"/>
                <w:bCs/>
                <w:color w:val="auto"/>
                <w:sz w:val="24"/>
                <w:szCs w:val="24"/>
                <w:highlight w:val="none"/>
              </w:rPr>
            </w:pPr>
          </w:p>
        </w:tc>
      </w:tr>
      <w:tr w14:paraId="65AEF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35" w:type="dxa"/>
            <w:gridSpan w:val="2"/>
            <w:vMerge w:val="restart"/>
            <w:vAlign w:val="top"/>
          </w:tcPr>
          <w:p w14:paraId="33F2E03F">
            <w:pPr>
              <w:wordWrap/>
              <w:spacing w:line="36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单</w:t>
            </w:r>
          </w:p>
          <w:p w14:paraId="61155A7D">
            <w:pPr>
              <w:wordWrap/>
              <w:spacing w:line="36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位</w:t>
            </w:r>
          </w:p>
          <w:p w14:paraId="0E0DC989">
            <w:pPr>
              <w:wordWrap/>
              <w:spacing w:line="36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概</w:t>
            </w:r>
          </w:p>
          <w:p w14:paraId="0EAC8CC1">
            <w:pPr>
              <w:wordWrap/>
              <w:spacing w:line="36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况</w:t>
            </w:r>
          </w:p>
        </w:tc>
        <w:tc>
          <w:tcPr>
            <w:tcW w:w="1207" w:type="dxa"/>
            <w:vAlign w:val="center"/>
          </w:tcPr>
          <w:p w14:paraId="290A5DE4">
            <w:pPr>
              <w:wordWrap/>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注册资本</w:t>
            </w:r>
          </w:p>
        </w:tc>
        <w:tc>
          <w:tcPr>
            <w:tcW w:w="1615" w:type="dxa"/>
            <w:vAlign w:val="top"/>
          </w:tcPr>
          <w:p w14:paraId="3AD95AF1">
            <w:pPr>
              <w:wordWrap/>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万元</w:t>
            </w:r>
          </w:p>
        </w:tc>
        <w:tc>
          <w:tcPr>
            <w:tcW w:w="1874" w:type="dxa"/>
            <w:vAlign w:val="top"/>
          </w:tcPr>
          <w:p w14:paraId="12B82F09">
            <w:pPr>
              <w:wordWrap/>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占地面积</w:t>
            </w:r>
          </w:p>
        </w:tc>
        <w:tc>
          <w:tcPr>
            <w:tcW w:w="3069" w:type="dxa"/>
            <w:gridSpan w:val="2"/>
            <w:vAlign w:val="top"/>
          </w:tcPr>
          <w:p w14:paraId="4F5147B2">
            <w:pPr>
              <w:wordWrap/>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平方米</w:t>
            </w:r>
          </w:p>
        </w:tc>
      </w:tr>
      <w:tr w14:paraId="72B98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35" w:type="dxa"/>
            <w:gridSpan w:val="2"/>
            <w:vMerge w:val="continue"/>
            <w:vAlign w:val="top"/>
          </w:tcPr>
          <w:p w14:paraId="59BC6C44">
            <w:pPr>
              <w:wordWrap/>
              <w:spacing w:line="360" w:lineRule="auto"/>
              <w:textAlignment w:val="auto"/>
              <w:rPr>
                <w:rFonts w:hint="eastAsia" w:ascii="宋体" w:hAnsi="宋体" w:eastAsia="宋体" w:cs="宋体"/>
                <w:bCs/>
                <w:color w:val="auto"/>
                <w:sz w:val="24"/>
                <w:szCs w:val="24"/>
                <w:highlight w:val="none"/>
              </w:rPr>
            </w:pPr>
          </w:p>
        </w:tc>
        <w:tc>
          <w:tcPr>
            <w:tcW w:w="1207" w:type="dxa"/>
            <w:vAlign w:val="center"/>
          </w:tcPr>
          <w:p w14:paraId="47E618EF">
            <w:pPr>
              <w:wordWrap/>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职工总数</w:t>
            </w:r>
          </w:p>
        </w:tc>
        <w:tc>
          <w:tcPr>
            <w:tcW w:w="1615" w:type="dxa"/>
            <w:vAlign w:val="top"/>
          </w:tcPr>
          <w:p w14:paraId="7056FA37">
            <w:pPr>
              <w:wordWrap/>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人</w:t>
            </w:r>
          </w:p>
        </w:tc>
        <w:tc>
          <w:tcPr>
            <w:tcW w:w="1874" w:type="dxa"/>
            <w:vAlign w:val="top"/>
          </w:tcPr>
          <w:p w14:paraId="2CAC537B">
            <w:pPr>
              <w:wordWrap/>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建筑面积</w:t>
            </w:r>
          </w:p>
        </w:tc>
        <w:tc>
          <w:tcPr>
            <w:tcW w:w="3069" w:type="dxa"/>
            <w:gridSpan w:val="2"/>
            <w:vAlign w:val="top"/>
          </w:tcPr>
          <w:p w14:paraId="7E157F76">
            <w:pPr>
              <w:wordWrap/>
              <w:spacing w:line="360" w:lineRule="auto"/>
              <w:ind w:firstLine="1800" w:firstLineChars="75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平方米</w:t>
            </w:r>
          </w:p>
        </w:tc>
      </w:tr>
      <w:tr w14:paraId="3F351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35" w:type="dxa"/>
            <w:gridSpan w:val="2"/>
            <w:vMerge w:val="continue"/>
            <w:vAlign w:val="top"/>
          </w:tcPr>
          <w:p w14:paraId="6D216D64">
            <w:pPr>
              <w:wordWrap/>
              <w:spacing w:line="360" w:lineRule="auto"/>
              <w:textAlignment w:val="auto"/>
              <w:rPr>
                <w:rFonts w:hint="eastAsia" w:ascii="宋体" w:hAnsi="宋体" w:eastAsia="宋体" w:cs="宋体"/>
                <w:bCs/>
                <w:color w:val="auto"/>
                <w:sz w:val="24"/>
                <w:szCs w:val="24"/>
                <w:highlight w:val="none"/>
              </w:rPr>
            </w:pPr>
          </w:p>
        </w:tc>
        <w:tc>
          <w:tcPr>
            <w:tcW w:w="1207" w:type="dxa"/>
            <w:vMerge w:val="restart"/>
            <w:vAlign w:val="center"/>
          </w:tcPr>
          <w:p w14:paraId="49B400FE">
            <w:pPr>
              <w:wordWrap/>
              <w:spacing w:line="360" w:lineRule="auto"/>
              <w:ind w:firstLine="240" w:firstLineChars="1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资产</w:t>
            </w:r>
          </w:p>
          <w:p w14:paraId="6F7D1FD3">
            <w:pPr>
              <w:wordWrap/>
              <w:spacing w:line="360" w:lineRule="auto"/>
              <w:ind w:firstLine="240" w:firstLineChars="1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情况</w:t>
            </w:r>
          </w:p>
        </w:tc>
        <w:tc>
          <w:tcPr>
            <w:tcW w:w="3489" w:type="dxa"/>
            <w:gridSpan w:val="2"/>
            <w:vAlign w:val="center"/>
          </w:tcPr>
          <w:p w14:paraId="0A95FF12">
            <w:pPr>
              <w:wordWrap/>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净资产：        万元</w:t>
            </w:r>
          </w:p>
        </w:tc>
        <w:tc>
          <w:tcPr>
            <w:tcW w:w="3069" w:type="dxa"/>
            <w:gridSpan w:val="2"/>
            <w:vMerge w:val="restart"/>
            <w:vAlign w:val="top"/>
          </w:tcPr>
          <w:p w14:paraId="5E822FB6">
            <w:pPr>
              <w:wordWrap/>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固定资产原值 ：     万元</w:t>
            </w:r>
          </w:p>
          <w:p w14:paraId="44C9B77D">
            <w:pPr>
              <w:wordWrap/>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固定资产净值：      万元</w:t>
            </w:r>
          </w:p>
        </w:tc>
      </w:tr>
      <w:tr w14:paraId="36638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35" w:type="dxa"/>
            <w:gridSpan w:val="2"/>
            <w:vMerge w:val="continue"/>
            <w:vAlign w:val="top"/>
          </w:tcPr>
          <w:p w14:paraId="58D478F2">
            <w:pPr>
              <w:wordWrap/>
              <w:spacing w:line="360" w:lineRule="auto"/>
              <w:textAlignment w:val="auto"/>
              <w:rPr>
                <w:rFonts w:hint="eastAsia" w:ascii="宋体" w:hAnsi="宋体" w:eastAsia="宋体" w:cs="宋体"/>
                <w:bCs/>
                <w:color w:val="auto"/>
                <w:sz w:val="24"/>
                <w:szCs w:val="24"/>
                <w:highlight w:val="none"/>
              </w:rPr>
            </w:pPr>
          </w:p>
        </w:tc>
        <w:tc>
          <w:tcPr>
            <w:tcW w:w="1207" w:type="dxa"/>
            <w:vMerge w:val="continue"/>
            <w:vAlign w:val="top"/>
          </w:tcPr>
          <w:p w14:paraId="12E29534">
            <w:pPr>
              <w:wordWrap/>
              <w:spacing w:line="360" w:lineRule="auto"/>
              <w:textAlignment w:val="auto"/>
              <w:rPr>
                <w:rFonts w:hint="eastAsia" w:ascii="宋体" w:hAnsi="宋体" w:eastAsia="宋体" w:cs="宋体"/>
                <w:bCs/>
                <w:color w:val="auto"/>
                <w:sz w:val="24"/>
                <w:szCs w:val="24"/>
                <w:highlight w:val="none"/>
              </w:rPr>
            </w:pPr>
          </w:p>
        </w:tc>
        <w:tc>
          <w:tcPr>
            <w:tcW w:w="3489" w:type="dxa"/>
            <w:gridSpan w:val="2"/>
            <w:vAlign w:val="center"/>
          </w:tcPr>
          <w:p w14:paraId="340DAA0E">
            <w:pPr>
              <w:wordWrap/>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负 债：         万元</w:t>
            </w:r>
          </w:p>
        </w:tc>
        <w:tc>
          <w:tcPr>
            <w:tcW w:w="3069" w:type="dxa"/>
            <w:gridSpan w:val="2"/>
            <w:vMerge w:val="continue"/>
            <w:vAlign w:val="top"/>
          </w:tcPr>
          <w:p w14:paraId="7B21BE7E">
            <w:pPr>
              <w:wordWrap/>
              <w:spacing w:line="360" w:lineRule="auto"/>
              <w:textAlignment w:val="auto"/>
              <w:rPr>
                <w:rFonts w:hint="eastAsia" w:ascii="宋体" w:hAnsi="宋体" w:eastAsia="宋体" w:cs="宋体"/>
                <w:bCs/>
                <w:color w:val="auto"/>
                <w:sz w:val="24"/>
                <w:szCs w:val="24"/>
                <w:highlight w:val="none"/>
              </w:rPr>
            </w:pPr>
          </w:p>
        </w:tc>
      </w:tr>
      <w:tr w14:paraId="74D58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2035" w:type="dxa"/>
            <w:gridSpan w:val="2"/>
            <w:vMerge w:val="restart"/>
            <w:vAlign w:val="center"/>
          </w:tcPr>
          <w:p w14:paraId="23B40D30">
            <w:pPr>
              <w:wordWrap/>
              <w:spacing w:line="360" w:lineRule="auto"/>
              <w:ind w:firstLine="120" w:firstLineChars="5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财务状况</w:t>
            </w:r>
          </w:p>
          <w:p w14:paraId="0BE01B7B">
            <w:pPr>
              <w:wordWrap/>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（最近</w:t>
            </w:r>
            <w:r>
              <w:rPr>
                <w:rFonts w:hint="eastAsia" w:ascii="宋体" w:hAnsi="宋体" w:cs="宋体"/>
                <w:bCs/>
                <w:color w:val="auto"/>
                <w:sz w:val="24"/>
                <w:szCs w:val="24"/>
                <w:highlight w:val="none"/>
                <w:lang w:val="en-US" w:eastAsia="zh-CN"/>
              </w:rPr>
              <w:t>三</w:t>
            </w:r>
            <w:r>
              <w:rPr>
                <w:rFonts w:hint="eastAsia" w:ascii="宋体" w:hAnsi="宋体" w:eastAsia="宋体" w:cs="宋体"/>
                <w:bCs/>
                <w:color w:val="auto"/>
                <w:sz w:val="24"/>
                <w:szCs w:val="24"/>
                <w:highlight w:val="none"/>
              </w:rPr>
              <w:t>年20</w:t>
            </w:r>
            <w:r>
              <w:rPr>
                <w:rFonts w:hint="eastAsia" w:ascii="宋体" w:hAnsi="宋体" w:cs="宋体"/>
                <w:bCs/>
                <w:color w:val="auto"/>
                <w:sz w:val="24"/>
                <w:szCs w:val="24"/>
                <w:highlight w:val="none"/>
                <w:lang w:val="en-US" w:eastAsia="zh-CN"/>
              </w:rPr>
              <w:t>22</w:t>
            </w:r>
            <w:r>
              <w:rPr>
                <w:rFonts w:hint="eastAsia" w:ascii="宋体" w:hAnsi="宋体" w:eastAsia="宋体" w:cs="宋体"/>
                <w:bCs/>
                <w:color w:val="auto"/>
                <w:sz w:val="24"/>
                <w:szCs w:val="24"/>
                <w:highlight w:val="none"/>
              </w:rPr>
              <w:t>年至20</w:t>
            </w:r>
            <w:r>
              <w:rPr>
                <w:rFonts w:hint="eastAsia" w:ascii="宋体" w:hAnsi="宋体" w:eastAsia="宋体" w:cs="宋体"/>
                <w:bCs/>
                <w:color w:val="auto"/>
                <w:sz w:val="24"/>
                <w:szCs w:val="24"/>
                <w:highlight w:val="none"/>
                <w:lang w:val="en-US" w:eastAsia="zh-CN"/>
              </w:rPr>
              <w:t>2</w:t>
            </w:r>
            <w:r>
              <w:rPr>
                <w:rFonts w:hint="eastAsia" w:ascii="宋体" w:hAnsi="宋体" w:cs="宋体"/>
                <w:bCs/>
                <w:color w:val="auto"/>
                <w:sz w:val="24"/>
                <w:szCs w:val="24"/>
                <w:highlight w:val="none"/>
                <w:lang w:val="en-US" w:eastAsia="zh-CN"/>
              </w:rPr>
              <w:t>4</w:t>
            </w:r>
            <w:r>
              <w:rPr>
                <w:rFonts w:hint="eastAsia" w:ascii="宋体" w:hAnsi="宋体" w:eastAsia="宋体" w:cs="宋体"/>
                <w:bCs/>
                <w:color w:val="auto"/>
                <w:sz w:val="24"/>
                <w:szCs w:val="24"/>
                <w:highlight w:val="none"/>
              </w:rPr>
              <w:t>年）</w:t>
            </w:r>
          </w:p>
        </w:tc>
        <w:tc>
          <w:tcPr>
            <w:tcW w:w="1207" w:type="dxa"/>
            <w:vAlign w:val="top"/>
          </w:tcPr>
          <w:p w14:paraId="0638BE4B">
            <w:pPr>
              <w:wordWrap/>
              <w:spacing w:line="36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年份</w:t>
            </w:r>
          </w:p>
        </w:tc>
        <w:tc>
          <w:tcPr>
            <w:tcW w:w="1615" w:type="dxa"/>
            <w:vAlign w:val="center"/>
          </w:tcPr>
          <w:p w14:paraId="1BE08116">
            <w:pPr>
              <w:wordWrap/>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主营收入</w:t>
            </w:r>
          </w:p>
          <w:p w14:paraId="20EF9620">
            <w:pPr>
              <w:wordWrap/>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（万元）</w:t>
            </w:r>
          </w:p>
        </w:tc>
        <w:tc>
          <w:tcPr>
            <w:tcW w:w="1874" w:type="dxa"/>
            <w:vAlign w:val="center"/>
          </w:tcPr>
          <w:p w14:paraId="672D15FA">
            <w:pPr>
              <w:wordWrap/>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收入总额</w:t>
            </w:r>
          </w:p>
          <w:p w14:paraId="6E962B13">
            <w:pPr>
              <w:wordWrap/>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（万元）</w:t>
            </w:r>
          </w:p>
        </w:tc>
        <w:tc>
          <w:tcPr>
            <w:tcW w:w="1393" w:type="dxa"/>
            <w:vAlign w:val="center"/>
          </w:tcPr>
          <w:p w14:paraId="00FD7E0B">
            <w:pPr>
              <w:wordWrap/>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利润总额</w:t>
            </w:r>
          </w:p>
          <w:p w14:paraId="7BEB9C3D">
            <w:pPr>
              <w:wordWrap/>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（万元）</w:t>
            </w:r>
          </w:p>
        </w:tc>
        <w:tc>
          <w:tcPr>
            <w:tcW w:w="1676" w:type="dxa"/>
            <w:vAlign w:val="center"/>
          </w:tcPr>
          <w:p w14:paraId="77B05614">
            <w:pPr>
              <w:wordWrap/>
              <w:spacing w:line="360" w:lineRule="auto"/>
              <w:ind w:firstLine="240" w:firstLineChars="1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净利润</w:t>
            </w:r>
          </w:p>
          <w:p w14:paraId="33FED128">
            <w:pPr>
              <w:wordWrap/>
              <w:spacing w:line="360" w:lineRule="auto"/>
              <w:ind w:firstLine="240" w:firstLineChars="1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（万元）</w:t>
            </w:r>
          </w:p>
        </w:tc>
      </w:tr>
      <w:tr w14:paraId="1DF54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35" w:type="dxa"/>
            <w:gridSpan w:val="2"/>
            <w:vMerge w:val="continue"/>
            <w:vAlign w:val="center"/>
          </w:tcPr>
          <w:p w14:paraId="027928FF">
            <w:pPr>
              <w:wordWrap/>
              <w:spacing w:line="360" w:lineRule="auto"/>
              <w:textAlignment w:val="auto"/>
              <w:rPr>
                <w:rFonts w:hint="eastAsia" w:ascii="宋体" w:hAnsi="宋体" w:eastAsia="宋体" w:cs="宋体"/>
                <w:bCs/>
                <w:color w:val="auto"/>
                <w:sz w:val="24"/>
                <w:szCs w:val="24"/>
                <w:highlight w:val="none"/>
              </w:rPr>
            </w:pPr>
          </w:p>
        </w:tc>
        <w:tc>
          <w:tcPr>
            <w:tcW w:w="1207" w:type="dxa"/>
            <w:vAlign w:val="center"/>
          </w:tcPr>
          <w:p w14:paraId="2471C86F">
            <w:pPr>
              <w:wordWrap/>
              <w:spacing w:line="360" w:lineRule="auto"/>
              <w:textAlignment w:val="auto"/>
              <w:rPr>
                <w:rFonts w:hint="eastAsia" w:ascii="宋体" w:hAnsi="宋体" w:eastAsia="宋体" w:cs="宋体"/>
                <w:bCs/>
                <w:color w:val="auto"/>
                <w:sz w:val="24"/>
                <w:szCs w:val="24"/>
                <w:highlight w:val="none"/>
              </w:rPr>
            </w:pPr>
          </w:p>
        </w:tc>
        <w:tc>
          <w:tcPr>
            <w:tcW w:w="1615" w:type="dxa"/>
            <w:vAlign w:val="center"/>
          </w:tcPr>
          <w:p w14:paraId="70DF200F">
            <w:pPr>
              <w:wordWrap/>
              <w:spacing w:line="360" w:lineRule="auto"/>
              <w:textAlignment w:val="auto"/>
              <w:rPr>
                <w:rFonts w:hint="eastAsia" w:ascii="宋体" w:hAnsi="宋体" w:eastAsia="宋体" w:cs="宋体"/>
                <w:bCs/>
                <w:color w:val="auto"/>
                <w:sz w:val="24"/>
                <w:szCs w:val="24"/>
                <w:highlight w:val="none"/>
              </w:rPr>
            </w:pPr>
          </w:p>
        </w:tc>
        <w:tc>
          <w:tcPr>
            <w:tcW w:w="1874" w:type="dxa"/>
            <w:vAlign w:val="center"/>
          </w:tcPr>
          <w:p w14:paraId="3B1AEC91">
            <w:pPr>
              <w:wordWrap/>
              <w:spacing w:line="360" w:lineRule="auto"/>
              <w:textAlignment w:val="auto"/>
              <w:rPr>
                <w:rFonts w:hint="eastAsia" w:ascii="宋体" w:hAnsi="宋体" w:eastAsia="宋体" w:cs="宋体"/>
                <w:bCs/>
                <w:color w:val="auto"/>
                <w:sz w:val="24"/>
                <w:szCs w:val="24"/>
                <w:highlight w:val="none"/>
              </w:rPr>
            </w:pPr>
          </w:p>
        </w:tc>
        <w:tc>
          <w:tcPr>
            <w:tcW w:w="1393" w:type="dxa"/>
            <w:vAlign w:val="center"/>
          </w:tcPr>
          <w:p w14:paraId="2074D74D">
            <w:pPr>
              <w:wordWrap/>
              <w:spacing w:line="360" w:lineRule="auto"/>
              <w:textAlignment w:val="auto"/>
              <w:rPr>
                <w:rFonts w:hint="eastAsia" w:ascii="宋体" w:hAnsi="宋体" w:eastAsia="宋体" w:cs="宋体"/>
                <w:bCs/>
                <w:color w:val="auto"/>
                <w:sz w:val="24"/>
                <w:szCs w:val="24"/>
                <w:highlight w:val="none"/>
              </w:rPr>
            </w:pPr>
          </w:p>
        </w:tc>
        <w:tc>
          <w:tcPr>
            <w:tcW w:w="1676" w:type="dxa"/>
            <w:vAlign w:val="center"/>
          </w:tcPr>
          <w:p w14:paraId="58AB552A">
            <w:pPr>
              <w:wordWrap/>
              <w:spacing w:line="360" w:lineRule="auto"/>
              <w:textAlignment w:val="auto"/>
              <w:rPr>
                <w:rFonts w:hint="eastAsia" w:ascii="宋体" w:hAnsi="宋体" w:eastAsia="宋体" w:cs="宋体"/>
                <w:bCs/>
                <w:color w:val="auto"/>
                <w:sz w:val="24"/>
                <w:szCs w:val="24"/>
                <w:highlight w:val="none"/>
              </w:rPr>
            </w:pPr>
          </w:p>
        </w:tc>
      </w:tr>
      <w:tr w14:paraId="0AB2D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35" w:type="dxa"/>
            <w:gridSpan w:val="2"/>
            <w:vMerge w:val="continue"/>
            <w:vAlign w:val="center"/>
          </w:tcPr>
          <w:p w14:paraId="43330EBA">
            <w:pPr>
              <w:wordWrap/>
              <w:spacing w:line="360" w:lineRule="auto"/>
              <w:textAlignment w:val="auto"/>
              <w:rPr>
                <w:rFonts w:hint="eastAsia" w:ascii="宋体" w:hAnsi="宋体" w:eastAsia="宋体" w:cs="宋体"/>
                <w:bCs/>
                <w:color w:val="auto"/>
                <w:sz w:val="24"/>
                <w:szCs w:val="24"/>
                <w:highlight w:val="none"/>
              </w:rPr>
            </w:pPr>
          </w:p>
        </w:tc>
        <w:tc>
          <w:tcPr>
            <w:tcW w:w="1207" w:type="dxa"/>
            <w:vAlign w:val="center"/>
          </w:tcPr>
          <w:p w14:paraId="07F8008F">
            <w:pPr>
              <w:wordWrap/>
              <w:spacing w:line="360" w:lineRule="auto"/>
              <w:textAlignment w:val="auto"/>
              <w:rPr>
                <w:rFonts w:hint="eastAsia" w:ascii="宋体" w:hAnsi="宋体" w:eastAsia="宋体" w:cs="宋体"/>
                <w:bCs/>
                <w:color w:val="auto"/>
                <w:sz w:val="24"/>
                <w:szCs w:val="24"/>
                <w:highlight w:val="none"/>
              </w:rPr>
            </w:pPr>
          </w:p>
        </w:tc>
        <w:tc>
          <w:tcPr>
            <w:tcW w:w="1615" w:type="dxa"/>
            <w:vAlign w:val="center"/>
          </w:tcPr>
          <w:p w14:paraId="0838191C">
            <w:pPr>
              <w:wordWrap/>
              <w:spacing w:line="360" w:lineRule="auto"/>
              <w:textAlignment w:val="auto"/>
              <w:rPr>
                <w:rFonts w:hint="eastAsia" w:ascii="宋体" w:hAnsi="宋体" w:eastAsia="宋体" w:cs="宋体"/>
                <w:bCs/>
                <w:color w:val="auto"/>
                <w:sz w:val="24"/>
                <w:szCs w:val="24"/>
                <w:highlight w:val="none"/>
              </w:rPr>
            </w:pPr>
          </w:p>
        </w:tc>
        <w:tc>
          <w:tcPr>
            <w:tcW w:w="1874" w:type="dxa"/>
            <w:vAlign w:val="center"/>
          </w:tcPr>
          <w:p w14:paraId="10DF0EB7">
            <w:pPr>
              <w:wordWrap/>
              <w:spacing w:line="360" w:lineRule="auto"/>
              <w:textAlignment w:val="auto"/>
              <w:rPr>
                <w:rFonts w:hint="eastAsia" w:ascii="宋体" w:hAnsi="宋体" w:eastAsia="宋体" w:cs="宋体"/>
                <w:bCs/>
                <w:color w:val="auto"/>
                <w:sz w:val="24"/>
                <w:szCs w:val="24"/>
                <w:highlight w:val="none"/>
              </w:rPr>
            </w:pPr>
          </w:p>
        </w:tc>
        <w:tc>
          <w:tcPr>
            <w:tcW w:w="1393" w:type="dxa"/>
            <w:vAlign w:val="center"/>
          </w:tcPr>
          <w:p w14:paraId="204380D3">
            <w:pPr>
              <w:wordWrap/>
              <w:spacing w:line="360" w:lineRule="auto"/>
              <w:textAlignment w:val="auto"/>
              <w:rPr>
                <w:rFonts w:hint="eastAsia" w:ascii="宋体" w:hAnsi="宋体" w:eastAsia="宋体" w:cs="宋体"/>
                <w:bCs/>
                <w:color w:val="auto"/>
                <w:sz w:val="24"/>
                <w:szCs w:val="24"/>
                <w:highlight w:val="none"/>
              </w:rPr>
            </w:pPr>
          </w:p>
        </w:tc>
        <w:tc>
          <w:tcPr>
            <w:tcW w:w="1676" w:type="dxa"/>
            <w:vAlign w:val="center"/>
          </w:tcPr>
          <w:p w14:paraId="6570828C">
            <w:pPr>
              <w:wordWrap/>
              <w:spacing w:line="360" w:lineRule="auto"/>
              <w:textAlignment w:val="auto"/>
              <w:rPr>
                <w:rFonts w:hint="eastAsia" w:ascii="宋体" w:hAnsi="宋体" w:eastAsia="宋体" w:cs="宋体"/>
                <w:bCs/>
                <w:color w:val="auto"/>
                <w:sz w:val="24"/>
                <w:szCs w:val="24"/>
                <w:highlight w:val="none"/>
              </w:rPr>
            </w:pPr>
          </w:p>
        </w:tc>
      </w:tr>
      <w:tr w14:paraId="55E2D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35" w:type="dxa"/>
            <w:gridSpan w:val="2"/>
            <w:vMerge w:val="continue"/>
            <w:vAlign w:val="top"/>
          </w:tcPr>
          <w:p w14:paraId="7E296ECB">
            <w:pPr>
              <w:wordWrap/>
              <w:spacing w:line="360" w:lineRule="auto"/>
              <w:textAlignment w:val="auto"/>
              <w:rPr>
                <w:rFonts w:hint="eastAsia" w:ascii="宋体" w:hAnsi="宋体" w:eastAsia="宋体" w:cs="宋体"/>
                <w:bCs/>
                <w:color w:val="auto"/>
                <w:sz w:val="24"/>
                <w:szCs w:val="24"/>
                <w:highlight w:val="none"/>
              </w:rPr>
            </w:pPr>
          </w:p>
        </w:tc>
        <w:tc>
          <w:tcPr>
            <w:tcW w:w="1207" w:type="dxa"/>
            <w:vAlign w:val="center"/>
          </w:tcPr>
          <w:p w14:paraId="7E937013">
            <w:pPr>
              <w:wordWrap/>
              <w:spacing w:line="360" w:lineRule="auto"/>
              <w:textAlignment w:val="auto"/>
              <w:rPr>
                <w:rFonts w:hint="eastAsia" w:ascii="宋体" w:hAnsi="宋体" w:eastAsia="宋体" w:cs="宋体"/>
                <w:bCs/>
                <w:color w:val="auto"/>
                <w:sz w:val="24"/>
                <w:szCs w:val="24"/>
                <w:highlight w:val="none"/>
              </w:rPr>
            </w:pPr>
          </w:p>
        </w:tc>
        <w:tc>
          <w:tcPr>
            <w:tcW w:w="1615" w:type="dxa"/>
            <w:vAlign w:val="top"/>
          </w:tcPr>
          <w:p w14:paraId="66441E34">
            <w:pPr>
              <w:wordWrap/>
              <w:spacing w:line="360" w:lineRule="auto"/>
              <w:textAlignment w:val="auto"/>
              <w:rPr>
                <w:rFonts w:hint="eastAsia" w:ascii="宋体" w:hAnsi="宋体" w:eastAsia="宋体" w:cs="宋体"/>
                <w:bCs/>
                <w:color w:val="auto"/>
                <w:sz w:val="24"/>
                <w:szCs w:val="24"/>
                <w:highlight w:val="none"/>
              </w:rPr>
            </w:pPr>
          </w:p>
        </w:tc>
        <w:tc>
          <w:tcPr>
            <w:tcW w:w="1874" w:type="dxa"/>
            <w:vAlign w:val="top"/>
          </w:tcPr>
          <w:p w14:paraId="1D3C3FA3">
            <w:pPr>
              <w:wordWrap/>
              <w:spacing w:line="360" w:lineRule="auto"/>
              <w:textAlignment w:val="auto"/>
              <w:rPr>
                <w:rFonts w:hint="eastAsia" w:ascii="宋体" w:hAnsi="宋体" w:eastAsia="宋体" w:cs="宋体"/>
                <w:bCs/>
                <w:color w:val="auto"/>
                <w:sz w:val="24"/>
                <w:szCs w:val="24"/>
                <w:highlight w:val="none"/>
              </w:rPr>
            </w:pPr>
          </w:p>
        </w:tc>
        <w:tc>
          <w:tcPr>
            <w:tcW w:w="1393" w:type="dxa"/>
            <w:vAlign w:val="top"/>
          </w:tcPr>
          <w:p w14:paraId="4B4AF01A">
            <w:pPr>
              <w:wordWrap/>
              <w:spacing w:line="360" w:lineRule="auto"/>
              <w:textAlignment w:val="auto"/>
              <w:rPr>
                <w:rFonts w:hint="eastAsia" w:ascii="宋体" w:hAnsi="宋体" w:eastAsia="宋体" w:cs="宋体"/>
                <w:bCs/>
                <w:color w:val="auto"/>
                <w:sz w:val="24"/>
                <w:szCs w:val="24"/>
                <w:highlight w:val="none"/>
              </w:rPr>
            </w:pPr>
          </w:p>
        </w:tc>
        <w:tc>
          <w:tcPr>
            <w:tcW w:w="1676" w:type="dxa"/>
            <w:vAlign w:val="top"/>
          </w:tcPr>
          <w:p w14:paraId="51807F6D">
            <w:pPr>
              <w:wordWrap/>
              <w:spacing w:line="360" w:lineRule="auto"/>
              <w:textAlignment w:val="auto"/>
              <w:rPr>
                <w:rFonts w:hint="eastAsia" w:ascii="宋体" w:hAnsi="宋体" w:eastAsia="宋体" w:cs="宋体"/>
                <w:bCs/>
                <w:color w:val="auto"/>
                <w:sz w:val="24"/>
                <w:szCs w:val="24"/>
                <w:highlight w:val="none"/>
              </w:rPr>
            </w:pPr>
          </w:p>
        </w:tc>
      </w:tr>
      <w:tr w14:paraId="544D8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2035" w:type="dxa"/>
            <w:gridSpan w:val="2"/>
            <w:vAlign w:val="top"/>
          </w:tcPr>
          <w:p w14:paraId="732DEC0E">
            <w:pPr>
              <w:wordWrap/>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经营范围</w:t>
            </w:r>
          </w:p>
        </w:tc>
        <w:tc>
          <w:tcPr>
            <w:tcW w:w="7765" w:type="dxa"/>
            <w:gridSpan w:val="5"/>
            <w:vAlign w:val="center"/>
          </w:tcPr>
          <w:p w14:paraId="6EDEED4A">
            <w:pPr>
              <w:wordWrap/>
              <w:spacing w:line="360" w:lineRule="auto"/>
              <w:textAlignment w:val="auto"/>
              <w:rPr>
                <w:rFonts w:hint="eastAsia" w:ascii="宋体" w:hAnsi="宋体" w:eastAsia="宋体" w:cs="宋体"/>
                <w:bCs/>
                <w:color w:val="auto"/>
                <w:sz w:val="24"/>
                <w:szCs w:val="24"/>
                <w:highlight w:val="none"/>
              </w:rPr>
            </w:pPr>
          </w:p>
        </w:tc>
      </w:tr>
      <w:tr w14:paraId="1D107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2035" w:type="dxa"/>
            <w:gridSpan w:val="2"/>
            <w:vAlign w:val="top"/>
          </w:tcPr>
          <w:p w14:paraId="431FB5B6">
            <w:pPr>
              <w:wordWrap/>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备注 </w:t>
            </w:r>
          </w:p>
        </w:tc>
        <w:tc>
          <w:tcPr>
            <w:tcW w:w="7765" w:type="dxa"/>
            <w:gridSpan w:val="5"/>
            <w:vAlign w:val="center"/>
          </w:tcPr>
          <w:p w14:paraId="3FDD1967">
            <w:pPr>
              <w:wordWrap/>
              <w:spacing w:line="360" w:lineRule="auto"/>
              <w:textAlignment w:val="auto"/>
              <w:rPr>
                <w:rFonts w:hint="eastAsia" w:ascii="宋体" w:hAnsi="宋体" w:eastAsia="宋体" w:cs="宋体"/>
                <w:bCs/>
                <w:color w:val="auto"/>
                <w:sz w:val="24"/>
                <w:szCs w:val="24"/>
                <w:highlight w:val="none"/>
              </w:rPr>
            </w:pPr>
          </w:p>
        </w:tc>
      </w:tr>
    </w:tbl>
    <w:p w14:paraId="47E21E39">
      <w:pPr>
        <w:wordWrap/>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我们保证上述声明中的资料和数据是真实的、正确的，我们同意</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rPr>
        <w:t>如贵方要求，可以出示相关证明文件。</w:t>
      </w:r>
    </w:p>
    <w:p w14:paraId="6FB92AA4">
      <w:pPr>
        <w:wordWrap/>
        <w:spacing w:line="360" w:lineRule="auto"/>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供应商（盖章）：</w:t>
      </w:r>
    </w:p>
    <w:p w14:paraId="018BACEC">
      <w:pPr>
        <w:wordWrap/>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法定代表人或委托代理人（签字或盖章）：</w:t>
      </w:r>
    </w:p>
    <w:p w14:paraId="736E37C3">
      <w:pPr>
        <w:wordWrap/>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电话号和传真号：</w:t>
      </w:r>
    </w:p>
    <w:p w14:paraId="2E32E10E">
      <w:pPr>
        <w:wordWrap/>
        <w:spacing w:line="360" w:lineRule="auto"/>
        <w:ind w:firstLine="120" w:firstLineChars="5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日期：  年  月  日</w:t>
      </w:r>
    </w:p>
    <w:p w14:paraId="44435A60">
      <w:pPr>
        <w:tabs>
          <w:tab w:val="left" w:pos="6300"/>
        </w:tabs>
        <w:wordWrap/>
        <w:snapToGrid w:val="0"/>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格式</w:t>
      </w:r>
      <w:r>
        <w:rPr>
          <w:rFonts w:hint="eastAsia" w:ascii="宋体" w:hAnsi="宋体" w:cs="宋体"/>
          <w:b/>
          <w:color w:val="auto"/>
          <w:sz w:val="24"/>
          <w:szCs w:val="24"/>
          <w:highlight w:val="none"/>
          <w:lang w:val="en-US" w:eastAsia="zh-CN"/>
        </w:rPr>
        <w:t>5</w:t>
      </w:r>
      <w:r>
        <w:rPr>
          <w:rFonts w:hint="eastAsia" w:ascii="宋体" w:hAnsi="宋体" w:eastAsia="宋体" w:cs="宋体"/>
          <w:b/>
          <w:color w:val="auto"/>
          <w:sz w:val="24"/>
          <w:szCs w:val="24"/>
          <w:highlight w:val="none"/>
        </w:rPr>
        <w:t xml:space="preserve">   政府采购领域诚信承诺书</w:t>
      </w:r>
    </w:p>
    <w:p w14:paraId="6005F58D">
      <w:pPr>
        <w:tabs>
          <w:tab w:val="left" w:pos="6300"/>
        </w:tabs>
        <w:wordWrap/>
        <w:snapToGrid w:val="0"/>
        <w:spacing w:line="360" w:lineRule="auto"/>
        <w:ind w:firstLine="570"/>
        <w:textAlignment w:val="auto"/>
        <w:rPr>
          <w:rFonts w:hint="eastAsia" w:ascii="宋体" w:hAnsi="宋体" w:eastAsia="宋体" w:cs="宋体"/>
          <w:color w:val="auto"/>
          <w:sz w:val="24"/>
          <w:szCs w:val="24"/>
          <w:highlight w:val="none"/>
        </w:rPr>
      </w:pPr>
    </w:p>
    <w:p w14:paraId="371DF0F2">
      <w:pPr>
        <w:widowControl w:val="0"/>
        <w:wordWrap/>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(单位名称或个人)，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统一社会信用代码（个人身份证号）是具备《</w:t>
      </w:r>
      <w:r>
        <w:rPr>
          <w:rFonts w:hint="eastAsia" w:ascii="宋体" w:hAnsi="宋体" w:cs="宋体"/>
          <w:color w:val="auto"/>
          <w:sz w:val="24"/>
          <w:szCs w:val="24"/>
          <w:highlight w:val="none"/>
          <w:lang w:eastAsia="zh-CN"/>
        </w:rPr>
        <w:t>中华人民共和国政府采购法</w:t>
      </w:r>
      <w:r>
        <w:rPr>
          <w:rFonts w:hint="eastAsia" w:ascii="宋体" w:hAnsi="宋体" w:eastAsia="宋体" w:cs="宋体"/>
          <w:color w:val="auto"/>
          <w:sz w:val="24"/>
          <w:szCs w:val="24"/>
          <w:highlight w:val="none"/>
        </w:rPr>
        <w:t>》第二十二条件的供应商，本单位在参加克拉玛依地区政府采购活动时，承诺如下：</w:t>
      </w:r>
    </w:p>
    <w:p w14:paraId="7B349D92">
      <w:pPr>
        <w:widowControl w:val="0"/>
        <w:wordWrap/>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（一）严格遵守国家法律、法规和规章，全面履行应尽的责任和义务。</w:t>
      </w:r>
    </w:p>
    <w:p w14:paraId="6E133994">
      <w:pPr>
        <w:widowControl w:val="0"/>
        <w:wordWrap/>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（二）保证参加政府采购活动时所提供资料均合法、真实、有效，并对所提供资料的真实性负责；我单位（个人）在参加政府采购活动前三年在经营活动中没有《</w:t>
      </w:r>
      <w:r>
        <w:rPr>
          <w:rFonts w:hint="eastAsia" w:ascii="宋体" w:hAnsi="宋体" w:cs="宋体"/>
          <w:color w:val="auto"/>
          <w:sz w:val="24"/>
          <w:szCs w:val="24"/>
          <w:highlight w:val="none"/>
          <w:lang w:eastAsia="zh-CN"/>
        </w:rPr>
        <w:t>中华人民共和国政府采购法</w:t>
      </w:r>
      <w:r>
        <w:rPr>
          <w:rFonts w:hint="eastAsia" w:ascii="宋体" w:hAnsi="宋体" w:eastAsia="宋体" w:cs="宋体"/>
          <w:color w:val="auto"/>
          <w:sz w:val="24"/>
          <w:szCs w:val="24"/>
          <w:highlight w:val="none"/>
        </w:rPr>
        <w:t>》第第二十二条第一款第（五项）所称重大违法记录。</w:t>
      </w:r>
    </w:p>
    <w:p w14:paraId="359C6AD5">
      <w:pPr>
        <w:widowControl w:val="0"/>
        <w:wordWrap/>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（三）承诺本单位（个人）自觉接受行政管理部门、行业组织、社会公众、新闻舆论的监督。</w:t>
      </w:r>
    </w:p>
    <w:p w14:paraId="1F469257">
      <w:pPr>
        <w:widowControl w:val="0"/>
        <w:wordWrap/>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（四）承诺本单位（个人）将按照信用管理要求，按照规定通过克拉玛依诚信网向社会公示信用信息。</w:t>
      </w:r>
    </w:p>
    <w:p w14:paraId="7F095CAC">
      <w:pPr>
        <w:widowControl w:val="0"/>
        <w:wordWrap/>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（五）承诺本单位（个人）不制假售假、商标侵权、虚假宣传、违约毁约、价格欺诈、垄断和不正当竞争，守合同、重信用，维护经营者、消费者的合法权益。</w:t>
      </w:r>
    </w:p>
    <w:p w14:paraId="72912AEB">
      <w:pPr>
        <w:widowControl w:val="0"/>
        <w:wordWrap/>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（六）失信主体承诺本单位（个人）依法依规接受处罚、主动积极整改、不再触犯相关法律法规、今后全面做到履约守信等。</w:t>
      </w:r>
    </w:p>
    <w:p w14:paraId="7BB0D8DC">
      <w:pPr>
        <w:widowControl w:val="0"/>
        <w:wordWrap/>
        <w:adjustRightInd w:val="0"/>
        <w:snapToGrid w:val="0"/>
        <w:spacing w:line="360" w:lineRule="auto"/>
        <w:ind w:left="319" w:leftChars="152"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承诺本单位（个人）同意将以上承诺上网公示。若违背承诺约定，经查实，愿意接受行业主管部门和信用管理部门相应的规定处罚，承担违约责任，并依法承担相应的法律责任。自愿按照信用管理相关规定，</w:t>
      </w:r>
      <w:r>
        <w:rPr>
          <w:rFonts w:hint="eastAsia" w:ascii="宋体" w:hAnsi="宋体" w:cs="宋体"/>
          <w:color w:val="auto"/>
          <w:sz w:val="24"/>
          <w:szCs w:val="24"/>
          <w:highlight w:val="none"/>
          <w:lang w:eastAsia="zh-CN"/>
        </w:rPr>
        <w:t>将</w:t>
      </w:r>
      <w:r>
        <w:rPr>
          <w:rFonts w:hint="eastAsia" w:ascii="宋体" w:hAnsi="宋体" w:eastAsia="宋体" w:cs="宋体"/>
          <w:color w:val="auto"/>
          <w:sz w:val="24"/>
          <w:szCs w:val="24"/>
          <w:highlight w:val="none"/>
        </w:rPr>
        <w:t>违背承诺约定行为作为失信信息，记录到市公共信用信息管理系统平台，并予以公开。</w:t>
      </w:r>
    </w:p>
    <w:p w14:paraId="13DC2D2B">
      <w:pPr>
        <w:widowControl w:val="0"/>
        <w:wordWrap/>
        <w:spacing w:line="360" w:lineRule="auto"/>
        <w:textAlignment w:val="auto"/>
        <w:rPr>
          <w:rFonts w:hint="eastAsia" w:ascii="宋体" w:hAnsi="宋体" w:eastAsia="宋体" w:cs="宋体"/>
          <w:color w:val="auto"/>
          <w:sz w:val="24"/>
          <w:szCs w:val="24"/>
          <w:highlight w:val="none"/>
        </w:rPr>
      </w:pPr>
    </w:p>
    <w:p w14:paraId="7E1908A4">
      <w:pPr>
        <w:widowControl w:val="0"/>
        <w:wordWrap/>
        <w:spacing w:line="360" w:lineRule="auto"/>
        <w:textAlignment w:val="auto"/>
        <w:rPr>
          <w:rFonts w:hint="eastAsia" w:ascii="宋体" w:hAnsi="宋体" w:eastAsia="宋体" w:cs="宋体"/>
          <w:color w:val="auto"/>
          <w:sz w:val="24"/>
          <w:szCs w:val="24"/>
          <w:highlight w:val="none"/>
          <w:u w:val="single"/>
        </w:rPr>
      </w:pPr>
    </w:p>
    <w:p w14:paraId="2E3353A0">
      <w:pPr>
        <w:widowControl w:val="0"/>
        <w:wordWrap/>
        <w:spacing w:line="360" w:lineRule="auto"/>
        <w:ind w:firstLine="2880" w:firstLineChars="120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单位或个人名称(公章或签名)</w:t>
      </w:r>
    </w:p>
    <w:p w14:paraId="7D3394BC">
      <w:pPr>
        <w:widowControl w:val="0"/>
        <w:wordWrap/>
        <w:spacing w:line="360" w:lineRule="auto"/>
        <w:ind w:firstLine="2880" w:firstLineChars="1200"/>
        <w:jc w:val="righ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年   月   日</w:t>
      </w:r>
    </w:p>
    <w:p w14:paraId="3A508020">
      <w:pPr>
        <w:tabs>
          <w:tab w:val="left" w:pos="6300"/>
        </w:tabs>
        <w:wordWrap/>
        <w:snapToGrid w:val="0"/>
        <w:spacing w:line="360" w:lineRule="auto"/>
        <w:ind w:right="480"/>
        <w:jc w:val="right"/>
        <w:textAlignment w:val="auto"/>
        <w:rPr>
          <w:rFonts w:hint="eastAsia" w:ascii="宋体" w:hAnsi="宋体" w:eastAsia="宋体" w:cs="宋体"/>
          <w:color w:val="auto"/>
          <w:sz w:val="24"/>
          <w:szCs w:val="24"/>
          <w:highlight w:val="none"/>
        </w:rPr>
      </w:pPr>
    </w:p>
    <w:p w14:paraId="1B13C5BC">
      <w:pPr>
        <w:tabs>
          <w:tab w:val="left" w:pos="360"/>
          <w:tab w:val="left" w:pos="1800"/>
        </w:tabs>
        <w:spacing w:line="48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textWrapping"/>
      </w:r>
    </w:p>
    <w:p w14:paraId="41DC7B17">
      <w:pPr>
        <w:tabs>
          <w:tab w:val="left" w:pos="360"/>
          <w:tab w:val="left" w:pos="1800"/>
        </w:tabs>
        <w:spacing w:line="480" w:lineRule="exact"/>
        <w:jc w:val="center"/>
        <w:rPr>
          <w:rFonts w:hint="eastAsia" w:ascii="宋体" w:hAnsi="宋体" w:eastAsia="宋体" w:cs="宋体"/>
          <w:b/>
          <w:bCs/>
          <w:color w:val="auto"/>
          <w:sz w:val="24"/>
          <w:szCs w:val="24"/>
          <w:highlight w:val="none"/>
        </w:rPr>
      </w:pPr>
    </w:p>
    <w:p w14:paraId="057F0F59">
      <w:pPr>
        <w:tabs>
          <w:tab w:val="left" w:pos="360"/>
          <w:tab w:val="left" w:pos="1800"/>
        </w:tabs>
        <w:spacing w:line="480" w:lineRule="exact"/>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格式</w:t>
      </w:r>
      <w:r>
        <w:rPr>
          <w:rFonts w:hint="eastAsia" w:ascii="宋体" w:hAnsi="宋体" w:eastAsia="宋体" w:cs="宋体"/>
          <w:b/>
          <w:bCs/>
          <w:color w:val="auto"/>
          <w:sz w:val="24"/>
          <w:highlight w:val="none"/>
          <w:lang w:val="en-US" w:eastAsia="zh-CN"/>
        </w:rPr>
        <w:t>6</w:t>
      </w:r>
      <w:r>
        <w:rPr>
          <w:rFonts w:hint="eastAsia" w:ascii="宋体" w:hAnsi="宋体" w:eastAsia="宋体" w:cs="宋体"/>
          <w:b/>
          <w:bCs/>
          <w:color w:val="auto"/>
          <w:sz w:val="24"/>
          <w:highlight w:val="none"/>
        </w:rPr>
        <w:t xml:space="preserve">  中小企业声明函（</w:t>
      </w:r>
      <w:r>
        <w:rPr>
          <w:rFonts w:hint="eastAsia" w:ascii="宋体" w:hAnsi="宋体" w:cs="宋体"/>
          <w:b/>
          <w:bCs/>
          <w:color w:val="auto"/>
          <w:sz w:val="24"/>
          <w:highlight w:val="none"/>
          <w:lang w:val="en-US" w:eastAsia="zh-CN"/>
        </w:rPr>
        <w:t>服务</w:t>
      </w:r>
      <w:r>
        <w:rPr>
          <w:rFonts w:hint="eastAsia" w:ascii="宋体" w:hAnsi="宋体" w:eastAsia="宋体" w:cs="宋体"/>
          <w:b/>
          <w:bCs/>
          <w:color w:val="auto"/>
          <w:sz w:val="24"/>
          <w:highlight w:val="none"/>
        </w:rPr>
        <w:t>）</w:t>
      </w:r>
    </w:p>
    <w:p w14:paraId="6F6EF2A1">
      <w:pPr>
        <w:tabs>
          <w:tab w:val="left" w:pos="6300"/>
        </w:tabs>
        <w:snapToGrid w:val="0"/>
        <w:spacing w:line="500" w:lineRule="exact"/>
        <w:ind w:firstLine="720" w:firstLineChars="200"/>
        <w:jc w:val="center"/>
        <w:outlineLvl w:val="0"/>
        <w:rPr>
          <w:rFonts w:hint="eastAsia" w:ascii="宋体" w:hAnsi="宋体" w:eastAsia="宋体" w:cs="宋体"/>
          <w:color w:val="auto"/>
          <w:sz w:val="36"/>
          <w:szCs w:val="36"/>
          <w:highlight w:val="none"/>
        </w:rPr>
      </w:pPr>
    </w:p>
    <w:p w14:paraId="79873E84">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本公司（联合体）郑重声明，根据《政府采购促进中小企业发展管理办法》（财库﹝2020﹞46 号）的规定，本公司（联合体）参加</w:t>
      </w:r>
      <w:r>
        <w:rPr>
          <w:rFonts w:hint="eastAsia" w:ascii="宋体" w:hAnsi="宋体" w:cs="宋体"/>
          <w:color w:val="auto"/>
          <w:sz w:val="24"/>
          <w:highlight w:val="none"/>
          <w:u w:val="single"/>
        </w:rPr>
        <w:t xml:space="preserve"> （单位名称）</w:t>
      </w:r>
      <w:r>
        <w:rPr>
          <w:rFonts w:hint="eastAsia" w:ascii="宋体" w:hAnsi="宋体" w:cs="宋体"/>
          <w:color w:val="auto"/>
          <w:sz w:val="24"/>
          <w:highlight w:val="none"/>
        </w:rPr>
        <w:t xml:space="preserve"> 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3CA50C2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1. </w:t>
      </w:r>
      <w:r>
        <w:rPr>
          <w:rFonts w:hint="eastAsia" w:ascii="宋体" w:hAnsi="宋体" w:cs="宋体"/>
          <w:color w:val="auto"/>
          <w:sz w:val="24"/>
          <w:highlight w:val="none"/>
          <w:u w:val="single"/>
        </w:rPr>
        <w:t xml:space="preserve">（标的名称） </w:t>
      </w:r>
      <w:r>
        <w:rPr>
          <w:rFonts w:hint="eastAsia" w:ascii="宋体" w:hAnsi="宋体" w:cs="宋体"/>
          <w:color w:val="auto"/>
          <w:sz w:val="24"/>
          <w:highlight w:val="none"/>
        </w:rPr>
        <w:t xml:space="preserve">，属于 </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租赁和商务服务业</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rPr>
        <w:t xml:space="preserve">；承建（承接）企业为 </w:t>
      </w:r>
      <w:r>
        <w:rPr>
          <w:rFonts w:hint="eastAsia" w:ascii="宋体" w:hAnsi="宋体" w:cs="宋体"/>
          <w:color w:val="auto"/>
          <w:sz w:val="24"/>
          <w:highlight w:val="none"/>
          <w:u w:val="single"/>
        </w:rPr>
        <w:t xml:space="preserve">（企业名称） </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 ，属于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14:paraId="30EC8F2E">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2. </w:t>
      </w:r>
      <w:r>
        <w:rPr>
          <w:rFonts w:hint="eastAsia" w:ascii="宋体" w:hAnsi="宋体" w:cs="宋体"/>
          <w:color w:val="auto"/>
          <w:sz w:val="24"/>
          <w:highlight w:val="none"/>
          <w:u w:val="single"/>
        </w:rPr>
        <w:t xml:space="preserve">（标的名称） </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 （采购文件中明确的所属行业） </w:t>
      </w:r>
      <w:r>
        <w:rPr>
          <w:rFonts w:hint="eastAsia" w:ascii="宋体" w:hAnsi="宋体" w:cs="宋体"/>
          <w:color w:val="auto"/>
          <w:sz w:val="24"/>
          <w:highlight w:val="none"/>
        </w:rPr>
        <w:t xml:space="preserve">；承建（承接）企业为 </w:t>
      </w:r>
      <w:r>
        <w:rPr>
          <w:rFonts w:hint="eastAsia" w:ascii="宋体" w:hAnsi="宋体" w:cs="宋体"/>
          <w:color w:val="auto"/>
          <w:sz w:val="24"/>
          <w:highlight w:val="none"/>
          <w:u w:val="single"/>
        </w:rPr>
        <w:t xml:space="preserve">（企业名称） </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14:paraId="1753092D">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p>
    <w:p w14:paraId="6939AEFC">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360B9FBD">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1E680CA7">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cs="宋体"/>
          <w:color w:val="auto"/>
          <w:sz w:val="24"/>
          <w:highlight w:val="none"/>
        </w:rPr>
      </w:pPr>
    </w:p>
    <w:p w14:paraId="165A8BF0">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cs="宋体"/>
          <w:color w:val="auto"/>
          <w:sz w:val="24"/>
          <w:highlight w:val="none"/>
        </w:rPr>
      </w:pPr>
    </w:p>
    <w:p w14:paraId="5D18C2C9">
      <w:pPr>
        <w:keepNext w:val="0"/>
        <w:keepLines w:val="0"/>
        <w:pageBreakBefore w:val="0"/>
        <w:kinsoku/>
        <w:wordWrap/>
        <w:overflowPunct/>
        <w:topLinePunct w:val="0"/>
        <w:autoSpaceDE/>
        <w:autoSpaceDN/>
        <w:bidi w:val="0"/>
        <w:adjustRightInd/>
        <w:snapToGrid/>
        <w:spacing w:line="360" w:lineRule="auto"/>
        <w:ind w:firstLine="4800" w:firstLineChars="20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企业名称（盖章）：</w:t>
      </w:r>
    </w:p>
    <w:p w14:paraId="3529B04F">
      <w:pPr>
        <w:keepNext w:val="0"/>
        <w:keepLines w:val="0"/>
        <w:pageBreakBefore w:val="0"/>
        <w:kinsoku/>
        <w:wordWrap/>
        <w:overflowPunct/>
        <w:topLinePunct w:val="0"/>
        <w:autoSpaceDE/>
        <w:autoSpaceDN/>
        <w:bidi w:val="0"/>
        <w:adjustRightInd/>
        <w:snapToGrid/>
        <w:spacing w:line="360" w:lineRule="auto"/>
        <w:ind w:firstLine="5040" w:firstLineChars="2100"/>
        <w:jc w:val="left"/>
        <w:textAlignment w:val="auto"/>
        <w:rPr>
          <w:rFonts w:hint="eastAsia" w:ascii="宋体" w:hAnsi="宋体" w:cs="宋体"/>
          <w:color w:val="auto"/>
          <w:sz w:val="24"/>
          <w:highlight w:val="none"/>
        </w:rPr>
      </w:pPr>
    </w:p>
    <w:p w14:paraId="0E5020A8">
      <w:pPr>
        <w:keepNext w:val="0"/>
        <w:keepLines w:val="0"/>
        <w:pageBreakBefore w:val="0"/>
        <w:kinsoku/>
        <w:wordWrap/>
        <w:overflowPunct/>
        <w:topLinePunct w:val="0"/>
        <w:autoSpaceDE/>
        <w:autoSpaceDN/>
        <w:bidi w:val="0"/>
        <w:adjustRightInd/>
        <w:snapToGrid/>
        <w:spacing w:line="360" w:lineRule="auto"/>
        <w:ind w:firstLine="5040" w:firstLineChars="21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日 期：</w:t>
      </w:r>
    </w:p>
    <w:p w14:paraId="06189ABE">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cs="宋体"/>
          <w:color w:val="auto"/>
          <w:sz w:val="24"/>
          <w:highlight w:val="none"/>
        </w:rPr>
      </w:pPr>
    </w:p>
    <w:p w14:paraId="262170DB">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cs="宋体"/>
          <w:color w:val="auto"/>
          <w:sz w:val="24"/>
          <w:highlight w:val="none"/>
        </w:rPr>
      </w:pPr>
    </w:p>
    <w:p w14:paraId="20B911A9">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cs="宋体"/>
          <w:color w:val="auto"/>
          <w:sz w:val="24"/>
          <w:highlight w:val="none"/>
        </w:rPr>
      </w:pPr>
    </w:p>
    <w:p w14:paraId="2B6A1D4F">
      <w:pPr>
        <w:spacing w:line="360" w:lineRule="auto"/>
        <w:jc w:val="left"/>
        <w:rPr>
          <w:rFonts w:hint="eastAsia" w:ascii="宋体" w:hAnsi="宋体" w:cs="宋体"/>
          <w:color w:val="auto"/>
          <w:sz w:val="24"/>
          <w:highlight w:val="none"/>
        </w:rPr>
      </w:pPr>
    </w:p>
    <w:p w14:paraId="6A04C33A">
      <w:pPr>
        <w:spacing w:line="360" w:lineRule="auto"/>
        <w:jc w:val="left"/>
        <w:rPr>
          <w:rFonts w:hint="eastAsia" w:ascii="宋体" w:hAnsi="宋体" w:cs="宋体"/>
          <w:color w:val="auto"/>
          <w:sz w:val="24"/>
          <w:highlight w:val="none"/>
        </w:rPr>
      </w:pPr>
    </w:p>
    <w:p w14:paraId="3BD84671">
      <w:pPr>
        <w:pStyle w:val="4"/>
        <w:keepNext/>
        <w:keepLines/>
        <w:pageBreakBefore w:val="0"/>
        <w:widowControl w:val="0"/>
        <w:kinsoku/>
        <w:wordWrap/>
        <w:overflowPunct/>
        <w:topLinePunct w:val="0"/>
        <w:autoSpaceDE/>
        <w:autoSpaceDN/>
        <w:bidi w:val="0"/>
        <w:adjustRightInd/>
        <w:snapToGrid/>
        <w:spacing w:line="240" w:lineRule="auto"/>
        <w:ind w:firstLine="482"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cs="宋体"/>
          <w:color w:val="auto"/>
          <w:sz w:val="24"/>
          <w:highlight w:val="none"/>
        </w:rPr>
        <w:t>注：从业人员、营业收入、资产总额填报上一年度数据，无上一年度数据的新成立企业可不填报。</w:t>
      </w:r>
    </w:p>
    <w:p w14:paraId="15F8685D">
      <w:pPr>
        <w:tabs>
          <w:tab w:val="left" w:pos="360"/>
          <w:tab w:val="left" w:pos="1800"/>
        </w:tabs>
        <w:wordWrap/>
        <w:spacing w:line="360" w:lineRule="auto"/>
        <w:jc w:val="center"/>
        <w:textAlignment w:val="auto"/>
        <w:rPr>
          <w:rFonts w:hint="eastAsia" w:ascii="宋体" w:hAnsi="宋体" w:eastAsia="宋体" w:cs="宋体"/>
          <w:b/>
          <w:bCs/>
          <w:color w:val="auto"/>
          <w:sz w:val="24"/>
          <w:szCs w:val="24"/>
          <w:highlight w:val="none"/>
        </w:rPr>
      </w:pPr>
    </w:p>
    <w:p w14:paraId="660E67ED">
      <w:pPr>
        <w:pStyle w:val="4"/>
        <w:wordWrap/>
        <w:spacing w:before="0" w:after="0"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一览表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首次</w:t>
      </w:r>
      <w:r>
        <w:rPr>
          <w:rFonts w:hint="eastAsia" w:ascii="宋体" w:hAnsi="宋体" w:eastAsia="宋体" w:cs="宋体"/>
          <w:color w:val="auto"/>
          <w:sz w:val="24"/>
          <w:szCs w:val="24"/>
          <w:highlight w:val="none"/>
          <w:lang w:eastAsia="zh-CN"/>
        </w:rPr>
        <w:t>）</w:t>
      </w:r>
    </w:p>
    <w:p w14:paraId="3A0ECE7D">
      <w:pPr>
        <w:pStyle w:val="4"/>
        <w:wordWrap/>
        <w:spacing w:before="0" w:after="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项目名称：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币种：人民币</w:t>
      </w:r>
    </w:p>
    <w:tbl>
      <w:tblPr>
        <w:tblStyle w:val="59"/>
        <w:tblW w:w="10475" w:type="dxa"/>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05"/>
        <w:gridCol w:w="2817"/>
        <w:gridCol w:w="5371"/>
        <w:gridCol w:w="1482"/>
      </w:tblGrid>
      <w:tr w14:paraId="16E80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0" w:hRule="atLeast"/>
        </w:trPr>
        <w:tc>
          <w:tcPr>
            <w:tcW w:w="805" w:type="dxa"/>
            <w:tcBorders>
              <w:top w:val="single" w:color="auto" w:sz="4" w:space="0"/>
              <w:left w:val="single" w:color="000000" w:sz="2" w:space="0"/>
              <w:right w:val="single" w:color="000000" w:sz="2" w:space="0"/>
            </w:tcBorders>
            <w:noWrap w:val="0"/>
            <w:vAlign w:val="center"/>
          </w:tcPr>
          <w:p w14:paraId="75BA173B">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2817" w:type="dxa"/>
            <w:tcBorders>
              <w:top w:val="single" w:color="auto" w:sz="4" w:space="0"/>
              <w:left w:val="single" w:color="auto" w:sz="4" w:space="0"/>
              <w:right w:val="single" w:color="auto" w:sz="4" w:space="0"/>
            </w:tcBorders>
            <w:noWrap w:val="0"/>
            <w:vAlign w:val="center"/>
          </w:tcPr>
          <w:p w14:paraId="73936758">
            <w:pPr>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项目名称</w:t>
            </w:r>
          </w:p>
        </w:tc>
        <w:tc>
          <w:tcPr>
            <w:tcW w:w="5371" w:type="dxa"/>
            <w:tcBorders>
              <w:top w:val="single" w:color="auto" w:sz="4" w:space="0"/>
              <w:left w:val="single" w:color="auto" w:sz="4" w:space="0"/>
              <w:bottom w:val="single" w:color="auto" w:sz="4" w:space="0"/>
              <w:right w:val="single" w:color="auto" w:sz="4" w:space="0"/>
            </w:tcBorders>
            <w:noWrap w:val="0"/>
            <w:vAlign w:val="center"/>
          </w:tcPr>
          <w:p w14:paraId="11CE578E">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报价（万元</w:t>
            </w:r>
            <w:r>
              <w:rPr>
                <w:rFonts w:hint="eastAsia" w:ascii="宋体" w:hAnsi="宋体" w:cs="宋体"/>
                <w:color w:val="auto"/>
                <w:sz w:val="24"/>
                <w:highlight w:val="none"/>
                <w:lang w:val="en-US" w:eastAsia="zh-CN"/>
              </w:rPr>
              <w:t>/年</w:t>
            </w:r>
            <w:r>
              <w:rPr>
                <w:rFonts w:hint="eastAsia" w:ascii="宋体" w:hAnsi="宋体" w:cs="宋体"/>
                <w:color w:val="auto"/>
                <w:sz w:val="24"/>
                <w:highlight w:val="none"/>
              </w:rPr>
              <w:t>）</w:t>
            </w:r>
          </w:p>
        </w:tc>
        <w:tc>
          <w:tcPr>
            <w:tcW w:w="1482" w:type="dxa"/>
            <w:tcBorders>
              <w:top w:val="single" w:color="auto" w:sz="4" w:space="0"/>
              <w:left w:val="single" w:color="auto" w:sz="4" w:space="0"/>
              <w:bottom w:val="single" w:color="auto" w:sz="4" w:space="0"/>
              <w:right w:val="single" w:color="000000" w:sz="2" w:space="0"/>
            </w:tcBorders>
            <w:noWrap w:val="0"/>
            <w:vAlign w:val="center"/>
          </w:tcPr>
          <w:p w14:paraId="46A0E2F5">
            <w:pPr>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备注</w:t>
            </w:r>
          </w:p>
        </w:tc>
      </w:tr>
      <w:tr w14:paraId="252A3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5" w:hRule="atLeast"/>
        </w:trPr>
        <w:tc>
          <w:tcPr>
            <w:tcW w:w="805" w:type="dxa"/>
            <w:vMerge w:val="restart"/>
            <w:tcBorders>
              <w:left w:val="single" w:color="000000" w:sz="2" w:space="0"/>
              <w:right w:val="single" w:color="000000" w:sz="2" w:space="0"/>
            </w:tcBorders>
            <w:noWrap w:val="0"/>
            <w:vAlign w:val="center"/>
          </w:tcPr>
          <w:p w14:paraId="21A1A980">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2817" w:type="dxa"/>
            <w:vMerge w:val="restart"/>
            <w:tcBorders>
              <w:left w:val="single" w:color="auto" w:sz="4" w:space="0"/>
              <w:right w:val="single" w:color="auto" w:sz="4" w:space="0"/>
            </w:tcBorders>
            <w:noWrap w:val="0"/>
            <w:vAlign w:val="center"/>
          </w:tcPr>
          <w:p w14:paraId="2C0CB4E4">
            <w:pPr>
              <w:spacing w:line="400" w:lineRule="exact"/>
              <w:jc w:val="center"/>
              <w:rPr>
                <w:rFonts w:hint="default" w:ascii="宋体" w:hAnsi="宋体" w:eastAsia="宋体" w:cs="宋体"/>
                <w:color w:val="auto"/>
                <w:sz w:val="24"/>
                <w:highlight w:val="none"/>
                <w:lang w:val="en-US" w:eastAsia="zh-CN"/>
              </w:rPr>
            </w:pPr>
            <w:r>
              <w:rPr>
                <w:rFonts w:hint="eastAsia" w:cs="宋体"/>
                <w:color w:val="auto"/>
                <w:sz w:val="24"/>
                <w:szCs w:val="24"/>
                <w:highlight w:val="none"/>
                <w:lang w:eastAsia="zh-CN"/>
              </w:rPr>
              <w:t>安保消防服务</w:t>
            </w:r>
          </w:p>
        </w:tc>
        <w:tc>
          <w:tcPr>
            <w:tcW w:w="5371" w:type="dxa"/>
            <w:tcBorders>
              <w:top w:val="single" w:color="auto" w:sz="4" w:space="0"/>
              <w:left w:val="single" w:color="auto" w:sz="4" w:space="0"/>
              <w:bottom w:val="single" w:color="auto" w:sz="4" w:space="0"/>
              <w:right w:val="single" w:color="auto" w:sz="4" w:space="0"/>
            </w:tcBorders>
            <w:noWrap w:val="0"/>
            <w:vAlign w:val="center"/>
          </w:tcPr>
          <w:p w14:paraId="492F1CFB">
            <w:pPr>
              <w:spacing w:line="400" w:lineRule="exact"/>
              <w:rPr>
                <w:rFonts w:hint="eastAsia" w:ascii="宋体" w:hAnsi="宋体" w:cs="宋体"/>
                <w:color w:val="auto"/>
                <w:sz w:val="24"/>
                <w:highlight w:val="none"/>
              </w:rPr>
            </w:pPr>
            <w:r>
              <w:rPr>
                <w:rFonts w:hint="eastAsia" w:ascii="宋体" w:hAnsi="宋体" w:cs="宋体"/>
                <w:color w:val="auto"/>
                <w:sz w:val="24"/>
                <w:highlight w:val="none"/>
              </w:rPr>
              <w:t>小写：￥</w:t>
            </w:r>
          </w:p>
        </w:tc>
        <w:tc>
          <w:tcPr>
            <w:tcW w:w="1482" w:type="dxa"/>
            <w:vMerge w:val="restart"/>
            <w:tcBorders>
              <w:top w:val="single" w:color="auto" w:sz="4" w:space="0"/>
              <w:left w:val="single" w:color="auto" w:sz="4" w:space="0"/>
              <w:right w:val="single" w:color="000000" w:sz="2" w:space="0"/>
            </w:tcBorders>
            <w:noWrap w:val="0"/>
            <w:vAlign w:val="center"/>
          </w:tcPr>
          <w:p w14:paraId="77ABC1B4">
            <w:pPr>
              <w:spacing w:line="40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附报价明细</w:t>
            </w:r>
          </w:p>
        </w:tc>
      </w:tr>
      <w:tr w14:paraId="55DB9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3" w:hRule="atLeast"/>
        </w:trPr>
        <w:tc>
          <w:tcPr>
            <w:tcW w:w="805" w:type="dxa"/>
            <w:vMerge w:val="continue"/>
            <w:tcBorders>
              <w:left w:val="single" w:color="000000" w:sz="2" w:space="0"/>
              <w:right w:val="single" w:color="000000" w:sz="2" w:space="0"/>
            </w:tcBorders>
            <w:noWrap w:val="0"/>
            <w:vAlign w:val="center"/>
          </w:tcPr>
          <w:p w14:paraId="7426550E">
            <w:pPr>
              <w:spacing w:line="400" w:lineRule="exact"/>
              <w:jc w:val="center"/>
              <w:rPr>
                <w:rFonts w:hint="eastAsia" w:ascii="宋体" w:hAnsi="宋体" w:cs="宋体"/>
                <w:color w:val="auto"/>
                <w:sz w:val="24"/>
                <w:highlight w:val="none"/>
              </w:rPr>
            </w:pPr>
          </w:p>
        </w:tc>
        <w:tc>
          <w:tcPr>
            <w:tcW w:w="2817" w:type="dxa"/>
            <w:vMerge w:val="continue"/>
            <w:tcBorders>
              <w:left w:val="single" w:color="auto" w:sz="4" w:space="0"/>
              <w:bottom w:val="single" w:color="auto" w:sz="4" w:space="0"/>
              <w:right w:val="single" w:color="auto" w:sz="4" w:space="0"/>
            </w:tcBorders>
            <w:noWrap w:val="0"/>
            <w:vAlign w:val="center"/>
          </w:tcPr>
          <w:p w14:paraId="0130B6D7">
            <w:pPr>
              <w:spacing w:line="400" w:lineRule="exact"/>
              <w:rPr>
                <w:rFonts w:hint="eastAsia" w:ascii="宋体" w:hAnsi="宋体" w:cs="宋体"/>
                <w:color w:val="auto"/>
                <w:sz w:val="24"/>
                <w:highlight w:val="none"/>
              </w:rPr>
            </w:pPr>
          </w:p>
        </w:tc>
        <w:tc>
          <w:tcPr>
            <w:tcW w:w="5371" w:type="dxa"/>
            <w:tcBorders>
              <w:top w:val="single" w:color="auto" w:sz="4" w:space="0"/>
              <w:left w:val="single" w:color="auto" w:sz="4" w:space="0"/>
              <w:bottom w:val="single" w:color="auto" w:sz="4" w:space="0"/>
              <w:right w:val="single" w:color="auto" w:sz="4" w:space="0"/>
            </w:tcBorders>
            <w:noWrap w:val="0"/>
            <w:vAlign w:val="center"/>
          </w:tcPr>
          <w:p w14:paraId="2A69F679">
            <w:pPr>
              <w:spacing w:line="400" w:lineRule="exac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大写：</w:t>
            </w:r>
          </w:p>
        </w:tc>
        <w:tc>
          <w:tcPr>
            <w:tcW w:w="1482" w:type="dxa"/>
            <w:vMerge w:val="continue"/>
            <w:tcBorders>
              <w:left w:val="single" w:color="auto" w:sz="4" w:space="0"/>
              <w:bottom w:val="single" w:color="auto" w:sz="4" w:space="0"/>
              <w:right w:val="single" w:color="000000" w:sz="2" w:space="0"/>
            </w:tcBorders>
            <w:noWrap w:val="0"/>
            <w:vAlign w:val="center"/>
          </w:tcPr>
          <w:p w14:paraId="1DC0BF25">
            <w:pPr>
              <w:spacing w:line="400" w:lineRule="exact"/>
              <w:rPr>
                <w:rFonts w:hint="eastAsia" w:ascii="宋体" w:hAnsi="宋体" w:cs="宋体"/>
                <w:color w:val="auto"/>
                <w:sz w:val="24"/>
                <w:highlight w:val="none"/>
              </w:rPr>
            </w:pPr>
          </w:p>
        </w:tc>
      </w:tr>
      <w:tr w14:paraId="6C410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5" w:hRule="atLeast"/>
        </w:trPr>
        <w:tc>
          <w:tcPr>
            <w:tcW w:w="805" w:type="dxa"/>
            <w:tcBorders>
              <w:left w:val="single" w:color="000000" w:sz="2" w:space="0"/>
              <w:bottom w:val="single" w:color="000000" w:sz="2" w:space="0"/>
              <w:right w:val="single" w:color="000000" w:sz="2" w:space="0"/>
            </w:tcBorders>
            <w:noWrap w:val="0"/>
            <w:vAlign w:val="center"/>
          </w:tcPr>
          <w:p w14:paraId="39284F29">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2817" w:type="dxa"/>
            <w:tcBorders>
              <w:top w:val="single" w:color="auto" w:sz="4" w:space="0"/>
              <w:left w:val="single" w:color="auto" w:sz="4" w:space="0"/>
              <w:bottom w:val="single" w:color="000000" w:sz="2" w:space="0"/>
              <w:right w:val="single" w:color="auto" w:sz="4" w:space="0"/>
            </w:tcBorders>
            <w:noWrap w:val="0"/>
            <w:vAlign w:val="center"/>
          </w:tcPr>
          <w:p w14:paraId="15A2AAF2">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服务期限</w:t>
            </w:r>
          </w:p>
        </w:tc>
        <w:tc>
          <w:tcPr>
            <w:tcW w:w="6853" w:type="dxa"/>
            <w:gridSpan w:val="2"/>
            <w:tcBorders>
              <w:top w:val="single" w:color="auto" w:sz="4" w:space="0"/>
              <w:left w:val="single" w:color="auto" w:sz="4" w:space="0"/>
              <w:bottom w:val="single" w:color="000000" w:sz="2" w:space="0"/>
              <w:right w:val="single" w:color="000000" w:sz="2" w:space="0"/>
            </w:tcBorders>
            <w:noWrap w:val="0"/>
            <w:vAlign w:val="center"/>
          </w:tcPr>
          <w:p w14:paraId="75567204">
            <w:pPr>
              <w:spacing w:line="400" w:lineRule="exact"/>
              <w:jc w:val="center"/>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2026年1月1日至2028年12月31日</w:t>
            </w:r>
            <w:r>
              <w:rPr>
                <w:rFonts w:hint="eastAsia" w:ascii="宋体" w:hAnsi="宋体" w:eastAsia="宋体" w:cs="宋体"/>
                <w:color w:val="auto"/>
                <w:sz w:val="24"/>
                <w:highlight w:val="none"/>
              </w:rPr>
              <w:t>。</w:t>
            </w:r>
          </w:p>
        </w:tc>
      </w:tr>
      <w:tr w14:paraId="0A1E2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5" w:hRule="atLeast"/>
        </w:trPr>
        <w:tc>
          <w:tcPr>
            <w:tcW w:w="805" w:type="dxa"/>
            <w:tcBorders>
              <w:left w:val="single" w:color="000000" w:sz="2" w:space="0"/>
              <w:bottom w:val="single" w:color="000000" w:sz="2" w:space="0"/>
              <w:right w:val="single" w:color="000000" w:sz="2" w:space="0"/>
            </w:tcBorders>
            <w:noWrap w:val="0"/>
            <w:vAlign w:val="center"/>
          </w:tcPr>
          <w:p w14:paraId="04487C31">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2817" w:type="dxa"/>
            <w:tcBorders>
              <w:top w:val="single" w:color="auto" w:sz="4" w:space="0"/>
              <w:left w:val="single" w:color="auto" w:sz="4" w:space="0"/>
              <w:bottom w:val="single" w:color="000000" w:sz="2" w:space="0"/>
              <w:right w:val="single" w:color="auto" w:sz="4" w:space="0"/>
            </w:tcBorders>
            <w:noWrap w:val="0"/>
            <w:vAlign w:val="center"/>
          </w:tcPr>
          <w:p w14:paraId="7B3ED500">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项目负责人</w:t>
            </w:r>
          </w:p>
        </w:tc>
        <w:tc>
          <w:tcPr>
            <w:tcW w:w="6853" w:type="dxa"/>
            <w:gridSpan w:val="2"/>
            <w:tcBorders>
              <w:top w:val="single" w:color="auto" w:sz="4" w:space="0"/>
              <w:left w:val="single" w:color="auto" w:sz="4" w:space="0"/>
              <w:bottom w:val="single" w:color="000000" w:sz="2" w:space="0"/>
              <w:right w:val="single" w:color="000000" w:sz="2" w:space="0"/>
            </w:tcBorders>
            <w:noWrap w:val="0"/>
            <w:vAlign w:val="center"/>
          </w:tcPr>
          <w:p w14:paraId="1DD0CA60">
            <w:pPr>
              <w:spacing w:line="400" w:lineRule="exact"/>
              <w:jc w:val="center"/>
              <w:rPr>
                <w:rFonts w:hint="eastAsia" w:ascii="宋体" w:hAnsi="宋体" w:eastAsia="宋体" w:cs="宋体"/>
                <w:color w:val="auto"/>
                <w:sz w:val="24"/>
                <w:highlight w:val="none"/>
              </w:rPr>
            </w:pPr>
          </w:p>
        </w:tc>
      </w:tr>
      <w:tr w14:paraId="40C73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12" w:hRule="atLeast"/>
        </w:trPr>
        <w:tc>
          <w:tcPr>
            <w:tcW w:w="805" w:type="dxa"/>
            <w:tcBorders>
              <w:top w:val="single" w:color="auto" w:sz="4" w:space="0"/>
              <w:left w:val="single" w:color="000000" w:sz="2" w:space="0"/>
              <w:bottom w:val="single" w:color="000000" w:sz="2" w:space="0"/>
              <w:right w:val="single" w:color="000000" w:sz="2" w:space="0"/>
            </w:tcBorders>
            <w:noWrap w:val="0"/>
            <w:vAlign w:val="center"/>
          </w:tcPr>
          <w:p w14:paraId="338742DF">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2817" w:type="dxa"/>
            <w:tcBorders>
              <w:top w:val="single" w:color="auto" w:sz="4" w:space="0"/>
              <w:left w:val="single" w:color="auto" w:sz="4" w:space="0"/>
              <w:bottom w:val="single" w:color="000000" w:sz="2" w:space="0"/>
              <w:right w:val="single" w:color="000000" w:sz="2" w:space="0"/>
            </w:tcBorders>
            <w:noWrap w:val="0"/>
            <w:vAlign w:val="center"/>
          </w:tcPr>
          <w:p w14:paraId="37939175">
            <w:pPr>
              <w:spacing w:line="400" w:lineRule="exact"/>
              <w:jc w:val="center"/>
              <w:rPr>
                <w:rFonts w:hint="eastAsia" w:ascii="宋体" w:hAnsi="宋体" w:cs="宋体"/>
                <w:color w:val="auto"/>
                <w:sz w:val="24"/>
                <w:highlight w:val="none"/>
              </w:rPr>
            </w:pPr>
            <w:r>
              <w:rPr>
                <w:rFonts w:hint="eastAsia" w:ascii="宋体" w:hAnsi="宋体" w:cs="宋体"/>
                <w:b/>
                <w:color w:val="auto"/>
                <w:sz w:val="24"/>
                <w:highlight w:val="none"/>
              </w:rPr>
              <w:t>供应商其它说明（由各供应商根据本采购项目要求自行列出需说明及承诺内容）</w:t>
            </w:r>
          </w:p>
        </w:tc>
        <w:tc>
          <w:tcPr>
            <w:tcW w:w="6853" w:type="dxa"/>
            <w:gridSpan w:val="2"/>
            <w:tcBorders>
              <w:top w:val="single" w:color="auto" w:sz="4" w:space="0"/>
              <w:left w:val="single" w:color="auto" w:sz="4" w:space="0"/>
              <w:bottom w:val="single" w:color="000000" w:sz="2" w:space="0"/>
              <w:right w:val="single" w:color="000000" w:sz="2" w:space="0"/>
            </w:tcBorders>
            <w:noWrap w:val="0"/>
            <w:vAlign w:val="center"/>
          </w:tcPr>
          <w:p w14:paraId="485ED2E5">
            <w:pPr>
              <w:spacing w:line="400" w:lineRule="exact"/>
              <w:rPr>
                <w:rFonts w:hint="eastAsia" w:ascii="宋体" w:hAnsi="宋体" w:cs="宋体"/>
                <w:color w:val="auto"/>
                <w:sz w:val="24"/>
                <w:highlight w:val="none"/>
              </w:rPr>
            </w:pPr>
          </w:p>
        </w:tc>
      </w:tr>
      <w:tr w14:paraId="7D9A0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75" w:hRule="exact"/>
        </w:trPr>
        <w:tc>
          <w:tcPr>
            <w:tcW w:w="10475" w:type="dxa"/>
            <w:gridSpan w:val="4"/>
            <w:tcBorders>
              <w:top w:val="single" w:color="auto" w:sz="4" w:space="0"/>
              <w:left w:val="single" w:color="000000" w:sz="2" w:space="0"/>
              <w:bottom w:val="single" w:color="000000" w:sz="2" w:space="0"/>
              <w:right w:val="single" w:color="000000" w:sz="2" w:space="0"/>
            </w:tcBorders>
            <w:noWrap w:val="0"/>
            <w:vAlign w:val="center"/>
          </w:tcPr>
          <w:p w14:paraId="5A4294CD">
            <w:pPr>
              <w:adjustRightInd w:val="0"/>
              <w:snapToGri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注：报价包含的内容：</w:t>
            </w:r>
            <w:r>
              <w:rPr>
                <w:rFonts w:hint="eastAsia" w:ascii="宋体" w:hAnsi="宋体" w:eastAsia="宋体" w:cs="宋体"/>
                <w:b/>
                <w:bCs/>
                <w:color w:val="auto"/>
                <w:sz w:val="24"/>
                <w:highlight w:val="none"/>
                <w:lang w:val="en-US" w:eastAsia="zh-CN"/>
              </w:rPr>
              <w:t>在服务期限内完成</w:t>
            </w:r>
            <w:r>
              <w:rPr>
                <w:rFonts w:hint="eastAsia" w:ascii="宋体" w:hAnsi="宋体" w:cs="宋体"/>
                <w:b/>
                <w:bCs/>
                <w:color w:val="auto"/>
                <w:sz w:val="24"/>
                <w:highlight w:val="none"/>
                <w:lang w:val="en-US" w:eastAsia="zh-CN"/>
              </w:rPr>
              <w:t>国家税务总局克拉玛依市克拉玛依区税务局</w:t>
            </w:r>
            <w:r>
              <w:rPr>
                <w:rFonts w:hint="eastAsia" w:ascii="宋体" w:hAnsi="宋体" w:eastAsia="宋体" w:cs="宋体"/>
                <w:b/>
                <w:bCs/>
                <w:color w:val="auto"/>
                <w:sz w:val="24"/>
                <w:highlight w:val="none"/>
                <w:lang w:val="en-US" w:eastAsia="zh-CN"/>
              </w:rPr>
              <w:t>办公楼安保服务</w:t>
            </w:r>
            <w:r>
              <w:rPr>
                <w:rFonts w:hint="eastAsia" w:ascii="宋体" w:hAnsi="宋体" w:cs="宋体"/>
                <w:b/>
                <w:bCs/>
                <w:color w:val="auto"/>
                <w:sz w:val="24"/>
                <w:highlight w:val="none"/>
                <w:lang w:val="en-US" w:eastAsia="zh-CN"/>
              </w:rPr>
              <w:t>，</w:t>
            </w:r>
            <w:r>
              <w:rPr>
                <w:rFonts w:hint="eastAsia" w:ascii="宋体" w:hAnsi="宋体" w:eastAsia="宋体" w:cs="宋体"/>
                <w:b/>
                <w:bCs/>
                <w:color w:val="auto"/>
                <w:sz w:val="24"/>
                <w:highlight w:val="none"/>
                <w:lang w:val="en-US" w:eastAsia="zh-CN"/>
              </w:rPr>
              <w:t>包括基本服务、安保服务、</w:t>
            </w:r>
            <w:r>
              <w:rPr>
                <w:rFonts w:hint="eastAsia" w:ascii="宋体" w:hAnsi="宋体" w:cs="宋体"/>
                <w:b/>
                <w:bCs/>
                <w:color w:val="auto"/>
                <w:sz w:val="24"/>
                <w:highlight w:val="none"/>
                <w:lang w:val="en-US" w:eastAsia="zh-CN"/>
              </w:rPr>
              <w:t>建筑消防设施日常运行维保服务</w:t>
            </w:r>
            <w:r>
              <w:rPr>
                <w:rFonts w:hint="eastAsia" w:ascii="宋体" w:hAnsi="宋体" w:eastAsia="宋体" w:cs="宋体"/>
                <w:b/>
                <w:bCs/>
                <w:color w:val="auto"/>
                <w:sz w:val="24"/>
                <w:highlight w:val="none"/>
                <w:lang w:val="en-US" w:eastAsia="zh-CN"/>
              </w:rPr>
              <w:t>等，以及合同主要内容、技术规范及标准、项目采购需求、本招标文件约定的全部内容并配合采购人完成此项服务相关的全部工作。</w:t>
            </w:r>
          </w:p>
        </w:tc>
      </w:tr>
    </w:tbl>
    <w:p w14:paraId="50F81BF7">
      <w:pPr>
        <w:rPr>
          <w:rFonts w:hint="eastAsia"/>
          <w:color w:val="auto"/>
          <w:highlight w:val="none"/>
        </w:rPr>
      </w:pPr>
    </w:p>
    <w:p w14:paraId="18C146CD">
      <w:pPr>
        <w:wordWrap/>
        <w:spacing w:line="360" w:lineRule="auto"/>
        <w:ind w:firstLine="240" w:firstLineChars="100"/>
        <w:textAlignment w:val="auto"/>
        <w:rPr>
          <w:rFonts w:hint="eastAsia" w:ascii="宋体" w:hAnsi="宋体" w:eastAsia="宋体" w:cs="宋体"/>
          <w:color w:val="auto"/>
          <w:sz w:val="24"/>
          <w:szCs w:val="24"/>
          <w:highlight w:val="none"/>
        </w:rPr>
      </w:pPr>
    </w:p>
    <w:p w14:paraId="4C388B17">
      <w:pPr>
        <w:wordWrap/>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供应商(盖章)： </w:t>
      </w:r>
    </w:p>
    <w:p w14:paraId="71591DC0">
      <w:pPr>
        <w:wordWrap/>
        <w:spacing w:line="360" w:lineRule="auto"/>
        <w:ind w:firstLine="240" w:firstLineChars="100"/>
        <w:textAlignment w:val="auto"/>
        <w:rPr>
          <w:rFonts w:hint="eastAsia" w:ascii="宋体" w:hAnsi="宋体" w:eastAsia="宋体" w:cs="宋体"/>
          <w:color w:val="auto"/>
          <w:sz w:val="24"/>
          <w:szCs w:val="24"/>
          <w:highlight w:val="none"/>
        </w:rPr>
      </w:pPr>
    </w:p>
    <w:p w14:paraId="7CCCC973">
      <w:pPr>
        <w:wordWrap/>
        <w:spacing w:line="360" w:lineRule="auto"/>
        <w:ind w:firstLine="240" w:firstLineChars="100"/>
        <w:textAlignment w:val="auto"/>
        <w:rPr>
          <w:rFonts w:hint="eastAsia" w:ascii="宋体" w:hAnsi="宋体" w:eastAsia="宋体" w:cs="宋体"/>
          <w:color w:val="auto"/>
          <w:sz w:val="24"/>
          <w:szCs w:val="24"/>
          <w:highlight w:val="none"/>
        </w:rPr>
      </w:pPr>
    </w:p>
    <w:p w14:paraId="25872AF2">
      <w:pPr>
        <w:wordWrap/>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法定代表人或委托代理人（签字或盖章）：</w:t>
      </w:r>
    </w:p>
    <w:p w14:paraId="050289DF">
      <w:pPr>
        <w:wordWrap/>
        <w:spacing w:line="360" w:lineRule="auto"/>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报价日期：   年  月   日</w:t>
      </w:r>
    </w:p>
    <w:p w14:paraId="7F16414F">
      <w:pPr>
        <w:wordWrap/>
        <w:spacing w:line="360" w:lineRule="auto"/>
        <w:ind w:firstLine="240" w:firstLineChars="100"/>
        <w:textAlignment w:val="auto"/>
        <w:rPr>
          <w:rFonts w:hint="eastAsia" w:ascii="宋体" w:hAnsi="宋体" w:eastAsia="宋体" w:cs="宋体"/>
          <w:color w:val="auto"/>
          <w:sz w:val="24"/>
          <w:szCs w:val="24"/>
          <w:highlight w:val="none"/>
        </w:rPr>
      </w:pPr>
    </w:p>
    <w:p w14:paraId="304C6ED5">
      <w:pPr>
        <w:wordWrap/>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注：供应商须按本报价一览表格式制作“最后报价表”并加盖单位公章，经磋商后由各供应商填写最后报价。</w:t>
      </w:r>
    </w:p>
    <w:p w14:paraId="6D9BE7B3">
      <w:pPr>
        <w:tabs>
          <w:tab w:val="left" w:pos="360"/>
          <w:tab w:val="left" w:pos="1800"/>
        </w:tabs>
        <w:wordWrap/>
        <w:spacing w:line="360" w:lineRule="auto"/>
        <w:jc w:val="center"/>
        <w:textAlignment w:val="auto"/>
        <w:rPr>
          <w:rFonts w:hint="eastAsia" w:ascii="宋体" w:hAnsi="宋体" w:eastAsia="宋体" w:cs="宋体"/>
          <w:b/>
          <w:bCs/>
          <w:color w:val="auto"/>
          <w:sz w:val="24"/>
          <w:szCs w:val="24"/>
          <w:highlight w:val="none"/>
        </w:rPr>
      </w:pPr>
    </w:p>
    <w:p w14:paraId="62991198">
      <w:pPr>
        <w:tabs>
          <w:tab w:val="left" w:pos="360"/>
          <w:tab w:val="left" w:pos="1800"/>
        </w:tabs>
        <w:wordWrap/>
        <w:spacing w:line="360" w:lineRule="auto"/>
        <w:jc w:val="center"/>
        <w:textAlignment w:val="auto"/>
        <w:rPr>
          <w:rFonts w:hint="eastAsia" w:ascii="宋体" w:hAnsi="宋体" w:eastAsia="宋体" w:cs="宋体"/>
          <w:b/>
          <w:bCs/>
          <w:color w:val="auto"/>
          <w:sz w:val="24"/>
          <w:szCs w:val="24"/>
          <w:highlight w:val="none"/>
        </w:rPr>
      </w:pPr>
    </w:p>
    <w:p w14:paraId="417A01AC">
      <w:pPr>
        <w:tabs>
          <w:tab w:val="left" w:pos="360"/>
          <w:tab w:val="left" w:pos="1800"/>
        </w:tabs>
        <w:wordWrap/>
        <w:spacing w:line="360" w:lineRule="auto"/>
        <w:jc w:val="center"/>
        <w:textAlignment w:val="auto"/>
        <w:rPr>
          <w:rFonts w:hint="eastAsia" w:ascii="宋体" w:hAnsi="宋体" w:eastAsia="宋体" w:cs="宋体"/>
          <w:b/>
          <w:bCs/>
          <w:color w:val="auto"/>
          <w:sz w:val="24"/>
          <w:szCs w:val="24"/>
          <w:highlight w:val="none"/>
        </w:rPr>
      </w:pPr>
    </w:p>
    <w:p w14:paraId="4F98D007">
      <w:pPr>
        <w:pStyle w:val="4"/>
        <w:wordWrap/>
        <w:spacing w:before="0" w:after="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 xml:space="preserve">8  </w:t>
      </w:r>
      <w:r>
        <w:rPr>
          <w:rFonts w:hint="eastAsia" w:ascii="宋体" w:hAnsi="宋体" w:eastAsia="宋体" w:cs="宋体"/>
          <w:color w:val="auto"/>
          <w:sz w:val="24"/>
          <w:szCs w:val="24"/>
          <w:highlight w:val="none"/>
        </w:rPr>
        <w:t xml:space="preserve"> 商务条款</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偏离表</w:t>
      </w:r>
    </w:p>
    <w:tbl>
      <w:tblPr>
        <w:tblStyle w:val="59"/>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49"/>
        <w:gridCol w:w="2371"/>
        <w:gridCol w:w="2160"/>
        <w:gridCol w:w="2340"/>
      </w:tblGrid>
      <w:tr w14:paraId="4F565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1B585C1F">
            <w:pPr>
              <w:wordWrap/>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949" w:type="dxa"/>
            <w:vAlign w:val="center"/>
          </w:tcPr>
          <w:p w14:paraId="798C63AE">
            <w:pPr>
              <w:wordWrap/>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采购文件条目号</w:t>
            </w:r>
          </w:p>
        </w:tc>
        <w:tc>
          <w:tcPr>
            <w:tcW w:w="2371" w:type="dxa"/>
            <w:vAlign w:val="center"/>
          </w:tcPr>
          <w:p w14:paraId="7584642F">
            <w:pPr>
              <w:wordWrap/>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w:t>
            </w:r>
          </w:p>
          <w:p w14:paraId="68EF3659">
            <w:pPr>
              <w:wordWrap/>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商务条款</w:t>
            </w:r>
          </w:p>
        </w:tc>
        <w:tc>
          <w:tcPr>
            <w:tcW w:w="2160" w:type="dxa"/>
            <w:vAlign w:val="center"/>
          </w:tcPr>
          <w:p w14:paraId="231907CD">
            <w:pPr>
              <w:wordWrap/>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w:t>
            </w:r>
          </w:p>
          <w:p w14:paraId="5AF9045A">
            <w:pPr>
              <w:wordWrap/>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商务条款</w:t>
            </w:r>
          </w:p>
        </w:tc>
        <w:tc>
          <w:tcPr>
            <w:tcW w:w="2340" w:type="dxa"/>
            <w:vAlign w:val="center"/>
          </w:tcPr>
          <w:p w14:paraId="096C56E8">
            <w:pPr>
              <w:wordWrap/>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14:paraId="3AB27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vAlign w:val="center"/>
          </w:tcPr>
          <w:p w14:paraId="1747521F">
            <w:pPr>
              <w:wordWrap/>
              <w:spacing w:line="360" w:lineRule="auto"/>
              <w:textAlignment w:val="auto"/>
              <w:rPr>
                <w:rFonts w:hint="eastAsia" w:ascii="宋体" w:hAnsi="宋体" w:eastAsia="宋体" w:cs="宋体"/>
                <w:color w:val="auto"/>
                <w:sz w:val="24"/>
                <w:szCs w:val="24"/>
                <w:highlight w:val="none"/>
              </w:rPr>
            </w:pPr>
          </w:p>
        </w:tc>
        <w:tc>
          <w:tcPr>
            <w:tcW w:w="1949" w:type="dxa"/>
            <w:vAlign w:val="center"/>
          </w:tcPr>
          <w:p w14:paraId="41517ADA">
            <w:pPr>
              <w:wordWrap/>
              <w:spacing w:line="360" w:lineRule="auto"/>
              <w:textAlignment w:val="auto"/>
              <w:rPr>
                <w:rFonts w:hint="eastAsia" w:ascii="宋体" w:hAnsi="宋体" w:eastAsia="宋体" w:cs="宋体"/>
                <w:color w:val="auto"/>
                <w:sz w:val="24"/>
                <w:szCs w:val="24"/>
                <w:highlight w:val="none"/>
              </w:rPr>
            </w:pPr>
          </w:p>
        </w:tc>
        <w:tc>
          <w:tcPr>
            <w:tcW w:w="2371" w:type="dxa"/>
            <w:vAlign w:val="center"/>
          </w:tcPr>
          <w:p w14:paraId="021153EC">
            <w:pPr>
              <w:wordWrap/>
              <w:spacing w:line="360" w:lineRule="auto"/>
              <w:textAlignment w:val="auto"/>
              <w:rPr>
                <w:rFonts w:hint="eastAsia" w:ascii="宋体" w:hAnsi="宋体" w:eastAsia="宋体" w:cs="宋体"/>
                <w:color w:val="auto"/>
                <w:sz w:val="24"/>
                <w:szCs w:val="24"/>
                <w:highlight w:val="none"/>
              </w:rPr>
            </w:pPr>
          </w:p>
        </w:tc>
        <w:tc>
          <w:tcPr>
            <w:tcW w:w="2160" w:type="dxa"/>
            <w:vAlign w:val="center"/>
          </w:tcPr>
          <w:p w14:paraId="67340C99">
            <w:pPr>
              <w:wordWrap/>
              <w:spacing w:line="360" w:lineRule="auto"/>
              <w:textAlignment w:val="auto"/>
              <w:rPr>
                <w:rFonts w:hint="eastAsia" w:ascii="宋体" w:hAnsi="宋体" w:eastAsia="宋体" w:cs="宋体"/>
                <w:color w:val="auto"/>
                <w:sz w:val="24"/>
                <w:szCs w:val="24"/>
                <w:highlight w:val="none"/>
              </w:rPr>
            </w:pPr>
          </w:p>
        </w:tc>
        <w:tc>
          <w:tcPr>
            <w:tcW w:w="2340" w:type="dxa"/>
            <w:vAlign w:val="center"/>
          </w:tcPr>
          <w:p w14:paraId="62B71CDC">
            <w:pPr>
              <w:wordWrap/>
              <w:spacing w:line="360" w:lineRule="auto"/>
              <w:textAlignment w:val="auto"/>
              <w:rPr>
                <w:rFonts w:hint="eastAsia" w:ascii="宋体" w:hAnsi="宋体" w:eastAsia="宋体" w:cs="宋体"/>
                <w:color w:val="auto"/>
                <w:sz w:val="24"/>
                <w:szCs w:val="24"/>
                <w:highlight w:val="none"/>
              </w:rPr>
            </w:pPr>
          </w:p>
        </w:tc>
      </w:tr>
      <w:tr w14:paraId="3DBED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vAlign w:val="center"/>
          </w:tcPr>
          <w:p w14:paraId="6CA76B9E">
            <w:pPr>
              <w:wordWrap/>
              <w:spacing w:line="360" w:lineRule="auto"/>
              <w:textAlignment w:val="auto"/>
              <w:rPr>
                <w:rFonts w:hint="eastAsia" w:ascii="宋体" w:hAnsi="宋体" w:eastAsia="宋体" w:cs="宋体"/>
                <w:color w:val="auto"/>
                <w:sz w:val="24"/>
                <w:szCs w:val="24"/>
                <w:highlight w:val="none"/>
              </w:rPr>
            </w:pPr>
          </w:p>
        </w:tc>
        <w:tc>
          <w:tcPr>
            <w:tcW w:w="1949" w:type="dxa"/>
            <w:vAlign w:val="center"/>
          </w:tcPr>
          <w:p w14:paraId="7999DA63">
            <w:pPr>
              <w:wordWrap/>
              <w:spacing w:line="360" w:lineRule="auto"/>
              <w:textAlignment w:val="auto"/>
              <w:rPr>
                <w:rFonts w:hint="eastAsia" w:ascii="宋体" w:hAnsi="宋体" w:eastAsia="宋体" w:cs="宋体"/>
                <w:color w:val="auto"/>
                <w:sz w:val="24"/>
                <w:szCs w:val="24"/>
                <w:highlight w:val="none"/>
              </w:rPr>
            </w:pPr>
          </w:p>
        </w:tc>
        <w:tc>
          <w:tcPr>
            <w:tcW w:w="2371" w:type="dxa"/>
            <w:vAlign w:val="center"/>
          </w:tcPr>
          <w:p w14:paraId="1F970F03">
            <w:pPr>
              <w:wordWrap/>
              <w:spacing w:line="360" w:lineRule="auto"/>
              <w:textAlignment w:val="auto"/>
              <w:rPr>
                <w:rFonts w:hint="eastAsia" w:ascii="宋体" w:hAnsi="宋体" w:eastAsia="宋体" w:cs="宋体"/>
                <w:color w:val="auto"/>
                <w:sz w:val="24"/>
                <w:szCs w:val="24"/>
                <w:highlight w:val="none"/>
              </w:rPr>
            </w:pPr>
          </w:p>
        </w:tc>
        <w:tc>
          <w:tcPr>
            <w:tcW w:w="2160" w:type="dxa"/>
            <w:vAlign w:val="center"/>
          </w:tcPr>
          <w:p w14:paraId="5102F3F1">
            <w:pPr>
              <w:wordWrap/>
              <w:spacing w:line="360" w:lineRule="auto"/>
              <w:textAlignment w:val="auto"/>
              <w:rPr>
                <w:rFonts w:hint="eastAsia" w:ascii="宋体" w:hAnsi="宋体" w:eastAsia="宋体" w:cs="宋体"/>
                <w:color w:val="auto"/>
                <w:sz w:val="24"/>
                <w:szCs w:val="24"/>
                <w:highlight w:val="none"/>
              </w:rPr>
            </w:pPr>
          </w:p>
        </w:tc>
        <w:tc>
          <w:tcPr>
            <w:tcW w:w="2340" w:type="dxa"/>
            <w:vAlign w:val="center"/>
          </w:tcPr>
          <w:p w14:paraId="5E99C4C1">
            <w:pPr>
              <w:wordWrap/>
              <w:spacing w:line="360" w:lineRule="auto"/>
              <w:textAlignment w:val="auto"/>
              <w:rPr>
                <w:rFonts w:hint="eastAsia" w:ascii="宋体" w:hAnsi="宋体" w:eastAsia="宋体" w:cs="宋体"/>
                <w:color w:val="auto"/>
                <w:sz w:val="24"/>
                <w:szCs w:val="24"/>
                <w:highlight w:val="none"/>
              </w:rPr>
            </w:pPr>
          </w:p>
        </w:tc>
      </w:tr>
      <w:tr w14:paraId="32DE7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vAlign w:val="center"/>
          </w:tcPr>
          <w:p w14:paraId="6BEDFA68">
            <w:pPr>
              <w:wordWrap/>
              <w:spacing w:line="360" w:lineRule="auto"/>
              <w:textAlignment w:val="auto"/>
              <w:rPr>
                <w:rFonts w:hint="eastAsia" w:ascii="宋体" w:hAnsi="宋体" w:eastAsia="宋体" w:cs="宋体"/>
                <w:color w:val="auto"/>
                <w:sz w:val="24"/>
                <w:szCs w:val="24"/>
                <w:highlight w:val="none"/>
              </w:rPr>
            </w:pPr>
          </w:p>
        </w:tc>
        <w:tc>
          <w:tcPr>
            <w:tcW w:w="1949" w:type="dxa"/>
            <w:vAlign w:val="center"/>
          </w:tcPr>
          <w:p w14:paraId="4E372253">
            <w:pPr>
              <w:wordWrap/>
              <w:spacing w:line="360" w:lineRule="auto"/>
              <w:textAlignment w:val="auto"/>
              <w:rPr>
                <w:rFonts w:hint="eastAsia" w:ascii="宋体" w:hAnsi="宋体" w:eastAsia="宋体" w:cs="宋体"/>
                <w:color w:val="auto"/>
                <w:sz w:val="24"/>
                <w:szCs w:val="24"/>
                <w:highlight w:val="none"/>
              </w:rPr>
            </w:pPr>
          </w:p>
        </w:tc>
        <w:tc>
          <w:tcPr>
            <w:tcW w:w="2371" w:type="dxa"/>
            <w:vAlign w:val="center"/>
          </w:tcPr>
          <w:p w14:paraId="1DE7B880">
            <w:pPr>
              <w:wordWrap/>
              <w:spacing w:line="360" w:lineRule="auto"/>
              <w:textAlignment w:val="auto"/>
              <w:rPr>
                <w:rFonts w:hint="eastAsia" w:ascii="宋体" w:hAnsi="宋体" w:eastAsia="宋体" w:cs="宋体"/>
                <w:color w:val="auto"/>
                <w:sz w:val="24"/>
                <w:szCs w:val="24"/>
                <w:highlight w:val="none"/>
              </w:rPr>
            </w:pPr>
          </w:p>
        </w:tc>
        <w:tc>
          <w:tcPr>
            <w:tcW w:w="2160" w:type="dxa"/>
            <w:vAlign w:val="center"/>
          </w:tcPr>
          <w:p w14:paraId="578AB0C4">
            <w:pPr>
              <w:wordWrap/>
              <w:spacing w:line="360" w:lineRule="auto"/>
              <w:textAlignment w:val="auto"/>
              <w:rPr>
                <w:rFonts w:hint="eastAsia" w:ascii="宋体" w:hAnsi="宋体" w:eastAsia="宋体" w:cs="宋体"/>
                <w:color w:val="auto"/>
                <w:sz w:val="24"/>
                <w:szCs w:val="24"/>
                <w:highlight w:val="none"/>
              </w:rPr>
            </w:pPr>
          </w:p>
        </w:tc>
        <w:tc>
          <w:tcPr>
            <w:tcW w:w="2340" w:type="dxa"/>
            <w:vAlign w:val="center"/>
          </w:tcPr>
          <w:p w14:paraId="5A97EF98">
            <w:pPr>
              <w:wordWrap/>
              <w:spacing w:line="360" w:lineRule="auto"/>
              <w:textAlignment w:val="auto"/>
              <w:rPr>
                <w:rFonts w:hint="eastAsia" w:ascii="宋体" w:hAnsi="宋体" w:eastAsia="宋体" w:cs="宋体"/>
                <w:color w:val="auto"/>
                <w:sz w:val="24"/>
                <w:szCs w:val="24"/>
                <w:highlight w:val="none"/>
              </w:rPr>
            </w:pPr>
          </w:p>
        </w:tc>
      </w:tr>
      <w:tr w14:paraId="520E2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vAlign w:val="center"/>
          </w:tcPr>
          <w:p w14:paraId="2338D792">
            <w:pPr>
              <w:wordWrap/>
              <w:spacing w:line="360" w:lineRule="auto"/>
              <w:textAlignment w:val="auto"/>
              <w:rPr>
                <w:rFonts w:hint="eastAsia" w:ascii="宋体" w:hAnsi="宋体" w:eastAsia="宋体" w:cs="宋体"/>
                <w:color w:val="auto"/>
                <w:sz w:val="24"/>
                <w:szCs w:val="24"/>
                <w:highlight w:val="none"/>
              </w:rPr>
            </w:pPr>
          </w:p>
        </w:tc>
        <w:tc>
          <w:tcPr>
            <w:tcW w:w="1949" w:type="dxa"/>
            <w:vAlign w:val="center"/>
          </w:tcPr>
          <w:p w14:paraId="0B529920">
            <w:pPr>
              <w:wordWrap/>
              <w:spacing w:line="360" w:lineRule="auto"/>
              <w:textAlignment w:val="auto"/>
              <w:rPr>
                <w:rFonts w:hint="eastAsia" w:ascii="宋体" w:hAnsi="宋体" w:eastAsia="宋体" w:cs="宋体"/>
                <w:color w:val="auto"/>
                <w:sz w:val="24"/>
                <w:szCs w:val="24"/>
                <w:highlight w:val="none"/>
              </w:rPr>
            </w:pPr>
          </w:p>
        </w:tc>
        <w:tc>
          <w:tcPr>
            <w:tcW w:w="2371" w:type="dxa"/>
            <w:vAlign w:val="center"/>
          </w:tcPr>
          <w:p w14:paraId="51AEDE11">
            <w:pPr>
              <w:wordWrap/>
              <w:spacing w:line="360" w:lineRule="auto"/>
              <w:textAlignment w:val="auto"/>
              <w:rPr>
                <w:rFonts w:hint="eastAsia" w:ascii="宋体" w:hAnsi="宋体" w:eastAsia="宋体" w:cs="宋体"/>
                <w:color w:val="auto"/>
                <w:sz w:val="24"/>
                <w:szCs w:val="24"/>
                <w:highlight w:val="none"/>
              </w:rPr>
            </w:pPr>
          </w:p>
        </w:tc>
        <w:tc>
          <w:tcPr>
            <w:tcW w:w="2160" w:type="dxa"/>
            <w:vAlign w:val="center"/>
          </w:tcPr>
          <w:p w14:paraId="50A88B23">
            <w:pPr>
              <w:wordWrap/>
              <w:spacing w:line="360" w:lineRule="auto"/>
              <w:textAlignment w:val="auto"/>
              <w:rPr>
                <w:rFonts w:hint="eastAsia" w:ascii="宋体" w:hAnsi="宋体" w:eastAsia="宋体" w:cs="宋体"/>
                <w:color w:val="auto"/>
                <w:sz w:val="24"/>
                <w:szCs w:val="24"/>
                <w:highlight w:val="none"/>
              </w:rPr>
            </w:pPr>
          </w:p>
        </w:tc>
        <w:tc>
          <w:tcPr>
            <w:tcW w:w="2340" w:type="dxa"/>
            <w:vAlign w:val="center"/>
          </w:tcPr>
          <w:p w14:paraId="6186985C">
            <w:pPr>
              <w:wordWrap/>
              <w:spacing w:line="360" w:lineRule="auto"/>
              <w:textAlignment w:val="auto"/>
              <w:rPr>
                <w:rFonts w:hint="eastAsia" w:ascii="宋体" w:hAnsi="宋体" w:eastAsia="宋体" w:cs="宋体"/>
                <w:color w:val="auto"/>
                <w:sz w:val="24"/>
                <w:szCs w:val="24"/>
                <w:highlight w:val="none"/>
              </w:rPr>
            </w:pPr>
          </w:p>
        </w:tc>
      </w:tr>
      <w:tr w14:paraId="3CDEB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vAlign w:val="center"/>
          </w:tcPr>
          <w:p w14:paraId="5CC2D025">
            <w:pPr>
              <w:wordWrap/>
              <w:spacing w:line="360" w:lineRule="auto"/>
              <w:textAlignment w:val="auto"/>
              <w:rPr>
                <w:rFonts w:hint="eastAsia" w:ascii="宋体" w:hAnsi="宋体" w:eastAsia="宋体" w:cs="宋体"/>
                <w:color w:val="auto"/>
                <w:sz w:val="24"/>
                <w:szCs w:val="24"/>
                <w:highlight w:val="none"/>
              </w:rPr>
            </w:pPr>
          </w:p>
        </w:tc>
        <w:tc>
          <w:tcPr>
            <w:tcW w:w="1949" w:type="dxa"/>
            <w:vAlign w:val="center"/>
          </w:tcPr>
          <w:p w14:paraId="683292A0">
            <w:pPr>
              <w:wordWrap/>
              <w:spacing w:line="360" w:lineRule="auto"/>
              <w:textAlignment w:val="auto"/>
              <w:rPr>
                <w:rFonts w:hint="eastAsia" w:ascii="宋体" w:hAnsi="宋体" w:eastAsia="宋体" w:cs="宋体"/>
                <w:color w:val="auto"/>
                <w:sz w:val="24"/>
                <w:szCs w:val="24"/>
                <w:highlight w:val="none"/>
              </w:rPr>
            </w:pPr>
          </w:p>
        </w:tc>
        <w:tc>
          <w:tcPr>
            <w:tcW w:w="2371" w:type="dxa"/>
            <w:vAlign w:val="center"/>
          </w:tcPr>
          <w:p w14:paraId="792CEEF0">
            <w:pPr>
              <w:wordWrap/>
              <w:spacing w:line="360" w:lineRule="auto"/>
              <w:textAlignment w:val="auto"/>
              <w:rPr>
                <w:rFonts w:hint="eastAsia" w:ascii="宋体" w:hAnsi="宋体" w:eastAsia="宋体" w:cs="宋体"/>
                <w:color w:val="auto"/>
                <w:sz w:val="24"/>
                <w:szCs w:val="24"/>
                <w:highlight w:val="none"/>
              </w:rPr>
            </w:pPr>
          </w:p>
        </w:tc>
        <w:tc>
          <w:tcPr>
            <w:tcW w:w="2160" w:type="dxa"/>
            <w:vAlign w:val="center"/>
          </w:tcPr>
          <w:p w14:paraId="62E75E2F">
            <w:pPr>
              <w:wordWrap/>
              <w:spacing w:line="360" w:lineRule="auto"/>
              <w:textAlignment w:val="auto"/>
              <w:rPr>
                <w:rFonts w:hint="eastAsia" w:ascii="宋体" w:hAnsi="宋体" w:eastAsia="宋体" w:cs="宋体"/>
                <w:color w:val="auto"/>
                <w:sz w:val="24"/>
                <w:szCs w:val="24"/>
                <w:highlight w:val="none"/>
              </w:rPr>
            </w:pPr>
          </w:p>
        </w:tc>
        <w:tc>
          <w:tcPr>
            <w:tcW w:w="2340" w:type="dxa"/>
            <w:vAlign w:val="center"/>
          </w:tcPr>
          <w:p w14:paraId="1A9955AA">
            <w:pPr>
              <w:wordWrap/>
              <w:spacing w:line="360" w:lineRule="auto"/>
              <w:textAlignment w:val="auto"/>
              <w:rPr>
                <w:rFonts w:hint="eastAsia" w:ascii="宋体" w:hAnsi="宋体" w:eastAsia="宋体" w:cs="宋体"/>
                <w:color w:val="auto"/>
                <w:sz w:val="24"/>
                <w:szCs w:val="24"/>
                <w:highlight w:val="none"/>
              </w:rPr>
            </w:pPr>
          </w:p>
        </w:tc>
      </w:tr>
      <w:tr w14:paraId="68808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vAlign w:val="center"/>
          </w:tcPr>
          <w:p w14:paraId="5E3FA762">
            <w:pPr>
              <w:wordWrap/>
              <w:spacing w:line="360" w:lineRule="auto"/>
              <w:textAlignment w:val="auto"/>
              <w:rPr>
                <w:rFonts w:hint="eastAsia" w:ascii="宋体" w:hAnsi="宋体" w:eastAsia="宋体" w:cs="宋体"/>
                <w:color w:val="auto"/>
                <w:sz w:val="24"/>
                <w:szCs w:val="24"/>
                <w:highlight w:val="none"/>
              </w:rPr>
            </w:pPr>
          </w:p>
        </w:tc>
        <w:tc>
          <w:tcPr>
            <w:tcW w:w="1949" w:type="dxa"/>
            <w:vAlign w:val="center"/>
          </w:tcPr>
          <w:p w14:paraId="67EDC9B2">
            <w:pPr>
              <w:wordWrap/>
              <w:spacing w:line="360" w:lineRule="auto"/>
              <w:textAlignment w:val="auto"/>
              <w:rPr>
                <w:rFonts w:hint="eastAsia" w:ascii="宋体" w:hAnsi="宋体" w:eastAsia="宋体" w:cs="宋体"/>
                <w:color w:val="auto"/>
                <w:sz w:val="24"/>
                <w:szCs w:val="24"/>
                <w:highlight w:val="none"/>
              </w:rPr>
            </w:pPr>
          </w:p>
        </w:tc>
        <w:tc>
          <w:tcPr>
            <w:tcW w:w="2371" w:type="dxa"/>
            <w:vAlign w:val="center"/>
          </w:tcPr>
          <w:p w14:paraId="4D2E68D1">
            <w:pPr>
              <w:wordWrap/>
              <w:spacing w:line="360" w:lineRule="auto"/>
              <w:textAlignment w:val="auto"/>
              <w:rPr>
                <w:rFonts w:hint="eastAsia" w:ascii="宋体" w:hAnsi="宋体" w:eastAsia="宋体" w:cs="宋体"/>
                <w:color w:val="auto"/>
                <w:sz w:val="24"/>
                <w:szCs w:val="24"/>
                <w:highlight w:val="none"/>
              </w:rPr>
            </w:pPr>
          </w:p>
        </w:tc>
        <w:tc>
          <w:tcPr>
            <w:tcW w:w="2160" w:type="dxa"/>
            <w:vAlign w:val="center"/>
          </w:tcPr>
          <w:p w14:paraId="16290989">
            <w:pPr>
              <w:wordWrap/>
              <w:spacing w:line="360" w:lineRule="auto"/>
              <w:textAlignment w:val="auto"/>
              <w:rPr>
                <w:rFonts w:hint="eastAsia" w:ascii="宋体" w:hAnsi="宋体" w:eastAsia="宋体" w:cs="宋体"/>
                <w:color w:val="auto"/>
                <w:sz w:val="24"/>
                <w:szCs w:val="24"/>
                <w:highlight w:val="none"/>
              </w:rPr>
            </w:pPr>
          </w:p>
        </w:tc>
        <w:tc>
          <w:tcPr>
            <w:tcW w:w="2340" w:type="dxa"/>
            <w:vAlign w:val="center"/>
          </w:tcPr>
          <w:p w14:paraId="0DDEF1A7">
            <w:pPr>
              <w:wordWrap/>
              <w:spacing w:line="360" w:lineRule="auto"/>
              <w:textAlignment w:val="auto"/>
              <w:rPr>
                <w:rFonts w:hint="eastAsia" w:ascii="宋体" w:hAnsi="宋体" w:eastAsia="宋体" w:cs="宋体"/>
                <w:color w:val="auto"/>
                <w:sz w:val="24"/>
                <w:szCs w:val="24"/>
                <w:highlight w:val="none"/>
              </w:rPr>
            </w:pPr>
          </w:p>
        </w:tc>
      </w:tr>
      <w:tr w14:paraId="1DE64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vAlign w:val="center"/>
          </w:tcPr>
          <w:p w14:paraId="5C53F1EB">
            <w:pPr>
              <w:wordWrap/>
              <w:spacing w:line="360" w:lineRule="auto"/>
              <w:textAlignment w:val="auto"/>
              <w:rPr>
                <w:rFonts w:hint="eastAsia" w:ascii="宋体" w:hAnsi="宋体" w:eastAsia="宋体" w:cs="宋体"/>
                <w:color w:val="auto"/>
                <w:sz w:val="24"/>
                <w:szCs w:val="24"/>
                <w:highlight w:val="none"/>
              </w:rPr>
            </w:pPr>
          </w:p>
        </w:tc>
        <w:tc>
          <w:tcPr>
            <w:tcW w:w="1949" w:type="dxa"/>
            <w:vAlign w:val="center"/>
          </w:tcPr>
          <w:p w14:paraId="7D192760">
            <w:pPr>
              <w:wordWrap/>
              <w:spacing w:line="360" w:lineRule="auto"/>
              <w:textAlignment w:val="auto"/>
              <w:rPr>
                <w:rFonts w:hint="eastAsia" w:ascii="宋体" w:hAnsi="宋体" w:eastAsia="宋体" w:cs="宋体"/>
                <w:color w:val="auto"/>
                <w:sz w:val="24"/>
                <w:szCs w:val="24"/>
                <w:highlight w:val="none"/>
              </w:rPr>
            </w:pPr>
          </w:p>
        </w:tc>
        <w:tc>
          <w:tcPr>
            <w:tcW w:w="2371" w:type="dxa"/>
            <w:vAlign w:val="center"/>
          </w:tcPr>
          <w:p w14:paraId="2D376E21">
            <w:pPr>
              <w:wordWrap/>
              <w:spacing w:line="360" w:lineRule="auto"/>
              <w:textAlignment w:val="auto"/>
              <w:rPr>
                <w:rFonts w:hint="eastAsia" w:ascii="宋体" w:hAnsi="宋体" w:eastAsia="宋体" w:cs="宋体"/>
                <w:color w:val="auto"/>
                <w:sz w:val="24"/>
                <w:szCs w:val="24"/>
                <w:highlight w:val="none"/>
              </w:rPr>
            </w:pPr>
          </w:p>
        </w:tc>
        <w:tc>
          <w:tcPr>
            <w:tcW w:w="2160" w:type="dxa"/>
            <w:vAlign w:val="center"/>
          </w:tcPr>
          <w:p w14:paraId="7700E384">
            <w:pPr>
              <w:wordWrap/>
              <w:spacing w:line="360" w:lineRule="auto"/>
              <w:textAlignment w:val="auto"/>
              <w:rPr>
                <w:rFonts w:hint="eastAsia" w:ascii="宋体" w:hAnsi="宋体" w:eastAsia="宋体" w:cs="宋体"/>
                <w:color w:val="auto"/>
                <w:sz w:val="24"/>
                <w:szCs w:val="24"/>
                <w:highlight w:val="none"/>
              </w:rPr>
            </w:pPr>
          </w:p>
        </w:tc>
        <w:tc>
          <w:tcPr>
            <w:tcW w:w="2340" w:type="dxa"/>
            <w:vAlign w:val="center"/>
          </w:tcPr>
          <w:p w14:paraId="01C328B8">
            <w:pPr>
              <w:wordWrap/>
              <w:spacing w:line="360" w:lineRule="auto"/>
              <w:textAlignment w:val="auto"/>
              <w:rPr>
                <w:rFonts w:hint="eastAsia" w:ascii="宋体" w:hAnsi="宋体" w:eastAsia="宋体" w:cs="宋体"/>
                <w:color w:val="auto"/>
                <w:sz w:val="24"/>
                <w:szCs w:val="24"/>
                <w:highlight w:val="none"/>
              </w:rPr>
            </w:pPr>
          </w:p>
        </w:tc>
      </w:tr>
      <w:tr w14:paraId="34920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vAlign w:val="center"/>
          </w:tcPr>
          <w:p w14:paraId="7E762139">
            <w:pPr>
              <w:wordWrap/>
              <w:spacing w:line="360" w:lineRule="auto"/>
              <w:textAlignment w:val="auto"/>
              <w:rPr>
                <w:rFonts w:hint="eastAsia" w:ascii="宋体" w:hAnsi="宋体" w:eastAsia="宋体" w:cs="宋体"/>
                <w:color w:val="auto"/>
                <w:sz w:val="24"/>
                <w:szCs w:val="24"/>
                <w:highlight w:val="none"/>
              </w:rPr>
            </w:pPr>
          </w:p>
        </w:tc>
        <w:tc>
          <w:tcPr>
            <w:tcW w:w="1949" w:type="dxa"/>
            <w:vAlign w:val="center"/>
          </w:tcPr>
          <w:p w14:paraId="5B92ECA8">
            <w:pPr>
              <w:wordWrap/>
              <w:spacing w:line="360" w:lineRule="auto"/>
              <w:textAlignment w:val="auto"/>
              <w:rPr>
                <w:rFonts w:hint="eastAsia" w:ascii="宋体" w:hAnsi="宋体" w:eastAsia="宋体" w:cs="宋体"/>
                <w:color w:val="auto"/>
                <w:sz w:val="24"/>
                <w:szCs w:val="24"/>
                <w:highlight w:val="none"/>
              </w:rPr>
            </w:pPr>
          </w:p>
        </w:tc>
        <w:tc>
          <w:tcPr>
            <w:tcW w:w="2371" w:type="dxa"/>
            <w:vAlign w:val="center"/>
          </w:tcPr>
          <w:p w14:paraId="57DB8202">
            <w:pPr>
              <w:wordWrap/>
              <w:spacing w:line="360" w:lineRule="auto"/>
              <w:textAlignment w:val="auto"/>
              <w:rPr>
                <w:rFonts w:hint="eastAsia" w:ascii="宋体" w:hAnsi="宋体" w:eastAsia="宋体" w:cs="宋体"/>
                <w:color w:val="auto"/>
                <w:sz w:val="24"/>
                <w:szCs w:val="24"/>
                <w:highlight w:val="none"/>
              </w:rPr>
            </w:pPr>
          </w:p>
        </w:tc>
        <w:tc>
          <w:tcPr>
            <w:tcW w:w="2160" w:type="dxa"/>
            <w:vAlign w:val="center"/>
          </w:tcPr>
          <w:p w14:paraId="431AD069">
            <w:pPr>
              <w:wordWrap/>
              <w:spacing w:line="360" w:lineRule="auto"/>
              <w:textAlignment w:val="auto"/>
              <w:rPr>
                <w:rFonts w:hint="eastAsia" w:ascii="宋体" w:hAnsi="宋体" w:eastAsia="宋体" w:cs="宋体"/>
                <w:color w:val="auto"/>
                <w:sz w:val="24"/>
                <w:szCs w:val="24"/>
                <w:highlight w:val="none"/>
              </w:rPr>
            </w:pPr>
          </w:p>
        </w:tc>
        <w:tc>
          <w:tcPr>
            <w:tcW w:w="2340" w:type="dxa"/>
            <w:vAlign w:val="center"/>
          </w:tcPr>
          <w:p w14:paraId="368BF55E">
            <w:pPr>
              <w:wordWrap/>
              <w:spacing w:line="360" w:lineRule="auto"/>
              <w:textAlignment w:val="auto"/>
              <w:rPr>
                <w:rFonts w:hint="eastAsia" w:ascii="宋体" w:hAnsi="宋体" w:eastAsia="宋体" w:cs="宋体"/>
                <w:color w:val="auto"/>
                <w:sz w:val="24"/>
                <w:szCs w:val="24"/>
                <w:highlight w:val="none"/>
              </w:rPr>
            </w:pPr>
          </w:p>
        </w:tc>
      </w:tr>
      <w:tr w14:paraId="79D42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vAlign w:val="center"/>
          </w:tcPr>
          <w:p w14:paraId="252220FE">
            <w:pPr>
              <w:wordWrap/>
              <w:spacing w:line="360" w:lineRule="auto"/>
              <w:textAlignment w:val="auto"/>
              <w:rPr>
                <w:rFonts w:hint="eastAsia" w:ascii="宋体" w:hAnsi="宋体" w:eastAsia="宋体" w:cs="宋体"/>
                <w:color w:val="auto"/>
                <w:sz w:val="24"/>
                <w:szCs w:val="24"/>
                <w:highlight w:val="none"/>
              </w:rPr>
            </w:pPr>
          </w:p>
        </w:tc>
        <w:tc>
          <w:tcPr>
            <w:tcW w:w="1949" w:type="dxa"/>
            <w:vAlign w:val="center"/>
          </w:tcPr>
          <w:p w14:paraId="01B8A6E3">
            <w:pPr>
              <w:wordWrap/>
              <w:spacing w:line="360" w:lineRule="auto"/>
              <w:textAlignment w:val="auto"/>
              <w:rPr>
                <w:rFonts w:hint="eastAsia" w:ascii="宋体" w:hAnsi="宋体" w:eastAsia="宋体" w:cs="宋体"/>
                <w:color w:val="auto"/>
                <w:sz w:val="24"/>
                <w:szCs w:val="24"/>
                <w:highlight w:val="none"/>
              </w:rPr>
            </w:pPr>
          </w:p>
        </w:tc>
        <w:tc>
          <w:tcPr>
            <w:tcW w:w="2371" w:type="dxa"/>
            <w:vAlign w:val="center"/>
          </w:tcPr>
          <w:p w14:paraId="36F1FF71">
            <w:pPr>
              <w:wordWrap/>
              <w:spacing w:line="360" w:lineRule="auto"/>
              <w:textAlignment w:val="auto"/>
              <w:rPr>
                <w:rFonts w:hint="eastAsia" w:ascii="宋体" w:hAnsi="宋体" w:eastAsia="宋体" w:cs="宋体"/>
                <w:color w:val="auto"/>
                <w:sz w:val="24"/>
                <w:szCs w:val="24"/>
                <w:highlight w:val="none"/>
              </w:rPr>
            </w:pPr>
          </w:p>
        </w:tc>
        <w:tc>
          <w:tcPr>
            <w:tcW w:w="2160" w:type="dxa"/>
            <w:vAlign w:val="center"/>
          </w:tcPr>
          <w:p w14:paraId="3ED4D888">
            <w:pPr>
              <w:wordWrap/>
              <w:spacing w:line="360" w:lineRule="auto"/>
              <w:textAlignment w:val="auto"/>
              <w:rPr>
                <w:rFonts w:hint="eastAsia" w:ascii="宋体" w:hAnsi="宋体" w:eastAsia="宋体" w:cs="宋体"/>
                <w:color w:val="auto"/>
                <w:sz w:val="24"/>
                <w:szCs w:val="24"/>
                <w:highlight w:val="none"/>
              </w:rPr>
            </w:pPr>
          </w:p>
        </w:tc>
        <w:tc>
          <w:tcPr>
            <w:tcW w:w="2340" w:type="dxa"/>
            <w:vAlign w:val="center"/>
          </w:tcPr>
          <w:p w14:paraId="418C0415">
            <w:pPr>
              <w:wordWrap/>
              <w:spacing w:line="360" w:lineRule="auto"/>
              <w:textAlignment w:val="auto"/>
              <w:rPr>
                <w:rFonts w:hint="eastAsia" w:ascii="宋体" w:hAnsi="宋体" w:eastAsia="宋体" w:cs="宋体"/>
                <w:color w:val="auto"/>
                <w:sz w:val="24"/>
                <w:szCs w:val="24"/>
                <w:highlight w:val="none"/>
              </w:rPr>
            </w:pPr>
          </w:p>
        </w:tc>
      </w:tr>
      <w:tr w14:paraId="3B91B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vAlign w:val="center"/>
          </w:tcPr>
          <w:p w14:paraId="7564F0A4">
            <w:pPr>
              <w:wordWrap/>
              <w:spacing w:line="360" w:lineRule="auto"/>
              <w:textAlignment w:val="auto"/>
              <w:rPr>
                <w:rFonts w:hint="eastAsia" w:ascii="宋体" w:hAnsi="宋体" w:eastAsia="宋体" w:cs="宋体"/>
                <w:color w:val="auto"/>
                <w:sz w:val="24"/>
                <w:szCs w:val="24"/>
                <w:highlight w:val="none"/>
              </w:rPr>
            </w:pPr>
          </w:p>
        </w:tc>
        <w:tc>
          <w:tcPr>
            <w:tcW w:w="1949" w:type="dxa"/>
            <w:vAlign w:val="center"/>
          </w:tcPr>
          <w:p w14:paraId="69F9B75E">
            <w:pPr>
              <w:wordWrap/>
              <w:spacing w:line="360" w:lineRule="auto"/>
              <w:textAlignment w:val="auto"/>
              <w:rPr>
                <w:rFonts w:hint="eastAsia" w:ascii="宋体" w:hAnsi="宋体" w:eastAsia="宋体" w:cs="宋体"/>
                <w:color w:val="auto"/>
                <w:sz w:val="24"/>
                <w:szCs w:val="24"/>
                <w:highlight w:val="none"/>
              </w:rPr>
            </w:pPr>
          </w:p>
        </w:tc>
        <w:tc>
          <w:tcPr>
            <w:tcW w:w="2371" w:type="dxa"/>
            <w:vAlign w:val="center"/>
          </w:tcPr>
          <w:p w14:paraId="06CE768B">
            <w:pPr>
              <w:wordWrap/>
              <w:spacing w:line="360" w:lineRule="auto"/>
              <w:textAlignment w:val="auto"/>
              <w:rPr>
                <w:rFonts w:hint="eastAsia" w:ascii="宋体" w:hAnsi="宋体" w:eastAsia="宋体" w:cs="宋体"/>
                <w:color w:val="auto"/>
                <w:sz w:val="24"/>
                <w:szCs w:val="24"/>
                <w:highlight w:val="none"/>
              </w:rPr>
            </w:pPr>
          </w:p>
        </w:tc>
        <w:tc>
          <w:tcPr>
            <w:tcW w:w="2160" w:type="dxa"/>
            <w:vAlign w:val="center"/>
          </w:tcPr>
          <w:p w14:paraId="01BF7D76">
            <w:pPr>
              <w:wordWrap/>
              <w:spacing w:line="360" w:lineRule="auto"/>
              <w:textAlignment w:val="auto"/>
              <w:rPr>
                <w:rFonts w:hint="eastAsia" w:ascii="宋体" w:hAnsi="宋体" w:eastAsia="宋体" w:cs="宋体"/>
                <w:color w:val="auto"/>
                <w:sz w:val="24"/>
                <w:szCs w:val="24"/>
                <w:highlight w:val="none"/>
              </w:rPr>
            </w:pPr>
          </w:p>
        </w:tc>
        <w:tc>
          <w:tcPr>
            <w:tcW w:w="2340" w:type="dxa"/>
            <w:vAlign w:val="center"/>
          </w:tcPr>
          <w:p w14:paraId="150E92A3">
            <w:pPr>
              <w:wordWrap/>
              <w:spacing w:line="360" w:lineRule="auto"/>
              <w:textAlignment w:val="auto"/>
              <w:rPr>
                <w:rFonts w:hint="eastAsia" w:ascii="宋体" w:hAnsi="宋体" w:eastAsia="宋体" w:cs="宋体"/>
                <w:color w:val="auto"/>
                <w:sz w:val="24"/>
                <w:szCs w:val="24"/>
                <w:highlight w:val="none"/>
              </w:rPr>
            </w:pPr>
          </w:p>
        </w:tc>
      </w:tr>
      <w:tr w14:paraId="5DC6C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vAlign w:val="center"/>
          </w:tcPr>
          <w:p w14:paraId="24BA3CFB">
            <w:pPr>
              <w:wordWrap/>
              <w:spacing w:line="360" w:lineRule="auto"/>
              <w:textAlignment w:val="auto"/>
              <w:rPr>
                <w:rFonts w:hint="eastAsia" w:ascii="宋体" w:hAnsi="宋体" w:eastAsia="宋体" w:cs="宋体"/>
                <w:color w:val="auto"/>
                <w:sz w:val="24"/>
                <w:szCs w:val="24"/>
                <w:highlight w:val="none"/>
              </w:rPr>
            </w:pPr>
          </w:p>
        </w:tc>
        <w:tc>
          <w:tcPr>
            <w:tcW w:w="1949" w:type="dxa"/>
            <w:vAlign w:val="center"/>
          </w:tcPr>
          <w:p w14:paraId="0EE2EA77">
            <w:pPr>
              <w:wordWrap/>
              <w:spacing w:line="360" w:lineRule="auto"/>
              <w:textAlignment w:val="auto"/>
              <w:rPr>
                <w:rFonts w:hint="eastAsia" w:ascii="宋体" w:hAnsi="宋体" w:eastAsia="宋体" w:cs="宋体"/>
                <w:color w:val="auto"/>
                <w:sz w:val="24"/>
                <w:szCs w:val="24"/>
                <w:highlight w:val="none"/>
              </w:rPr>
            </w:pPr>
          </w:p>
        </w:tc>
        <w:tc>
          <w:tcPr>
            <w:tcW w:w="2371" w:type="dxa"/>
            <w:vAlign w:val="center"/>
          </w:tcPr>
          <w:p w14:paraId="4DCE9C39">
            <w:pPr>
              <w:wordWrap/>
              <w:spacing w:line="360" w:lineRule="auto"/>
              <w:textAlignment w:val="auto"/>
              <w:rPr>
                <w:rFonts w:hint="eastAsia" w:ascii="宋体" w:hAnsi="宋体" w:eastAsia="宋体" w:cs="宋体"/>
                <w:color w:val="auto"/>
                <w:sz w:val="24"/>
                <w:szCs w:val="24"/>
                <w:highlight w:val="none"/>
              </w:rPr>
            </w:pPr>
          </w:p>
        </w:tc>
        <w:tc>
          <w:tcPr>
            <w:tcW w:w="2160" w:type="dxa"/>
            <w:vAlign w:val="center"/>
          </w:tcPr>
          <w:p w14:paraId="462C5ADB">
            <w:pPr>
              <w:wordWrap/>
              <w:spacing w:line="360" w:lineRule="auto"/>
              <w:textAlignment w:val="auto"/>
              <w:rPr>
                <w:rFonts w:hint="eastAsia" w:ascii="宋体" w:hAnsi="宋体" w:eastAsia="宋体" w:cs="宋体"/>
                <w:color w:val="auto"/>
                <w:sz w:val="24"/>
                <w:szCs w:val="24"/>
                <w:highlight w:val="none"/>
              </w:rPr>
            </w:pPr>
          </w:p>
        </w:tc>
        <w:tc>
          <w:tcPr>
            <w:tcW w:w="2340" w:type="dxa"/>
            <w:vAlign w:val="center"/>
          </w:tcPr>
          <w:p w14:paraId="0CC128FE">
            <w:pPr>
              <w:wordWrap/>
              <w:spacing w:line="360" w:lineRule="auto"/>
              <w:textAlignment w:val="auto"/>
              <w:rPr>
                <w:rFonts w:hint="eastAsia" w:ascii="宋体" w:hAnsi="宋体" w:eastAsia="宋体" w:cs="宋体"/>
                <w:color w:val="auto"/>
                <w:sz w:val="24"/>
                <w:szCs w:val="24"/>
                <w:highlight w:val="none"/>
              </w:rPr>
            </w:pPr>
          </w:p>
        </w:tc>
      </w:tr>
      <w:tr w14:paraId="31080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vAlign w:val="center"/>
          </w:tcPr>
          <w:p w14:paraId="6BF6E9C2">
            <w:pPr>
              <w:wordWrap/>
              <w:spacing w:line="360" w:lineRule="auto"/>
              <w:textAlignment w:val="auto"/>
              <w:rPr>
                <w:rFonts w:hint="eastAsia" w:ascii="宋体" w:hAnsi="宋体" w:eastAsia="宋体" w:cs="宋体"/>
                <w:color w:val="auto"/>
                <w:sz w:val="24"/>
                <w:szCs w:val="24"/>
                <w:highlight w:val="none"/>
              </w:rPr>
            </w:pPr>
          </w:p>
        </w:tc>
        <w:tc>
          <w:tcPr>
            <w:tcW w:w="1949" w:type="dxa"/>
            <w:vAlign w:val="center"/>
          </w:tcPr>
          <w:p w14:paraId="479F74F2">
            <w:pPr>
              <w:wordWrap/>
              <w:spacing w:line="360" w:lineRule="auto"/>
              <w:textAlignment w:val="auto"/>
              <w:rPr>
                <w:rFonts w:hint="eastAsia" w:ascii="宋体" w:hAnsi="宋体" w:eastAsia="宋体" w:cs="宋体"/>
                <w:color w:val="auto"/>
                <w:sz w:val="24"/>
                <w:szCs w:val="24"/>
                <w:highlight w:val="none"/>
              </w:rPr>
            </w:pPr>
          </w:p>
        </w:tc>
        <w:tc>
          <w:tcPr>
            <w:tcW w:w="2371" w:type="dxa"/>
            <w:vAlign w:val="center"/>
          </w:tcPr>
          <w:p w14:paraId="1042744D">
            <w:pPr>
              <w:wordWrap/>
              <w:spacing w:line="360" w:lineRule="auto"/>
              <w:textAlignment w:val="auto"/>
              <w:rPr>
                <w:rFonts w:hint="eastAsia" w:ascii="宋体" w:hAnsi="宋体" w:eastAsia="宋体" w:cs="宋体"/>
                <w:color w:val="auto"/>
                <w:sz w:val="24"/>
                <w:szCs w:val="24"/>
                <w:highlight w:val="none"/>
              </w:rPr>
            </w:pPr>
          </w:p>
        </w:tc>
        <w:tc>
          <w:tcPr>
            <w:tcW w:w="2160" w:type="dxa"/>
            <w:vAlign w:val="center"/>
          </w:tcPr>
          <w:p w14:paraId="7D256A5E">
            <w:pPr>
              <w:wordWrap/>
              <w:spacing w:line="360" w:lineRule="auto"/>
              <w:textAlignment w:val="auto"/>
              <w:rPr>
                <w:rFonts w:hint="eastAsia" w:ascii="宋体" w:hAnsi="宋体" w:eastAsia="宋体" w:cs="宋体"/>
                <w:color w:val="auto"/>
                <w:sz w:val="24"/>
                <w:szCs w:val="24"/>
                <w:highlight w:val="none"/>
              </w:rPr>
            </w:pPr>
          </w:p>
        </w:tc>
        <w:tc>
          <w:tcPr>
            <w:tcW w:w="2340" w:type="dxa"/>
            <w:vAlign w:val="center"/>
          </w:tcPr>
          <w:p w14:paraId="22EC96BD">
            <w:pPr>
              <w:wordWrap/>
              <w:spacing w:line="360" w:lineRule="auto"/>
              <w:textAlignment w:val="auto"/>
              <w:rPr>
                <w:rFonts w:hint="eastAsia" w:ascii="宋体" w:hAnsi="宋体" w:eastAsia="宋体" w:cs="宋体"/>
                <w:color w:val="auto"/>
                <w:sz w:val="24"/>
                <w:szCs w:val="24"/>
                <w:highlight w:val="none"/>
              </w:rPr>
            </w:pPr>
          </w:p>
        </w:tc>
      </w:tr>
      <w:tr w14:paraId="21034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vAlign w:val="center"/>
          </w:tcPr>
          <w:p w14:paraId="7CAAAA2D">
            <w:pPr>
              <w:wordWrap/>
              <w:spacing w:line="360" w:lineRule="auto"/>
              <w:textAlignment w:val="auto"/>
              <w:rPr>
                <w:rFonts w:hint="eastAsia" w:ascii="宋体" w:hAnsi="宋体" w:eastAsia="宋体" w:cs="宋体"/>
                <w:color w:val="auto"/>
                <w:sz w:val="24"/>
                <w:szCs w:val="24"/>
                <w:highlight w:val="none"/>
              </w:rPr>
            </w:pPr>
          </w:p>
        </w:tc>
        <w:tc>
          <w:tcPr>
            <w:tcW w:w="1949" w:type="dxa"/>
            <w:vAlign w:val="center"/>
          </w:tcPr>
          <w:p w14:paraId="057FCB37">
            <w:pPr>
              <w:wordWrap/>
              <w:spacing w:line="360" w:lineRule="auto"/>
              <w:textAlignment w:val="auto"/>
              <w:rPr>
                <w:rFonts w:hint="eastAsia" w:ascii="宋体" w:hAnsi="宋体" w:eastAsia="宋体" w:cs="宋体"/>
                <w:color w:val="auto"/>
                <w:sz w:val="24"/>
                <w:szCs w:val="24"/>
                <w:highlight w:val="none"/>
              </w:rPr>
            </w:pPr>
          </w:p>
        </w:tc>
        <w:tc>
          <w:tcPr>
            <w:tcW w:w="2371" w:type="dxa"/>
            <w:vAlign w:val="center"/>
          </w:tcPr>
          <w:p w14:paraId="05B189AC">
            <w:pPr>
              <w:wordWrap/>
              <w:spacing w:line="360" w:lineRule="auto"/>
              <w:textAlignment w:val="auto"/>
              <w:rPr>
                <w:rFonts w:hint="eastAsia" w:ascii="宋体" w:hAnsi="宋体" w:eastAsia="宋体" w:cs="宋体"/>
                <w:color w:val="auto"/>
                <w:sz w:val="24"/>
                <w:szCs w:val="24"/>
                <w:highlight w:val="none"/>
              </w:rPr>
            </w:pPr>
          </w:p>
        </w:tc>
        <w:tc>
          <w:tcPr>
            <w:tcW w:w="2160" w:type="dxa"/>
            <w:vAlign w:val="center"/>
          </w:tcPr>
          <w:p w14:paraId="2DFA16F8">
            <w:pPr>
              <w:wordWrap/>
              <w:spacing w:line="360" w:lineRule="auto"/>
              <w:textAlignment w:val="auto"/>
              <w:rPr>
                <w:rFonts w:hint="eastAsia" w:ascii="宋体" w:hAnsi="宋体" w:eastAsia="宋体" w:cs="宋体"/>
                <w:color w:val="auto"/>
                <w:sz w:val="24"/>
                <w:szCs w:val="24"/>
                <w:highlight w:val="none"/>
              </w:rPr>
            </w:pPr>
          </w:p>
        </w:tc>
        <w:tc>
          <w:tcPr>
            <w:tcW w:w="2340" w:type="dxa"/>
            <w:vAlign w:val="center"/>
          </w:tcPr>
          <w:p w14:paraId="1336ACC5">
            <w:pPr>
              <w:wordWrap/>
              <w:spacing w:line="360" w:lineRule="auto"/>
              <w:textAlignment w:val="auto"/>
              <w:rPr>
                <w:rFonts w:hint="eastAsia" w:ascii="宋体" w:hAnsi="宋体" w:eastAsia="宋体" w:cs="宋体"/>
                <w:color w:val="auto"/>
                <w:sz w:val="24"/>
                <w:szCs w:val="24"/>
                <w:highlight w:val="none"/>
              </w:rPr>
            </w:pPr>
          </w:p>
        </w:tc>
      </w:tr>
      <w:tr w14:paraId="68996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vAlign w:val="center"/>
          </w:tcPr>
          <w:p w14:paraId="5284BE1A">
            <w:pPr>
              <w:wordWrap/>
              <w:spacing w:line="360" w:lineRule="auto"/>
              <w:textAlignment w:val="auto"/>
              <w:rPr>
                <w:rFonts w:hint="eastAsia" w:ascii="宋体" w:hAnsi="宋体" w:eastAsia="宋体" w:cs="宋体"/>
                <w:color w:val="auto"/>
                <w:sz w:val="24"/>
                <w:szCs w:val="24"/>
                <w:highlight w:val="none"/>
              </w:rPr>
            </w:pPr>
          </w:p>
        </w:tc>
        <w:tc>
          <w:tcPr>
            <w:tcW w:w="1949" w:type="dxa"/>
            <w:vAlign w:val="center"/>
          </w:tcPr>
          <w:p w14:paraId="74F8556D">
            <w:pPr>
              <w:wordWrap/>
              <w:spacing w:line="360" w:lineRule="auto"/>
              <w:textAlignment w:val="auto"/>
              <w:rPr>
                <w:rFonts w:hint="eastAsia" w:ascii="宋体" w:hAnsi="宋体" w:eastAsia="宋体" w:cs="宋体"/>
                <w:color w:val="auto"/>
                <w:sz w:val="24"/>
                <w:szCs w:val="24"/>
                <w:highlight w:val="none"/>
              </w:rPr>
            </w:pPr>
          </w:p>
        </w:tc>
        <w:tc>
          <w:tcPr>
            <w:tcW w:w="2371" w:type="dxa"/>
            <w:vAlign w:val="center"/>
          </w:tcPr>
          <w:p w14:paraId="31502A0F">
            <w:pPr>
              <w:wordWrap/>
              <w:spacing w:line="360" w:lineRule="auto"/>
              <w:textAlignment w:val="auto"/>
              <w:rPr>
                <w:rFonts w:hint="eastAsia" w:ascii="宋体" w:hAnsi="宋体" w:eastAsia="宋体" w:cs="宋体"/>
                <w:color w:val="auto"/>
                <w:sz w:val="24"/>
                <w:szCs w:val="24"/>
                <w:highlight w:val="none"/>
              </w:rPr>
            </w:pPr>
          </w:p>
        </w:tc>
        <w:tc>
          <w:tcPr>
            <w:tcW w:w="2160" w:type="dxa"/>
            <w:vAlign w:val="center"/>
          </w:tcPr>
          <w:p w14:paraId="731A44D4">
            <w:pPr>
              <w:wordWrap/>
              <w:spacing w:line="360" w:lineRule="auto"/>
              <w:textAlignment w:val="auto"/>
              <w:rPr>
                <w:rFonts w:hint="eastAsia" w:ascii="宋体" w:hAnsi="宋体" w:eastAsia="宋体" w:cs="宋体"/>
                <w:color w:val="auto"/>
                <w:sz w:val="24"/>
                <w:szCs w:val="24"/>
                <w:highlight w:val="none"/>
              </w:rPr>
            </w:pPr>
          </w:p>
        </w:tc>
        <w:tc>
          <w:tcPr>
            <w:tcW w:w="2340" w:type="dxa"/>
            <w:vAlign w:val="center"/>
          </w:tcPr>
          <w:p w14:paraId="72B10E6F">
            <w:pPr>
              <w:wordWrap/>
              <w:spacing w:line="360" w:lineRule="auto"/>
              <w:textAlignment w:val="auto"/>
              <w:rPr>
                <w:rFonts w:hint="eastAsia" w:ascii="宋体" w:hAnsi="宋体" w:eastAsia="宋体" w:cs="宋体"/>
                <w:color w:val="auto"/>
                <w:sz w:val="24"/>
                <w:szCs w:val="24"/>
                <w:highlight w:val="none"/>
              </w:rPr>
            </w:pPr>
          </w:p>
        </w:tc>
      </w:tr>
    </w:tbl>
    <w:p w14:paraId="52D45A2A">
      <w:pPr>
        <w:wordWrap/>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注：供应商按此表格式列出不影响投标实质性响应的商务偏差，没有说明的其他条款将被认为完全满足采购文件的规定。</w:t>
      </w:r>
    </w:p>
    <w:p w14:paraId="4DFF221C">
      <w:pPr>
        <w:pStyle w:val="33"/>
        <w:wordWrap/>
        <w:spacing w:line="360" w:lineRule="auto"/>
        <w:textAlignment w:val="auto"/>
        <w:rPr>
          <w:rFonts w:hint="eastAsia" w:ascii="宋体" w:hAnsi="宋体" w:eastAsia="宋体" w:cs="宋体"/>
          <w:bCs/>
          <w:color w:val="auto"/>
          <w:sz w:val="24"/>
          <w:szCs w:val="24"/>
          <w:highlight w:val="none"/>
        </w:rPr>
      </w:pPr>
    </w:p>
    <w:p w14:paraId="679B39B6">
      <w:pPr>
        <w:pStyle w:val="33"/>
        <w:wordWrap/>
        <w:spacing w:line="360" w:lineRule="auto"/>
        <w:textAlignment w:val="auto"/>
        <w:rPr>
          <w:rFonts w:hint="eastAsia" w:ascii="宋体" w:hAnsi="宋体" w:eastAsia="宋体" w:cs="宋体"/>
          <w:bCs/>
          <w:color w:val="auto"/>
          <w:sz w:val="24"/>
          <w:szCs w:val="24"/>
          <w:highlight w:val="none"/>
        </w:rPr>
      </w:pPr>
    </w:p>
    <w:p w14:paraId="18E238FF">
      <w:pPr>
        <w:wordWrap/>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供应商(盖章)： </w:t>
      </w:r>
    </w:p>
    <w:p w14:paraId="2F576795">
      <w:pPr>
        <w:wordWrap/>
        <w:spacing w:line="360" w:lineRule="auto"/>
        <w:ind w:firstLine="240" w:firstLineChars="100"/>
        <w:textAlignment w:val="auto"/>
        <w:rPr>
          <w:rFonts w:hint="eastAsia" w:ascii="宋体" w:hAnsi="宋体" w:eastAsia="宋体" w:cs="宋体"/>
          <w:color w:val="auto"/>
          <w:sz w:val="24"/>
          <w:szCs w:val="24"/>
          <w:highlight w:val="none"/>
        </w:rPr>
      </w:pPr>
    </w:p>
    <w:p w14:paraId="4110AA92">
      <w:pPr>
        <w:wordWrap/>
        <w:spacing w:line="360" w:lineRule="auto"/>
        <w:ind w:firstLine="240" w:firstLineChars="100"/>
        <w:textAlignment w:val="auto"/>
        <w:rPr>
          <w:rFonts w:hint="eastAsia" w:ascii="宋体" w:hAnsi="宋体" w:eastAsia="宋体" w:cs="宋体"/>
          <w:color w:val="auto"/>
          <w:sz w:val="24"/>
          <w:szCs w:val="24"/>
          <w:highlight w:val="none"/>
        </w:rPr>
      </w:pPr>
    </w:p>
    <w:p w14:paraId="1692B2C5">
      <w:pPr>
        <w:pStyle w:val="33"/>
        <w:wordWrap/>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法定代表人或委托代理人（签字或盖章）</w:t>
      </w:r>
      <w:r>
        <w:rPr>
          <w:rFonts w:hint="eastAsia" w:ascii="宋体" w:hAnsi="宋体" w:eastAsia="宋体" w:cs="宋体"/>
          <w:bCs/>
          <w:color w:val="auto"/>
          <w:sz w:val="24"/>
          <w:szCs w:val="24"/>
          <w:highlight w:val="none"/>
        </w:rPr>
        <w:t xml:space="preserve">： </w:t>
      </w:r>
    </w:p>
    <w:p w14:paraId="27785DC0">
      <w:pPr>
        <w:pStyle w:val="33"/>
        <w:wordWrap/>
        <w:spacing w:line="360" w:lineRule="auto"/>
        <w:textAlignment w:val="auto"/>
        <w:rPr>
          <w:rFonts w:hint="eastAsia" w:ascii="宋体" w:hAnsi="宋体" w:eastAsia="宋体" w:cs="宋体"/>
          <w:color w:val="auto"/>
          <w:sz w:val="24"/>
          <w:szCs w:val="24"/>
          <w:highlight w:val="none"/>
        </w:rPr>
      </w:pPr>
    </w:p>
    <w:p w14:paraId="2F4046C3">
      <w:pPr>
        <w:pStyle w:val="33"/>
        <w:wordWrap/>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12902136">
      <w:pPr>
        <w:pStyle w:val="2"/>
        <w:ind w:firstLine="0"/>
        <w:jc w:val="center"/>
        <w:rPr>
          <w:rFonts w:hint="eastAsia" w:ascii="宋体" w:hAnsi="宋体" w:cs="宋体"/>
          <w:b/>
          <w:bCs/>
          <w:color w:val="auto"/>
          <w:kern w:val="0"/>
          <w:sz w:val="24"/>
          <w:szCs w:val="24"/>
          <w:highlight w:val="none"/>
        </w:rPr>
      </w:pPr>
    </w:p>
    <w:p w14:paraId="2420B09C">
      <w:pPr>
        <w:pStyle w:val="2"/>
        <w:ind w:firstLine="0"/>
        <w:jc w:val="center"/>
        <w:rPr>
          <w:rFonts w:hint="eastAsia" w:ascii="宋体" w:hAnsi="宋体" w:cs="宋体"/>
          <w:b/>
          <w:bCs/>
          <w:color w:val="auto"/>
          <w:kern w:val="0"/>
          <w:sz w:val="24"/>
          <w:szCs w:val="24"/>
          <w:highlight w:val="none"/>
        </w:rPr>
      </w:pPr>
    </w:p>
    <w:p w14:paraId="1F7461F3">
      <w:pPr>
        <w:pStyle w:val="2"/>
        <w:ind w:firstLine="0"/>
        <w:jc w:val="center"/>
        <w:rPr>
          <w:rFonts w:hint="eastAsia" w:ascii="宋体" w:hAnsi="宋体" w:cs="宋体"/>
          <w:b/>
          <w:bCs/>
          <w:color w:val="auto"/>
          <w:kern w:val="0"/>
          <w:sz w:val="24"/>
          <w:szCs w:val="24"/>
          <w:highlight w:val="none"/>
        </w:rPr>
      </w:pPr>
    </w:p>
    <w:p w14:paraId="431E0B9B">
      <w:pPr>
        <w:pStyle w:val="2"/>
        <w:ind w:firstLine="0"/>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xml:space="preserve">格式9  </w:t>
      </w:r>
      <w:r>
        <w:rPr>
          <w:rFonts w:hint="eastAsia" w:ascii="宋体" w:hAnsi="宋体" w:cs="宋体"/>
          <w:b/>
          <w:color w:val="auto"/>
          <w:sz w:val="24"/>
          <w:highlight w:val="none"/>
        </w:rPr>
        <w:t>项目主要管理人员表</w:t>
      </w:r>
    </w:p>
    <w:p w14:paraId="1917057D">
      <w:pPr>
        <w:snapToGrid w:val="0"/>
        <w:spacing w:line="453" w:lineRule="atLeast"/>
        <w:rPr>
          <w:rFonts w:hint="eastAsia" w:ascii="宋体" w:hAnsi="宋体" w:cs="宋体"/>
          <w:bCs/>
          <w:color w:val="auto"/>
          <w:szCs w:val="21"/>
          <w:highlight w:val="none"/>
        </w:rPr>
      </w:pPr>
    </w:p>
    <w:tbl>
      <w:tblPr>
        <w:tblStyle w:val="59"/>
        <w:tblpPr w:leftFromText="180" w:rightFromText="180" w:vertAnchor="text" w:horzAnchor="margin" w:tblpXSpec="center" w:tblpY="1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793"/>
        <w:gridCol w:w="795"/>
        <w:gridCol w:w="795"/>
        <w:gridCol w:w="795"/>
        <w:gridCol w:w="4192"/>
      </w:tblGrid>
      <w:tr w14:paraId="6C67C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14:paraId="2C291D1D">
            <w:pPr>
              <w:tabs>
                <w:tab w:val="left" w:pos="360"/>
                <w:tab w:val="left" w:pos="1800"/>
              </w:tabs>
              <w:jc w:val="center"/>
              <w:rPr>
                <w:rFonts w:hint="eastAsia" w:ascii="宋体" w:hAnsi="宋体" w:cs="宋体"/>
                <w:color w:val="auto"/>
                <w:sz w:val="24"/>
                <w:highlight w:val="none"/>
              </w:rPr>
            </w:pPr>
            <w:r>
              <w:rPr>
                <w:rFonts w:hint="eastAsia" w:ascii="宋体" w:hAnsi="宋体" w:cs="宋体"/>
                <w:color w:val="auto"/>
                <w:sz w:val="24"/>
                <w:highlight w:val="none"/>
              </w:rPr>
              <w:t>类别</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69C933A6">
            <w:pPr>
              <w:tabs>
                <w:tab w:val="left" w:pos="360"/>
                <w:tab w:val="left" w:pos="1800"/>
              </w:tabs>
              <w:jc w:val="center"/>
              <w:rPr>
                <w:rFonts w:hint="eastAsia" w:ascii="宋体" w:hAnsi="宋体" w:cs="宋体"/>
                <w:color w:val="auto"/>
                <w:sz w:val="24"/>
                <w:highlight w:val="none"/>
              </w:rPr>
            </w:pPr>
            <w:r>
              <w:rPr>
                <w:rFonts w:hint="eastAsia" w:ascii="宋体" w:hAnsi="宋体" w:cs="宋体"/>
                <w:color w:val="auto"/>
                <w:sz w:val="24"/>
                <w:highlight w:val="none"/>
              </w:rPr>
              <w:t>姓名</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39219AE6">
            <w:pPr>
              <w:tabs>
                <w:tab w:val="left" w:pos="360"/>
                <w:tab w:val="left" w:pos="1800"/>
              </w:tabs>
              <w:jc w:val="center"/>
              <w:rPr>
                <w:rFonts w:hint="eastAsia" w:ascii="宋体" w:hAnsi="宋体" w:cs="宋体"/>
                <w:color w:val="auto"/>
                <w:sz w:val="24"/>
                <w:highlight w:val="none"/>
              </w:rPr>
            </w:pPr>
            <w:r>
              <w:rPr>
                <w:rFonts w:hint="eastAsia" w:ascii="宋体" w:hAnsi="宋体" w:cs="宋体"/>
                <w:color w:val="auto"/>
                <w:sz w:val="24"/>
                <w:highlight w:val="none"/>
              </w:rPr>
              <w:t>职务</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23D699AA">
            <w:pPr>
              <w:tabs>
                <w:tab w:val="left" w:pos="360"/>
                <w:tab w:val="left" w:pos="1800"/>
              </w:tabs>
              <w:rPr>
                <w:rFonts w:hint="eastAsia" w:ascii="宋体" w:hAnsi="宋体" w:cs="宋体"/>
                <w:color w:val="auto"/>
                <w:sz w:val="24"/>
                <w:highlight w:val="none"/>
              </w:rPr>
            </w:pPr>
            <w:r>
              <w:rPr>
                <w:rFonts w:hint="eastAsia" w:ascii="宋体" w:hAnsi="宋体" w:cs="宋体"/>
                <w:color w:val="auto"/>
                <w:sz w:val="24"/>
                <w:highlight w:val="none"/>
              </w:rPr>
              <w:t>职称</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327A1AFD">
            <w:pPr>
              <w:tabs>
                <w:tab w:val="left" w:pos="360"/>
                <w:tab w:val="left" w:pos="1800"/>
              </w:tabs>
              <w:jc w:val="center"/>
              <w:rPr>
                <w:rFonts w:hint="eastAsia" w:ascii="宋体" w:hAnsi="宋体" w:cs="宋体"/>
                <w:color w:val="auto"/>
                <w:sz w:val="24"/>
                <w:highlight w:val="none"/>
              </w:rPr>
            </w:pPr>
            <w:r>
              <w:rPr>
                <w:rFonts w:hint="eastAsia" w:ascii="宋体" w:hAnsi="宋体" w:cs="宋体"/>
                <w:color w:val="auto"/>
                <w:sz w:val="24"/>
                <w:highlight w:val="none"/>
              </w:rPr>
              <w:t>证书</w:t>
            </w:r>
          </w:p>
        </w:tc>
        <w:tc>
          <w:tcPr>
            <w:tcW w:w="4192" w:type="dxa"/>
            <w:tcBorders>
              <w:top w:val="single" w:color="auto" w:sz="4" w:space="0"/>
              <w:left w:val="single" w:color="auto" w:sz="4" w:space="0"/>
              <w:bottom w:val="single" w:color="auto" w:sz="4" w:space="0"/>
              <w:right w:val="single" w:color="auto" w:sz="4" w:space="0"/>
            </w:tcBorders>
            <w:noWrap w:val="0"/>
            <w:vAlign w:val="center"/>
          </w:tcPr>
          <w:p w14:paraId="5A80DD68">
            <w:pPr>
              <w:tabs>
                <w:tab w:val="left" w:pos="360"/>
                <w:tab w:val="left" w:pos="1800"/>
              </w:tabs>
              <w:jc w:val="center"/>
              <w:rPr>
                <w:rFonts w:hint="eastAsia" w:ascii="宋体" w:hAnsi="宋体" w:cs="宋体"/>
                <w:color w:val="auto"/>
                <w:sz w:val="24"/>
                <w:highlight w:val="none"/>
              </w:rPr>
            </w:pPr>
            <w:r>
              <w:rPr>
                <w:rFonts w:hint="eastAsia" w:ascii="宋体" w:hAnsi="宋体" w:cs="宋体"/>
                <w:color w:val="auto"/>
                <w:sz w:val="24"/>
                <w:highlight w:val="none"/>
              </w:rPr>
              <w:t>主要资历、经验及承担过的项目</w:t>
            </w:r>
          </w:p>
        </w:tc>
      </w:tr>
      <w:tr w14:paraId="3E388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14:paraId="43154D32">
            <w:pPr>
              <w:tabs>
                <w:tab w:val="left" w:pos="360"/>
                <w:tab w:val="left" w:pos="1800"/>
              </w:tabs>
              <w:rPr>
                <w:rFonts w:hint="eastAsia" w:ascii="宋体" w:hAnsi="宋体" w:cs="宋体"/>
                <w:color w:val="auto"/>
                <w:sz w:val="24"/>
                <w:highlight w:val="none"/>
              </w:rPr>
            </w:pPr>
            <w:r>
              <w:rPr>
                <w:rFonts w:hint="eastAsia" w:ascii="宋体" w:hAnsi="宋体" w:cs="宋体"/>
                <w:color w:val="auto"/>
                <w:sz w:val="24"/>
                <w:highlight w:val="none"/>
              </w:rPr>
              <w:t>一、管理人员</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64A62569">
            <w:pPr>
              <w:tabs>
                <w:tab w:val="left" w:pos="360"/>
                <w:tab w:val="left" w:pos="1800"/>
              </w:tabs>
              <w:jc w:val="center"/>
              <w:rPr>
                <w:rFonts w:hint="eastAsia" w:ascii="宋体" w:hAnsi="宋体" w:cs="宋体"/>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7D99B44E">
            <w:pPr>
              <w:tabs>
                <w:tab w:val="left" w:pos="360"/>
                <w:tab w:val="left" w:pos="1800"/>
              </w:tabs>
              <w:jc w:val="center"/>
              <w:rPr>
                <w:rFonts w:hint="eastAsia" w:ascii="宋体" w:hAnsi="宋体" w:cs="宋体"/>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top"/>
          </w:tcPr>
          <w:p w14:paraId="3DA44CE7">
            <w:pPr>
              <w:tabs>
                <w:tab w:val="left" w:pos="360"/>
                <w:tab w:val="left" w:pos="1800"/>
              </w:tabs>
              <w:jc w:val="center"/>
              <w:rPr>
                <w:rFonts w:hint="eastAsia" w:ascii="宋体" w:hAnsi="宋体" w:cs="宋体"/>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1236FD71">
            <w:pPr>
              <w:tabs>
                <w:tab w:val="left" w:pos="360"/>
                <w:tab w:val="left" w:pos="1800"/>
              </w:tabs>
              <w:jc w:val="center"/>
              <w:rPr>
                <w:rFonts w:hint="eastAsia" w:ascii="宋体" w:hAnsi="宋体" w:cs="宋体"/>
                <w:color w:val="auto"/>
                <w:sz w:val="24"/>
                <w:highlight w:val="none"/>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14:paraId="1358F507">
            <w:pPr>
              <w:tabs>
                <w:tab w:val="left" w:pos="360"/>
                <w:tab w:val="left" w:pos="1800"/>
              </w:tabs>
              <w:jc w:val="center"/>
              <w:rPr>
                <w:rFonts w:hint="eastAsia" w:ascii="宋体" w:hAnsi="宋体" w:cs="宋体"/>
                <w:color w:val="auto"/>
                <w:sz w:val="24"/>
                <w:highlight w:val="none"/>
              </w:rPr>
            </w:pPr>
          </w:p>
        </w:tc>
      </w:tr>
      <w:tr w14:paraId="12FC1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14:paraId="697FB887">
            <w:pPr>
              <w:tabs>
                <w:tab w:val="left" w:pos="360"/>
                <w:tab w:val="left" w:pos="1800"/>
              </w:tabs>
              <w:rPr>
                <w:rFonts w:hint="eastAsia" w:ascii="宋体" w:hAnsi="宋体" w:cs="宋体"/>
                <w:color w:val="auto"/>
                <w:sz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6AC00828">
            <w:pPr>
              <w:tabs>
                <w:tab w:val="left" w:pos="360"/>
                <w:tab w:val="left" w:pos="1800"/>
              </w:tabs>
              <w:jc w:val="center"/>
              <w:rPr>
                <w:rFonts w:hint="eastAsia" w:ascii="宋体" w:hAnsi="宋体" w:cs="宋体"/>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11537CE3">
            <w:pPr>
              <w:tabs>
                <w:tab w:val="left" w:pos="360"/>
                <w:tab w:val="left" w:pos="1800"/>
              </w:tabs>
              <w:jc w:val="center"/>
              <w:rPr>
                <w:rFonts w:hint="eastAsia" w:ascii="宋体" w:hAnsi="宋体" w:cs="宋体"/>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top"/>
          </w:tcPr>
          <w:p w14:paraId="75A6E2C6">
            <w:pPr>
              <w:tabs>
                <w:tab w:val="left" w:pos="360"/>
                <w:tab w:val="left" w:pos="1800"/>
              </w:tabs>
              <w:jc w:val="center"/>
              <w:rPr>
                <w:rFonts w:hint="eastAsia" w:ascii="宋体" w:hAnsi="宋体" w:cs="宋体"/>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634404AC">
            <w:pPr>
              <w:tabs>
                <w:tab w:val="left" w:pos="360"/>
                <w:tab w:val="left" w:pos="1800"/>
              </w:tabs>
              <w:jc w:val="center"/>
              <w:rPr>
                <w:rFonts w:hint="eastAsia" w:ascii="宋体" w:hAnsi="宋体" w:cs="宋体"/>
                <w:color w:val="auto"/>
                <w:sz w:val="24"/>
                <w:highlight w:val="none"/>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14:paraId="0AA22F9A">
            <w:pPr>
              <w:tabs>
                <w:tab w:val="left" w:pos="360"/>
                <w:tab w:val="left" w:pos="1800"/>
              </w:tabs>
              <w:jc w:val="center"/>
              <w:rPr>
                <w:rFonts w:hint="eastAsia" w:ascii="宋体" w:hAnsi="宋体" w:cs="宋体"/>
                <w:color w:val="auto"/>
                <w:sz w:val="24"/>
                <w:highlight w:val="none"/>
              </w:rPr>
            </w:pPr>
          </w:p>
        </w:tc>
      </w:tr>
      <w:tr w14:paraId="0B04C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14:paraId="2CE4DE16">
            <w:pPr>
              <w:tabs>
                <w:tab w:val="left" w:pos="360"/>
                <w:tab w:val="left" w:pos="1800"/>
              </w:tabs>
              <w:rPr>
                <w:rFonts w:hint="eastAsia" w:ascii="宋体" w:hAnsi="宋体" w:cs="宋体"/>
                <w:color w:val="auto"/>
                <w:sz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6E6A7F58">
            <w:pPr>
              <w:tabs>
                <w:tab w:val="left" w:pos="360"/>
                <w:tab w:val="left" w:pos="1800"/>
              </w:tabs>
              <w:jc w:val="center"/>
              <w:rPr>
                <w:rFonts w:hint="eastAsia" w:ascii="宋体" w:hAnsi="宋体" w:cs="宋体"/>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247EFCE1">
            <w:pPr>
              <w:tabs>
                <w:tab w:val="left" w:pos="360"/>
                <w:tab w:val="left" w:pos="1800"/>
              </w:tabs>
              <w:jc w:val="center"/>
              <w:rPr>
                <w:rFonts w:hint="eastAsia" w:ascii="宋体" w:hAnsi="宋体" w:cs="宋体"/>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top"/>
          </w:tcPr>
          <w:p w14:paraId="2C51D7EC">
            <w:pPr>
              <w:tabs>
                <w:tab w:val="left" w:pos="360"/>
                <w:tab w:val="left" w:pos="1800"/>
              </w:tabs>
              <w:jc w:val="center"/>
              <w:rPr>
                <w:rFonts w:hint="eastAsia" w:ascii="宋体" w:hAnsi="宋体" w:cs="宋体"/>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29819C01">
            <w:pPr>
              <w:tabs>
                <w:tab w:val="left" w:pos="360"/>
                <w:tab w:val="left" w:pos="1800"/>
              </w:tabs>
              <w:jc w:val="center"/>
              <w:rPr>
                <w:rFonts w:hint="eastAsia" w:ascii="宋体" w:hAnsi="宋体" w:cs="宋体"/>
                <w:color w:val="auto"/>
                <w:sz w:val="24"/>
                <w:highlight w:val="none"/>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14:paraId="1FD2210A">
            <w:pPr>
              <w:tabs>
                <w:tab w:val="left" w:pos="360"/>
                <w:tab w:val="left" w:pos="1800"/>
              </w:tabs>
              <w:jc w:val="center"/>
              <w:rPr>
                <w:rFonts w:hint="eastAsia" w:ascii="宋体" w:hAnsi="宋体" w:cs="宋体"/>
                <w:color w:val="auto"/>
                <w:sz w:val="24"/>
                <w:highlight w:val="none"/>
              </w:rPr>
            </w:pPr>
          </w:p>
        </w:tc>
      </w:tr>
      <w:tr w14:paraId="21DE4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14:paraId="53A3FCC0">
            <w:pPr>
              <w:tabs>
                <w:tab w:val="left" w:pos="360"/>
                <w:tab w:val="left" w:pos="1800"/>
              </w:tabs>
              <w:rPr>
                <w:rFonts w:hint="eastAsia" w:ascii="宋体" w:hAnsi="宋体" w:cs="宋体"/>
                <w:color w:val="auto"/>
                <w:sz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08B0D7C5">
            <w:pPr>
              <w:tabs>
                <w:tab w:val="left" w:pos="360"/>
                <w:tab w:val="left" w:pos="1800"/>
              </w:tabs>
              <w:jc w:val="center"/>
              <w:rPr>
                <w:rFonts w:hint="eastAsia" w:ascii="宋体" w:hAnsi="宋体" w:cs="宋体"/>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004524D8">
            <w:pPr>
              <w:tabs>
                <w:tab w:val="left" w:pos="360"/>
                <w:tab w:val="left" w:pos="1800"/>
              </w:tabs>
              <w:jc w:val="center"/>
              <w:rPr>
                <w:rFonts w:hint="eastAsia" w:ascii="宋体" w:hAnsi="宋体" w:cs="宋体"/>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top"/>
          </w:tcPr>
          <w:p w14:paraId="1C0A1FF4">
            <w:pPr>
              <w:tabs>
                <w:tab w:val="left" w:pos="360"/>
                <w:tab w:val="left" w:pos="1800"/>
              </w:tabs>
              <w:jc w:val="center"/>
              <w:rPr>
                <w:rFonts w:hint="eastAsia" w:ascii="宋体" w:hAnsi="宋体" w:cs="宋体"/>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7976F046">
            <w:pPr>
              <w:tabs>
                <w:tab w:val="left" w:pos="360"/>
                <w:tab w:val="left" w:pos="1800"/>
              </w:tabs>
              <w:jc w:val="center"/>
              <w:rPr>
                <w:rFonts w:hint="eastAsia" w:ascii="宋体" w:hAnsi="宋体" w:cs="宋体"/>
                <w:color w:val="auto"/>
                <w:sz w:val="24"/>
                <w:highlight w:val="none"/>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14:paraId="59F98B56">
            <w:pPr>
              <w:tabs>
                <w:tab w:val="left" w:pos="360"/>
                <w:tab w:val="left" w:pos="1800"/>
              </w:tabs>
              <w:jc w:val="center"/>
              <w:rPr>
                <w:rFonts w:hint="eastAsia" w:ascii="宋体" w:hAnsi="宋体" w:cs="宋体"/>
                <w:color w:val="auto"/>
                <w:sz w:val="24"/>
                <w:highlight w:val="none"/>
              </w:rPr>
            </w:pPr>
          </w:p>
        </w:tc>
      </w:tr>
      <w:tr w14:paraId="70FCB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14:paraId="6FF122F5">
            <w:pPr>
              <w:tabs>
                <w:tab w:val="left" w:pos="360"/>
                <w:tab w:val="left" w:pos="1800"/>
              </w:tabs>
              <w:rPr>
                <w:rFonts w:hint="eastAsia" w:ascii="宋体" w:hAnsi="宋体" w:cs="宋体"/>
                <w:color w:val="auto"/>
                <w:sz w:val="24"/>
                <w:highlight w:val="none"/>
              </w:rPr>
            </w:pPr>
            <w:r>
              <w:rPr>
                <w:rFonts w:hint="eastAsia" w:ascii="宋体" w:hAnsi="宋体" w:cs="宋体"/>
                <w:color w:val="auto"/>
                <w:sz w:val="24"/>
                <w:highlight w:val="none"/>
              </w:rPr>
              <w:t>二、服务人员</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723E338D">
            <w:pPr>
              <w:tabs>
                <w:tab w:val="left" w:pos="360"/>
                <w:tab w:val="left" w:pos="1800"/>
              </w:tabs>
              <w:jc w:val="center"/>
              <w:rPr>
                <w:rFonts w:hint="eastAsia" w:ascii="宋体" w:hAnsi="宋体" w:cs="宋体"/>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5B422A47">
            <w:pPr>
              <w:tabs>
                <w:tab w:val="left" w:pos="360"/>
                <w:tab w:val="left" w:pos="1800"/>
              </w:tabs>
              <w:jc w:val="center"/>
              <w:rPr>
                <w:rFonts w:hint="eastAsia" w:ascii="宋体" w:hAnsi="宋体" w:cs="宋体"/>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top"/>
          </w:tcPr>
          <w:p w14:paraId="70443D99">
            <w:pPr>
              <w:tabs>
                <w:tab w:val="left" w:pos="360"/>
                <w:tab w:val="left" w:pos="1800"/>
              </w:tabs>
              <w:jc w:val="center"/>
              <w:rPr>
                <w:rFonts w:hint="eastAsia" w:ascii="宋体" w:hAnsi="宋体" w:cs="宋体"/>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36D821DD">
            <w:pPr>
              <w:tabs>
                <w:tab w:val="left" w:pos="360"/>
                <w:tab w:val="left" w:pos="1800"/>
              </w:tabs>
              <w:jc w:val="center"/>
              <w:rPr>
                <w:rFonts w:hint="eastAsia" w:ascii="宋体" w:hAnsi="宋体" w:cs="宋体"/>
                <w:color w:val="auto"/>
                <w:sz w:val="24"/>
                <w:highlight w:val="none"/>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14:paraId="503D9D13">
            <w:pPr>
              <w:tabs>
                <w:tab w:val="left" w:pos="360"/>
                <w:tab w:val="left" w:pos="1800"/>
              </w:tabs>
              <w:jc w:val="center"/>
              <w:rPr>
                <w:rFonts w:hint="eastAsia" w:ascii="宋体" w:hAnsi="宋体" w:cs="宋体"/>
                <w:color w:val="auto"/>
                <w:sz w:val="24"/>
                <w:highlight w:val="none"/>
              </w:rPr>
            </w:pPr>
          </w:p>
        </w:tc>
      </w:tr>
      <w:tr w14:paraId="2A860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14:paraId="5ED496D5">
            <w:pPr>
              <w:tabs>
                <w:tab w:val="left" w:pos="360"/>
                <w:tab w:val="left" w:pos="1800"/>
              </w:tabs>
              <w:rPr>
                <w:rFonts w:hint="eastAsia" w:ascii="宋体" w:hAnsi="宋体" w:cs="宋体"/>
                <w:color w:val="auto"/>
                <w:sz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30560C5B">
            <w:pPr>
              <w:tabs>
                <w:tab w:val="left" w:pos="360"/>
                <w:tab w:val="left" w:pos="1800"/>
              </w:tabs>
              <w:jc w:val="center"/>
              <w:rPr>
                <w:rFonts w:hint="eastAsia" w:ascii="宋体" w:hAnsi="宋体" w:cs="宋体"/>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78DBA6F0">
            <w:pPr>
              <w:tabs>
                <w:tab w:val="left" w:pos="360"/>
                <w:tab w:val="left" w:pos="1800"/>
              </w:tabs>
              <w:jc w:val="center"/>
              <w:rPr>
                <w:rFonts w:hint="eastAsia" w:ascii="宋体" w:hAnsi="宋体" w:cs="宋体"/>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top"/>
          </w:tcPr>
          <w:p w14:paraId="6C39E1E8">
            <w:pPr>
              <w:tabs>
                <w:tab w:val="left" w:pos="360"/>
                <w:tab w:val="left" w:pos="1800"/>
              </w:tabs>
              <w:jc w:val="center"/>
              <w:rPr>
                <w:rFonts w:hint="eastAsia" w:ascii="宋体" w:hAnsi="宋体" w:cs="宋体"/>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1EF56FEB">
            <w:pPr>
              <w:tabs>
                <w:tab w:val="left" w:pos="360"/>
                <w:tab w:val="left" w:pos="1800"/>
              </w:tabs>
              <w:jc w:val="center"/>
              <w:rPr>
                <w:rFonts w:hint="eastAsia" w:ascii="宋体" w:hAnsi="宋体" w:cs="宋体"/>
                <w:color w:val="auto"/>
                <w:sz w:val="24"/>
                <w:highlight w:val="none"/>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14:paraId="131B1801">
            <w:pPr>
              <w:tabs>
                <w:tab w:val="left" w:pos="360"/>
                <w:tab w:val="left" w:pos="1800"/>
              </w:tabs>
              <w:jc w:val="center"/>
              <w:rPr>
                <w:rFonts w:hint="eastAsia" w:ascii="宋体" w:hAnsi="宋体" w:cs="宋体"/>
                <w:color w:val="auto"/>
                <w:sz w:val="24"/>
                <w:highlight w:val="none"/>
              </w:rPr>
            </w:pPr>
          </w:p>
        </w:tc>
      </w:tr>
      <w:tr w14:paraId="66005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14:paraId="3C68316C">
            <w:pPr>
              <w:tabs>
                <w:tab w:val="left" w:pos="360"/>
                <w:tab w:val="left" w:pos="1800"/>
              </w:tabs>
              <w:rPr>
                <w:rFonts w:hint="eastAsia" w:ascii="宋体" w:hAnsi="宋体" w:cs="宋体"/>
                <w:color w:val="auto"/>
                <w:sz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57A2D2D7">
            <w:pPr>
              <w:tabs>
                <w:tab w:val="left" w:pos="360"/>
                <w:tab w:val="left" w:pos="1800"/>
              </w:tabs>
              <w:jc w:val="center"/>
              <w:rPr>
                <w:rFonts w:hint="eastAsia" w:ascii="宋体" w:hAnsi="宋体" w:cs="宋体"/>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4A981103">
            <w:pPr>
              <w:tabs>
                <w:tab w:val="left" w:pos="360"/>
                <w:tab w:val="left" w:pos="1800"/>
              </w:tabs>
              <w:jc w:val="center"/>
              <w:rPr>
                <w:rFonts w:hint="eastAsia" w:ascii="宋体" w:hAnsi="宋体" w:cs="宋体"/>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top"/>
          </w:tcPr>
          <w:p w14:paraId="012D48CD">
            <w:pPr>
              <w:tabs>
                <w:tab w:val="left" w:pos="360"/>
                <w:tab w:val="left" w:pos="1800"/>
              </w:tabs>
              <w:jc w:val="center"/>
              <w:rPr>
                <w:rFonts w:hint="eastAsia" w:ascii="宋体" w:hAnsi="宋体" w:cs="宋体"/>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5DDFE66F">
            <w:pPr>
              <w:tabs>
                <w:tab w:val="left" w:pos="360"/>
                <w:tab w:val="left" w:pos="1800"/>
              </w:tabs>
              <w:jc w:val="center"/>
              <w:rPr>
                <w:rFonts w:hint="eastAsia" w:ascii="宋体" w:hAnsi="宋体" w:cs="宋体"/>
                <w:color w:val="auto"/>
                <w:sz w:val="24"/>
                <w:highlight w:val="none"/>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14:paraId="78C9EAA7">
            <w:pPr>
              <w:tabs>
                <w:tab w:val="left" w:pos="360"/>
                <w:tab w:val="left" w:pos="1800"/>
              </w:tabs>
              <w:jc w:val="center"/>
              <w:rPr>
                <w:rFonts w:hint="eastAsia" w:ascii="宋体" w:hAnsi="宋体" w:cs="宋体"/>
                <w:color w:val="auto"/>
                <w:sz w:val="24"/>
                <w:highlight w:val="none"/>
              </w:rPr>
            </w:pPr>
          </w:p>
        </w:tc>
      </w:tr>
      <w:tr w14:paraId="56BED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14:paraId="4A6B8B67">
            <w:pPr>
              <w:tabs>
                <w:tab w:val="left" w:pos="360"/>
                <w:tab w:val="left" w:pos="1800"/>
              </w:tabs>
              <w:rPr>
                <w:rFonts w:hint="eastAsia" w:ascii="宋体" w:hAnsi="宋体" w:cs="宋体"/>
                <w:color w:val="auto"/>
                <w:sz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1CD490B1">
            <w:pPr>
              <w:tabs>
                <w:tab w:val="left" w:pos="360"/>
                <w:tab w:val="left" w:pos="1800"/>
              </w:tabs>
              <w:jc w:val="center"/>
              <w:rPr>
                <w:rFonts w:hint="eastAsia" w:ascii="宋体" w:hAnsi="宋体" w:cs="宋体"/>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501A77B9">
            <w:pPr>
              <w:tabs>
                <w:tab w:val="left" w:pos="360"/>
                <w:tab w:val="left" w:pos="1800"/>
              </w:tabs>
              <w:jc w:val="center"/>
              <w:rPr>
                <w:rFonts w:hint="eastAsia" w:ascii="宋体" w:hAnsi="宋体" w:cs="宋体"/>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top"/>
          </w:tcPr>
          <w:p w14:paraId="773DD4B9">
            <w:pPr>
              <w:tabs>
                <w:tab w:val="left" w:pos="360"/>
                <w:tab w:val="left" w:pos="1800"/>
              </w:tabs>
              <w:jc w:val="center"/>
              <w:rPr>
                <w:rFonts w:hint="eastAsia" w:ascii="宋体" w:hAnsi="宋体" w:cs="宋体"/>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6031CBBB">
            <w:pPr>
              <w:tabs>
                <w:tab w:val="left" w:pos="360"/>
                <w:tab w:val="left" w:pos="1800"/>
              </w:tabs>
              <w:jc w:val="center"/>
              <w:rPr>
                <w:rFonts w:hint="eastAsia" w:ascii="宋体" w:hAnsi="宋体" w:cs="宋体"/>
                <w:color w:val="auto"/>
                <w:sz w:val="24"/>
                <w:highlight w:val="none"/>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14:paraId="6986EE6C">
            <w:pPr>
              <w:tabs>
                <w:tab w:val="left" w:pos="360"/>
                <w:tab w:val="left" w:pos="1800"/>
              </w:tabs>
              <w:jc w:val="center"/>
              <w:rPr>
                <w:rFonts w:hint="eastAsia" w:ascii="宋体" w:hAnsi="宋体" w:cs="宋体"/>
                <w:color w:val="auto"/>
                <w:sz w:val="24"/>
                <w:highlight w:val="none"/>
              </w:rPr>
            </w:pPr>
          </w:p>
        </w:tc>
      </w:tr>
      <w:tr w14:paraId="6E8A2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14:paraId="40A76761">
            <w:pPr>
              <w:tabs>
                <w:tab w:val="left" w:pos="360"/>
                <w:tab w:val="left" w:pos="1800"/>
              </w:tabs>
              <w:rPr>
                <w:rFonts w:hint="eastAsia" w:ascii="宋体" w:hAnsi="宋体" w:cs="宋体"/>
                <w:color w:val="auto"/>
                <w:sz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40A1EAA2">
            <w:pPr>
              <w:tabs>
                <w:tab w:val="left" w:pos="360"/>
                <w:tab w:val="left" w:pos="1800"/>
              </w:tabs>
              <w:jc w:val="center"/>
              <w:rPr>
                <w:rFonts w:hint="eastAsia" w:ascii="宋体" w:hAnsi="宋体" w:cs="宋体"/>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70319904">
            <w:pPr>
              <w:tabs>
                <w:tab w:val="left" w:pos="360"/>
                <w:tab w:val="left" w:pos="1800"/>
              </w:tabs>
              <w:jc w:val="center"/>
              <w:rPr>
                <w:rFonts w:hint="eastAsia" w:ascii="宋体" w:hAnsi="宋体" w:cs="宋体"/>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top"/>
          </w:tcPr>
          <w:p w14:paraId="416D287A">
            <w:pPr>
              <w:tabs>
                <w:tab w:val="left" w:pos="360"/>
                <w:tab w:val="left" w:pos="1800"/>
              </w:tabs>
              <w:jc w:val="center"/>
              <w:rPr>
                <w:rFonts w:hint="eastAsia" w:ascii="宋体" w:hAnsi="宋体" w:cs="宋体"/>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5C4BADED">
            <w:pPr>
              <w:tabs>
                <w:tab w:val="left" w:pos="360"/>
                <w:tab w:val="left" w:pos="1800"/>
              </w:tabs>
              <w:jc w:val="center"/>
              <w:rPr>
                <w:rFonts w:hint="eastAsia" w:ascii="宋体" w:hAnsi="宋体" w:cs="宋体"/>
                <w:color w:val="auto"/>
                <w:sz w:val="24"/>
                <w:highlight w:val="none"/>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14:paraId="67CBC29B">
            <w:pPr>
              <w:tabs>
                <w:tab w:val="left" w:pos="360"/>
                <w:tab w:val="left" w:pos="1800"/>
              </w:tabs>
              <w:jc w:val="center"/>
              <w:rPr>
                <w:rFonts w:hint="eastAsia" w:ascii="宋体" w:hAnsi="宋体" w:cs="宋体"/>
                <w:color w:val="auto"/>
                <w:sz w:val="24"/>
                <w:highlight w:val="none"/>
              </w:rPr>
            </w:pPr>
          </w:p>
        </w:tc>
      </w:tr>
      <w:tr w14:paraId="2606D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14:paraId="2D3895F2">
            <w:pPr>
              <w:tabs>
                <w:tab w:val="left" w:pos="360"/>
                <w:tab w:val="left" w:pos="1800"/>
              </w:tabs>
              <w:rPr>
                <w:rFonts w:hint="eastAsia" w:ascii="宋体" w:hAnsi="宋体" w:cs="宋体"/>
                <w:color w:val="auto"/>
                <w:sz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111EA4D0">
            <w:pPr>
              <w:tabs>
                <w:tab w:val="left" w:pos="360"/>
                <w:tab w:val="left" w:pos="1800"/>
              </w:tabs>
              <w:jc w:val="center"/>
              <w:rPr>
                <w:rFonts w:hint="eastAsia" w:ascii="宋体" w:hAnsi="宋体" w:cs="宋体"/>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5218EF09">
            <w:pPr>
              <w:tabs>
                <w:tab w:val="left" w:pos="360"/>
                <w:tab w:val="left" w:pos="1800"/>
              </w:tabs>
              <w:jc w:val="center"/>
              <w:rPr>
                <w:rFonts w:hint="eastAsia" w:ascii="宋体" w:hAnsi="宋体" w:cs="宋体"/>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top"/>
          </w:tcPr>
          <w:p w14:paraId="46E518D5">
            <w:pPr>
              <w:tabs>
                <w:tab w:val="left" w:pos="360"/>
                <w:tab w:val="left" w:pos="1800"/>
              </w:tabs>
              <w:jc w:val="center"/>
              <w:rPr>
                <w:rFonts w:hint="eastAsia" w:ascii="宋体" w:hAnsi="宋体" w:cs="宋体"/>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060A48B8">
            <w:pPr>
              <w:tabs>
                <w:tab w:val="left" w:pos="360"/>
                <w:tab w:val="left" w:pos="1800"/>
              </w:tabs>
              <w:jc w:val="center"/>
              <w:rPr>
                <w:rFonts w:hint="eastAsia" w:ascii="宋体" w:hAnsi="宋体" w:cs="宋体"/>
                <w:color w:val="auto"/>
                <w:sz w:val="24"/>
                <w:highlight w:val="none"/>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14:paraId="440299FB">
            <w:pPr>
              <w:tabs>
                <w:tab w:val="left" w:pos="360"/>
                <w:tab w:val="left" w:pos="1800"/>
              </w:tabs>
              <w:jc w:val="center"/>
              <w:rPr>
                <w:rFonts w:hint="eastAsia" w:ascii="宋体" w:hAnsi="宋体" w:cs="宋体"/>
                <w:color w:val="auto"/>
                <w:sz w:val="24"/>
                <w:highlight w:val="none"/>
              </w:rPr>
            </w:pPr>
          </w:p>
        </w:tc>
      </w:tr>
      <w:tr w14:paraId="100F5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9860" w:type="dxa"/>
            <w:gridSpan w:val="6"/>
            <w:tcBorders>
              <w:top w:val="single" w:color="auto" w:sz="4" w:space="0"/>
              <w:left w:val="single" w:color="auto" w:sz="4" w:space="0"/>
              <w:bottom w:val="single" w:color="auto" w:sz="4" w:space="0"/>
              <w:right w:val="single" w:color="auto" w:sz="4" w:space="0"/>
            </w:tcBorders>
            <w:noWrap w:val="0"/>
            <w:vAlign w:val="center"/>
          </w:tcPr>
          <w:p w14:paraId="56309C03">
            <w:pPr>
              <w:tabs>
                <w:tab w:val="left" w:pos="360"/>
                <w:tab w:val="left" w:pos="1800"/>
              </w:tabs>
              <w:spacing w:line="240" w:lineRule="atLeast"/>
              <w:rPr>
                <w:rFonts w:hint="eastAsia" w:ascii="宋体" w:hAnsi="宋体" w:cs="宋体"/>
                <w:color w:val="auto"/>
                <w:sz w:val="24"/>
                <w:highlight w:val="none"/>
              </w:rPr>
            </w:pPr>
            <w:r>
              <w:rPr>
                <w:rFonts w:hint="eastAsia" w:ascii="宋体" w:hAnsi="宋体" w:cs="宋体"/>
                <w:b/>
                <w:color w:val="auto"/>
                <w:sz w:val="24"/>
                <w:highlight w:val="none"/>
              </w:rPr>
              <w:t>注：需填报本项目所有拟派人员信息，并提供从业人员健康证</w:t>
            </w:r>
            <w:r>
              <w:rPr>
                <w:rFonts w:hint="eastAsia" w:ascii="宋体" w:hAnsi="宋体" w:cs="宋体"/>
                <w:b/>
                <w:color w:val="auto"/>
                <w:sz w:val="24"/>
                <w:highlight w:val="none"/>
                <w:lang w:val="en-US" w:eastAsia="zh-CN"/>
              </w:rPr>
              <w:t>及相应资格证书</w:t>
            </w:r>
            <w:r>
              <w:rPr>
                <w:rFonts w:hint="eastAsia" w:ascii="宋体" w:hAnsi="宋体" w:cs="宋体"/>
                <w:b/>
                <w:color w:val="auto"/>
                <w:sz w:val="24"/>
                <w:highlight w:val="none"/>
              </w:rPr>
              <w:t>，作为本表附件。</w:t>
            </w:r>
          </w:p>
        </w:tc>
      </w:tr>
    </w:tbl>
    <w:p w14:paraId="44B73E12">
      <w:pPr>
        <w:snapToGrid w:val="0"/>
        <w:spacing w:line="453" w:lineRule="atLeast"/>
        <w:rPr>
          <w:rFonts w:hint="eastAsia" w:ascii="宋体" w:hAnsi="宋体" w:cs="宋体"/>
          <w:bCs/>
          <w:color w:val="auto"/>
          <w:szCs w:val="21"/>
          <w:highlight w:val="none"/>
        </w:rPr>
      </w:pPr>
      <w:r>
        <w:rPr>
          <w:rFonts w:hint="eastAsia" w:ascii="宋体" w:hAnsi="宋体" w:cs="宋体"/>
          <w:bCs/>
          <w:color w:val="auto"/>
          <w:szCs w:val="21"/>
          <w:highlight w:val="none"/>
        </w:rPr>
        <w:t>供应商（盖章）：</w:t>
      </w:r>
    </w:p>
    <w:p w14:paraId="654D6D98">
      <w:pPr>
        <w:snapToGrid w:val="0"/>
        <w:spacing w:line="453" w:lineRule="atLeast"/>
        <w:ind w:firstLine="420" w:firstLineChars="200"/>
        <w:rPr>
          <w:rFonts w:hint="eastAsia" w:ascii="宋体" w:hAnsi="宋体" w:cs="宋体"/>
          <w:bCs/>
          <w:color w:val="auto"/>
          <w:szCs w:val="21"/>
          <w:highlight w:val="none"/>
        </w:rPr>
      </w:pPr>
    </w:p>
    <w:p w14:paraId="44CC2A73">
      <w:pPr>
        <w:snapToGrid w:val="0"/>
        <w:spacing w:line="453" w:lineRule="atLeast"/>
        <w:rPr>
          <w:rFonts w:hint="eastAsia" w:ascii="宋体" w:hAnsi="宋体" w:cs="宋体"/>
          <w:bCs/>
          <w:color w:val="auto"/>
          <w:szCs w:val="21"/>
          <w:highlight w:val="none"/>
        </w:rPr>
      </w:pPr>
      <w:r>
        <w:rPr>
          <w:rFonts w:hint="eastAsia" w:ascii="宋体" w:hAnsi="宋体" w:cs="宋体"/>
          <w:bCs/>
          <w:color w:val="auto"/>
          <w:szCs w:val="21"/>
          <w:highlight w:val="none"/>
        </w:rPr>
        <w:t>法人代表人或委托代理人签字或盖章：</w:t>
      </w:r>
    </w:p>
    <w:p w14:paraId="47A5D790">
      <w:pPr>
        <w:snapToGrid w:val="0"/>
        <w:spacing w:line="453" w:lineRule="atLeast"/>
        <w:jc w:val="center"/>
        <w:rPr>
          <w:rFonts w:hint="eastAsia" w:ascii="宋体" w:hAnsi="宋体" w:cs="宋体"/>
          <w:bCs/>
          <w:color w:val="auto"/>
          <w:szCs w:val="21"/>
          <w:highlight w:val="none"/>
        </w:rPr>
      </w:pPr>
    </w:p>
    <w:p w14:paraId="07A81257">
      <w:pPr>
        <w:jc w:val="right"/>
        <w:outlineLvl w:val="0"/>
        <w:rPr>
          <w:rFonts w:hint="eastAsia" w:ascii="宋体" w:hAnsi="宋体" w:cs="宋体"/>
          <w:color w:val="auto"/>
          <w:sz w:val="24"/>
          <w:highlight w:val="none"/>
        </w:rPr>
      </w:pPr>
      <w:r>
        <w:rPr>
          <w:rFonts w:hint="eastAsia" w:ascii="宋体" w:hAnsi="宋体" w:cs="宋体"/>
          <w:bCs/>
          <w:color w:val="auto"/>
          <w:szCs w:val="21"/>
          <w:highlight w:val="none"/>
        </w:rPr>
        <w:t>年  月</w:t>
      </w:r>
      <w:r>
        <w:rPr>
          <w:rFonts w:hint="eastAsia" w:ascii="宋体" w:hAnsi="宋体" w:cs="宋体"/>
          <w:color w:val="auto"/>
          <w:sz w:val="24"/>
          <w:highlight w:val="none"/>
        </w:rPr>
        <w:t xml:space="preserve">  日    </w:t>
      </w:r>
    </w:p>
    <w:p w14:paraId="1210C840">
      <w:pPr>
        <w:pStyle w:val="33"/>
        <w:wordWrap/>
        <w:spacing w:line="360" w:lineRule="auto"/>
        <w:jc w:val="center"/>
        <w:textAlignment w:val="auto"/>
        <w:rPr>
          <w:rFonts w:hint="eastAsia" w:ascii="宋体" w:hAnsi="宋体" w:eastAsia="宋体" w:cs="宋体"/>
          <w:color w:val="auto"/>
          <w:sz w:val="24"/>
          <w:szCs w:val="24"/>
          <w:highlight w:val="none"/>
        </w:rPr>
      </w:pPr>
    </w:p>
    <w:p w14:paraId="3C9B82EA">
      <w:pPr>
        <w:pStyle w:val="4"/>
        <w:wordWrap/>
        <w:spacing w:before="0" w:after="0" w:line="360" w:lineRule="auto"/>
        <w:jc w:val="center"/>
        <w:textAlignment w:val="auto"/>
        <w:rPr>
          <w:rFonts w:hint="eastAsia" w:ascii="宋体" w:hAnsi="宋体" w:eastAsia="宋体" w:cs="宋体"/>
          <w:color w:val="auto"/>
          <w:sz w:val="24"/>
          <w:szCs w:val="24"/>
          <w:highlight w:val="none"/>
        </w:rPr>
      </w:pPr>
      <w:bookmarkStart w:id="155" w:name="_Toc11914"/>
      <w:bookmarkStart w:id="156" w:name="_Toc500232561"/>
      <w:bookmarkStart w:id="157" w:name="_Toc453752086"/>
      <w:bookmarkStart w:id="158" w:name="_Toc13948"/>
      <w:bookmarkStart w:id="159" w:name="_Toc12471"/>
      <w:bookmarkStart w:id="160" w:name="_Toc246216439"/>
      <w:bookmarkStart w:id="161" w:name="_Toc243905166"/>
      <w:bookmarkStart w:id="162" w:name="_Toc243906411"/>
      <w:bookmarkStart w:id="163" w:name="_Toc243907641"/>
      <w:bookmarkStart w:id="164" w:name="_Toc246216281"/>
      <w:bookmarkStart w:id="165" w:name="_Toc246216304"/>
      <w:bookmarkStart w:id="166" w:name="_Toc245369914"/>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 xml:space="preserve">  </w:t>
      </w:r>
      <w:r>
        <w:rPr>
          <w:rFonts w:hint="eastAsia" w:ascii="宋体" w:hAnsi="宋体" w:cs="宋体"/>
          <w:b/>
          <w:color w:val="auto"/>
          <w:sz w:val="24"/>
          <w:highlight w:val="none"/>
        </w:rPr>
        <w:t>近三年（自202</w:t>
      </w:r>
      <w:r>
        <w:rPr>
          <w:rFonts w:hint="eastAsia" w:ascii="宋体" w:hAnsi="宋体" w:cs="宋体"/>
          <w:b/>
          <w:color w:val="auto"/>
          <w:sz w:val="24"/>
          <w:highlight w:val="none"/>
          <w:lang w:val="en-US" w:eastAsia="zh-CN"/>
        </w:rPr>
        <w:t>2</w:t>
      </w:r>
      <w:r>
        <w:rPr>
          <w:rFonts w:hint="eastAsia" w:ascii="宋体" w:hAnsi="宋体" w:cs="宋体"/>
          <w:b/>
          <w:color w:val="auto"/>
          <w:sz w:val="24"/>
          <w:highlight w:val="none"/>
        </w:rPr>
        <w:t>年1月1日至今）同类项目业绩表</w:t>
      </w:r>
    </w:p>
    <w:tbl>
      <w:tblPr>
        <w:tblStyle w:val="59"/>
        <w:tblW w:w="88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681"/>
        <w:gridCol w:w="6156"/>
      </w:tblGrid>
      <w:tr w14:paraId="3274D4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1" w:type="dxa"/>
            <w:vAlign w:val="center"/>
          </w:tcPr>
          <w:p w14:paraId="36C3E7E2">
            <w:pPr>
              <w:wordWrap/>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156" w:type="dxa"/>
            <w:vAlign w:val="top"/>
          </w:tcPr>
          <w:p w14:paraId="1D3E7C1E">
            <w:pPr>
              <w:wordWrap/>
              <w:spacing w:line="360" w:lineRule="auto"/>
              <w:textAlignment w:val="auto"/>
              <w:rPr>
                <w:rFonts w:hint="eastAsia" w:ascii="宋体" w:hAnsi="宋体" w:eastAsia="宋体" w:cs="宋体"/>
                <w:color w:val="auto"/>
                <w:sz w:val="24"/>
                <w:szCs w:val="24"/>
                <w:highlight w:val="none"/>
              </w:rPr>
            </w:pPr>
          </w:p>
        </w:tc>
      </w:tr>
      <w:tr w14:paraId="1ACABD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1" w:type="dxa"/>
            <w:vAlign w:val="center"/>
          </w:tcPr>
          <w:p w14:paraId="4CD8B29F">
            <w:pPr>
              <w:wordWrap/>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项目所在地</w:t>
            </w:r>
          </w:p>
        </w:tc>
        <w:tc>
          <w:tcPr>
            <w:tcW w:w="6156" w:type="dxa"/>
            <w:vAlign w:val="top"/>
          </w:tcPr>
          <w:p w14:paraId="14D31FD1">
            <w:pPr>
              <w:wordWrap/>
              <w:spacing w:line="360" w:lineRule="auto"/>
              <w:textAlignment w:val="auto"/>
              <w:rPr>
                <w:rFonts w:hint="eastAsia" w:ascii="宋体" w:hAnsi="宋体" w:eastAsia="宋体" w:cs="宋体"/>
                <w:color w:val="auto"/>
                <w:sz w:val="24"/>
                <w:szCs w:val="24"/>
                <w:highlight w:val="none"/>
              </w:rPr>
            </w:pPr>
          </w:p>
        </w:tc>
      </w:tr>
      <w:tr w14:paraId="71676D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1" w:type="dxa"/>
            <w:vAlign w:val="center"/>
          </w:tcPr>
          <w:p w14:paraId="665BC943">
            <w:pPr>
              <w:wordWrap/>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项目实施机构名称</w:t>
            </w:r>
          </w:p>
        </w:tc>
        <w:tc>
          <w:tcPr>
            <w:tcW w:w="6156" w:type="dxa"/>
            <w:vAlign w:val="top"/>
          </w:tcPr>
          <w:p w14:paraId="4C257DD4">
            <w:pPr>
              <w:wordWrap/>
              <w:spacing w:line="360" w:lineRule="auto"/>
              <w:textAlignment w:val="auto"/>
              <w:rPr>
                <w:rFonts w:hint="eastAsia" w:ascii="宋体" w:hAnsi="宋体" w:eastAsia="宋体" w:cs="宋体"/>
                <w:color w:val="auto"/>
                <w:sz w:val="24"/>
                <w:szCs w:val="24"/>
                <w:highlight w:val="none"/>
              </w:rPr>
            </w:pPr>
          </w:p>
        </w:tc>
      </w:tr>
      <w:tr w14:paraId="157A83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1" w:type="dxa"/>
            <w:vAlign w:val="center"/>
          </w:tcPr>
          <w:p w14:paraId="01511D8C">
            <w:pPr>
              <w:wordWrap/>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项目实施机构地址</w:t>
            </w:r>
          </w:p>
        </w:tc>
        <w:tc>
          <w:tcPr>
            <w:tcW w:w="6156" w:type="dxa"/>
            <w:vAlign w:val="top"/>
          </w:tcPr>
          <w:p w14:paraId="0F29C786">
            <w:pPr>
              <w:wordWrap/>
              <w:spacing w:line="360" w:lineRule="auto"/>
              <w:textAlignment w:val="auto"/>
              <w:rPr>
                <w:rFonts w:hint="eastAsia" w:ascii="宋体" w:hAnsi="宋体" w:eastAsia="宋体" w:cs="宋体"/>
                <w:color w:val="auto"/>
                <w:sz w:val="24"/>
                <w:szCs w:val="24"/>
                <w:highlight w:val="none"/>
              </w:rPr>
            </w:pPr>
          </w:p>
        </w:tc>
      </w:tr>
      <w:tr w14:paraId="1C25EB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1" w:type="dxa"/>
            <w:vAlign w:val="center"/>
          </w:tcPr>
          <w:p w14:paraId="6A6E5872">
            <w:pPr>
              <w:wordWrap/>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项目实施机构电话</w:t>
            </w:r>
          </w:p>
        </w:tc>
        <w:tc>
          <w:tcPr>
            <w:tcW w:w="6156" w:type="dxa"/>
            <w:vAlign w:val="top"/>
          </w:tcPr>
          <w:p w14:paraId="3D6E8366">
            <w:pPr>
              <w:wordWrap/>
              <w:spacing w:line="360" w:lineRule="auto"/>
              <w:textAlignment w:val="auto"/>
              <w:rPr>
                <w:rFonts w:hint="eastAsia" w:ascii="宋体" w:hAnsi="宋体" w:eastAsia="宋体" w:cs="宋体"/>
                <w:color w:val="auto"/>
                <w:sz w:val="24"/>
                <w:szCs w:val="24"/>
                <w:highlight w:val="none"/>
              </w:rPr>
            </w:pPr>
          </w:p>
        </w:tc>
      </w:tr>
      <w:tr w14:paraId="1A7801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1" w:type="dxa"/>
            <w:vAlign w:val="center"/>
          </w:tcPr>
          <w:p w14:paraId="7AFAD50A">
            <w:pPr>
              <w:wordWrap/>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投资额</w:t>
            </w:r>
          </w:p>
        </w:tc>
        <w:tc>
          <w:tcPr>
            <w:tcW w:w="6156" w:type="dxa"/>
            <w:vAlign w:val="top"/>
          </w:tcPr>
          <w:p w14:paraId="21A745A7">
            <w:pPr>
              <w:wordWrap/>
              <w:spacing w:line="360" w:lineRule="auto"/>
              <w:textAlignment w:val="auto"/>
              <w:rPr>
                <w:rFonts w:hint="eastAsia" w:ascii="宋体" w:hAnsi="宋体" w:eastAsia="宋体" w:cs="宋体"/>
                <w:color w:val="auto"/>
                <w:sz w:val="24"/>
                <w:szCs w:val="24"/>
                <w:highlight w:val="none"/>
              </w:rPr>
            </w:pPr>
          </w:p>
        </w:tc>
      </w:tr>
      <w:tr w14:paraId="735A76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1" w:type="dxa"/>
            <w:vAlign w:val="center"/>
          </w:tcPr>
          <w:p w14:paraId="2958EE2A">
            <w:pPr>
              <w:wordWrap/>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主要证明材料</w:t>
            </w:r>
          </w:p>
        </w:tc>
        <w:tc>
          <w:tcPr>
            <w:tcW w:w="6156" w:type="dxa"/>
            <w:vAlign w:val="top"/>
          </w:tcPr>
          <w:p w14:paraId="793110B6">
            <w:pPr>
              <w:wordWrap/>
              <w:spacing w:line="360" w:lineRule="auto"/>
              <w:textAlignment w:val="auto"/>
              <w:rPr>
                <w:rFonts w:hint="eastAsia" w:ascii="宋体" w:hAnsi="宋体" w:eastAsia="宋体" w:cs="宋体"/>
                <w:color w:val="auto"/>
                <w:sz w:val="24"/>
                <w:szCs w:val="24"/>
                <w:highlight w:val="none"/>
              </w:rPr>
            </w:pPr>
          </w:p>
        </w:tc>
      </w:tr>
      <w:tr w14:paraId="4D5781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1" w:type="dxa"/>
            <w:vAlign w:val="center"/>
          </w:tcPr>
          <w:p w14:paraId="5CC8E7CE">
            <w:pPr>
              <w:wordWrap/>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开始时间</w:t>
            </w:r>
          </w:p>
        </w:tc>
        <w:tc>
          <w:tcPr>
            <w:tcW w:w="6156" w:type="dxa"/>
            <w:vAlign w:val="top"/>
          </w:tcPr>
          <w:p w14:paraId="52B885A5">
            <w:pPr>
              <w:wordWrap/>
              <w:spacing w:line="360" w:lineRule="auto"/>
              <w:textAlignment w:val="auto"/>
              <w:rPr>
                <w:rFonts w:hint="eastAsia" w:ascii="宋体" w:hAnsi="宋体" w:eastAsia="宋体" w:cs="宋体"/>
                <w:color w:val="auto"/>
                <w:sz w:val="24"/>
                <w:szCs w:val="24"/>
                <w:highlight w:val="none"/>
              </w:rPr>
            </w:pPr>
          </w:p>
        </w:tc>
      </w:tr>
      <w:tr w14:paraId="5055BA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1" w:type="dxa"/>
            <w:vAlign w:val="center"/>
          </w:tcPr>
          <w:p w14:paraId="7C98A5B5">
            <w:pPr>
              <w:wordWrap/>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项目质量</w:t>
            </w:r>
          </w:p>
        </w:tc>
        <w:tc>
          <w:tcPr>
            <w:tcW w:w="6156" w:type="dxa"/>
            <w:vAlign w:val="top"/>
          </w:tcPr>
          <w:p w14:paraId="52A094FB">
            <w:pPr>
              <w:wordWrap/>
              <w:spacing w:line="360" w:lineRule="auto"/>
              <w:textAlignment w:val="auto"/>
              <w:rPr>
                <w:rFonts w:hint="eastAsia" w:ascii="宋体" w:hAnsi="宋体" w:eastAsia="宋体" w:cs="宋体"/>
                <w:color w:val="auto"/>
                <w:sz w:val="24"/>
                <w:szCs w:val="24"/>
                <w:highlight w:val="none"/>
              </w:rPr>
            </w:pPr>
          </w:p>
        </w:tc>
      </w:tr>
      <w:tr w14:paraId="4537E8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1" w:type="dxa"/>
            <w:vAlign w:val="center"/>
          </w:tcPr>
          <w:p w14:paraId="5A271B9A">
            <w:pPr>
              <w:wordWrap/>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6156" w:type="dxa"/>
            <w:vAlign w:val="top"/>
          </w:tcPr>
          <w:p w14:paraId="28E9BDB7">
            <w:pPr>
              <w:wordWrap/>
              <w:spacing w:line="360" w:lineRule="auto"/>
              <w:textAlignment w:val="auto"/>
              <w:rPr>
                <w:rFonts w:hint="eastAsia" w:ascii="宋体" w:hAnsi="宋体" w:eastAsia="宋体" w:cs="宋体"/>
                <w:color w:val="auto"/>
                <w:sz w:val="24"/>
                <w:szCs w:val="24"/>
                <w:highlight w:val="none"/>
              </w:rPr>
            </w:pPr>
          </w:p>
        </w:tc>
      </w:tr>
      <w:tr w14:paraId="0D5B46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98" w:hRule="atLeast"/>
          <w:jc w:val="center"/>
        </w:trPr>
        <w:tc>
          <w:tcPr>
            <w:tcW w:w="2681" w:type="dxa"/>
            <w:vAlign w:val="center"/>
          </w:tcPr>
          <w:p w14:paraId="2D929453">
            <w:pPr>
              <w:wordWrap/>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项目描述</w:t>
            </w:r>
          </w:p>
        </w:tc>
        <w:tc>
          <w:tcPr>
            <w:tcW w:w="6156" w:type="dxa"/>
            <w:vAlign w:val="center"/>
          </w:tcPr>
          <w:p w14:paraId="583F2118">
            <w:pPr>
              <w:wordWrap/>
              <w:spacing w:line="360" w:lineRule="auto"/>
              <w:jc w:val="center"/>
              <w:textAlignment w:val="auto"/>
              <w:rPr>
                <w:rFonts w:hint="eastAsia" w:ascii="宋体" w:hAnsi="宋体" w:eastAsia="宋体" w:cs="宋体"/>
                <w:color w:val="auto"/>
                <w:sz w:val="24"/>
                <w:szCs w:val="24"/>
                <w:highlight w:val="none"/>
              </w:rPr>
            </w:pPr>
          </w:p>
        </w:tc>
      </w:tr>
      <w:tr w14:paraId="19BCFD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2681" w:type="dxa"/>
            <w:vAlign w:val="center"/>
          </w:tcPr>
          <w:p w14:paraId="7A77C383">
            <w:pPr>
              <w:wordWrap/>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  注</w:t>
            </w:r>
          </w:p>
        </w:tc>
        <w:tc>
          <w:tcPr>
            <w:tcW w:w="6156" w:type="dxa"/>
            <w:vAlign w:val="center"/>
          </w:tcPr>
          <w:p w14:paraId="1DED182E">
            <w:pPr>
              <w:wordWrap/>
              <w:spacing w:line="360" w:lineRule="auto"/>
              <w:jc w:val="center"/>
              <w:textAlignment w:val="auto"/>
              <w:rPr>
                <w:rFonts w:hint="eastAsia" w:ascii="宋体" w:hAnsi="宋体" w:eastAsia="宋体" w:cs="宋体"/>
                <w:color w:val="auto"/>
                <w:sz w:val="24"/>
                <w:szCs w:val="24"/>
                <w:highlight w:val="none"/>
              </w:rPr>
            </w:pPr>
          </w:p>
        </w:tc>
      </w:tr>
    </w:tbl>
    <w:p w14:paraId="1C0CB315">
      <w:pPr>
        <w:tabs>
          <w:tab w:val="left" w:pos="555"/>
          <w:tab w:val="left" w:pos="2214"/>
          <w:tab w:val="left" w:pos="3774"/>
          <w:tab w:val="left" w:pos="4854"/>
          <w:tab w:val="left" w:pos="5934"/>
          <w:tab w:val="left" w:pos="7014"/>
          <w:tab w:val="left" w:pos="8214"/>
          <w:tab w:val="left" w:pos="10134"/>
          <w:tab w:val="left" w:pos="11124"/>
        </w:tabs>
        <w:wordWrap/>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注：供应商（仅限于供应商自身实施的）以上业绩需提供有关书面证明材料（如中标通知书/入围通知书或采购合同</w:t>
      </w:r>
      <w:r>
        <w:rPr>
          <w:rFonts w:hint="eastAsia" w:ascii="宋体" w:hAnsi="宋体" w:cs="宋体"/>
          <w:color w:val="auto"/>
          <w:sz w:val="24"/>
          <w:szCs w:val="24"/>
          <w:highlight w:val="none"/>
          <w:lang w:val="en-US" w:eastAsia="zh-CN"/>
        </w:rPr>
        <w:t>等</w:t>
      </w:r>
      <w:r>
        <w:rPr>
          <w:rFonts w:hint="eastAsia" w:ascii="宋体" w:hAnsi="宋体" w:eastAsia="宋体" w:cs="宋体"/>
          <w:color w:val="auto"/>
          <w:sz w:val="24"/>
          <w:szCs w:val="24"/>
          <w:highlight w:val="none"/>
        </w:rPr>
        <w:t>）。</w:t>
      </w:r>
    </w:p>
    <w:p w14:paraId="59608822">
      <w:pPr>
        <w:wordWrap/>
        <w:spacing w:line="360" w:lineRule="auto"/>
        <w:textAlignment w:val="auto"/>
        <w:rPr>
          <w:rFonts w:hint="eastAsia" w:ascii="宋体" w:hAnsi="宋体" w:eastAsia="宋体" w:cs="宋体"/>
          <w:color w:val="auto"/>
          <w:sz w:val="24"/>
          <w:szCs w:val="24"/>
          <w:highlight w:val="none"/>
        </w:rPr>
      </w:pPr>
    </w:p>
    <w:p w14:paraId="60D579F0">
      <w:pPr>
        <w:wordWrap/>
        <w:adjustRightIn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供应商（盖章）：         </w:t>
      </w:r>
    </w:p>
    <w:p w14:paraId="6DA0497E">
      <w:pPr>
        <w:wordWrap/>
        <w:adjustRightInd w:val="0"/>
        <w:spacing w:line="360" w:lineRule="auto"/>
        <w:ind w:firstLine="480" w:firstLineChars="200"/>
        <w:jc w:val="left"/>
        <w:textAlignment w:val="auto"/>
        <w:rPr>
          <w:rFonts w:hint="eastAsia" w:ascii="宋体" w:hAnsi="宋体" w:eastAsia="宋体" w:cs="宋体"/>
          <w:color w:val="auto"/>
          <w:sz w:val="24"/>
          <w:szCs w:val="24"/>
          <w:highlight w:val="none"/>
        </w:rPr>
      </w:pPr>
    </w:p>
    <w:p w14:paraId="27C7DDA0">
      <w:pPr>
        <w:wordWrap/>
        <w:spacing w:line="360" w:lineRule="auto"/>
        <w:ind w:right="480"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法定代表人或委托代理人（签字或盖章）：</w:t>
      </w:r>
    </w:p>
    <w:p w14:paraId="67B75035">
      <w:pPr>
        <w:wordWrap/>
        <w:spacing w:line="360" w:lineRule="auto"/>
        <w:ind w:right="480" w:firstLine="480" w:firstLineChars="200"/>
        <w:jc w:val="right"/>
        <w:textAlignment w:val="auto"/>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年  月  日</w:t>
      </w:r>
    </w:p>
    <w:bookmarkEnd w:id="155"/>
    <w:bookmarkEnd w:id="156"/>
    <w:bookmarkEnd w:id="157"/>
    <w:bookmarkEnd w:id="158"/>
    <w:bookmarkEnd w:id="159"/>
    <w:p w14:paraId="217A443F">
      <w:pPr>
        <w:spacing w:line="360" w:lineRule="auto"/>
        <w:jc w:val="center"/>
        <w:outlineLvl w:val="0"/>
        <w:rPr>
          <w:rFonts w:hint="eastAsia" w:ascii="宋体" w:hAnsi="宋体" w:cs="宋体"/>
          <w:b/>
          <w:bCs/>
          <w:color w:val="auto"/>
          <w:sz w:val="24"/>
          <w:highlight w:val="none"/>
        </w:rPr>
      </w:pPr>
    </w:p>
    <w:p w14:paraId="14FB5844">
      <w:pPr>
        <w:spacing w:line="360" w:lineRule="auto"/>
        <w:jc w:val="center"/>
        <w:outlineLvl w:val="0"/>
        <w:rPr>
          <w:rFonts w:hint="eastAsia" w:ascii="宋体" w:hAnsi="宋体" w:cs="宋体"/>
          <w:b/>
          <w:color w:val="auto"/>
          <w:sz w:val="28"/>
          <w:szCs w:val="28"/>
          <w:highlight w:val="none"/>
        </w:rPr>
      </w:pPr>
      <w:r>
        <w:rPr>
          <w:rFonts w:hint="eastAsia" w:ascii="宋体" w:hAnsi="宋体" w:cs="宋体"/>
          <w:b/>
          <w:bCs/>
          <w:color w:val="auto"/>
          <w:sz w:val="24"/>
          <w:highlight w:val="none"/>
        </w:rPr>
        <w:t>格式11 技术规格响应偏离表</w:t>
      </w:r>
      <w:bookmarkEnd w:id="160"/>
      <w:bookmarkEnd w:id="161"/>
      <w:bookmarkEnd w:id="162"/>
      <w:bookmarkEnd w:id="163"/>
      <w:bookmarkEnd w:id="164"/>
      <w:bookmarkEnd w:id="165"/>
      <w:bookmarkEnd w:id="166"/>
    </w:p>
    <w:p w14:paraId="27671BE9">
      <w:pPr>
        <w:spacing w:line="360" w:lineRule="auto"/>
        <w:jc w:val="center"/>
        <w:outlineLvl w:val="0"/>
        <w:rPr>
          <w:rFonts w:hint="eastAsia" w:ascii="宋体" w:hAnsi="宋体" w:cs="宋体"/>
          <w:b/>
          <w:color w:val="auto"/>
          <w:sz w:val="24"/>
          <w:highlight w:val="none"/>
        </w:rPr>
      </w:pP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560"/>
        <w:gridCol w:w="1635"/>
        <w:gridCol w:w="1850"/>
        <w:gridCol w:w="1495"/>
        <w:gridCol w:w="900"/>
        <w:gridCol w:w="1890"/>
      </w:tblGrid>
      <w:tr w14:paraId="09888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noWrap w:val="0"/>
            <w:vAlign w:val="center"/>
          </w:tcPr>
          <w:p w14:paraId="23F4249A">
            <w:pPr>
              <w:pStyle w:val="33"/>
              <w:spacing w:line="360" w:lineRule="auto"/>
              <w:jc w:val="center"/>
              <w:rPr>
                <w:rFonts w:hint="eastAsia" w:hAnsi="宋体" w:cs="宋体"/>
                <w:color w:val="auto"/>
                <w:szCs w:val="21"/>
                <w:highlight w:val="none"/>
              </w:rPr>
            </w:pPr>
            <w:r>
              <w:rPr>
                <w:rFonts w:hint="eastAsia" w:hAnsi="宋体" w:cs="宋体"/>
                <w:color w:val="auto"/>
                <w:szCs w:val="21"/>
                <w:highlight w:val="none"/>
              </w:rPr>
              <w:t>序号</w:t>
            </w:r>
          </w:p>
        </w:tc>
        <w:tc>
          <w:tcPr>
            <w:tcW w:w="1560" w:type="dxa"/>
            <w:noWrap w:val="0"/>
            <w:vAlign w:val="center"/>
          </w:tcPr>
          <w:p w14:paraId="6234A7A7">
            <w:pPr>
              <w:pStyle w:val="33"/>
              <w:spacing w:line="360" w:lineRule="auto"/>
              <w:jc w:val="center"/>
              <w:rPr>
                <w:rFonts w:hint="eastAsia" w:hAnsi="宋体" w:cs="宋体"/>
                <w:color w:val="auto"/>
                <w:szCs w:val="21"/>
                <w:highlight w:val="none"/>
              </w:rPr>
            </w:pPr>
            <w:r>
              <w:rPr>
                <w:rFonts w:hint="eastAsia" w:hAnsi="宋体" w:cs="宋体"/>
                <w:color w:val="auto"/>
                <w:szCs w:val="21"/>
                <w:highlight w:val="none"/>
              </w:rPr>
              <w:t>名称</w:t>
            </w:r>
          </w:p>
        </w:tc>
        <w:tc>
          <w:tcPr>
            <w:tcW w:w="1635" w:type="dxa"/>
            <w:noWrap w:val="0"/>
            <w:vAlign w:val="center"/>
          </w:tcPr>
          <w:p w14:paraId="4C5339EB">
            <w:pPr>
              <w:pStyle w:val="33"/>
              <w:spacing w:line="360" w:lineRule="auto"/>
              <w:jc w:val="center"/>
              <w:rPr>
                <w:rFonts w:hint="eastAsia" w:hAnsi="宋体" w:cs="宋体"/>
                <w:color w:val="auto"/>
                <w:szCs w:val="21"/>
                <w:highlight w:val="none"/>
              </w:rPr>
            </w:pPr>
            <w:r>
              <w:rPr>
                <w:rFonts w:hint="eastAsia" w:hAnsi="宋体" w:cs="宋体"/>
                <w:color w:val="auto"/>
                <w:szCs w:val="21"/>
                <w:highlight w:val="none"/>
              </w:rPr>
              <w:t>项目采购需求条目号</w:t>
            </w:r>
          </w:p>
        </w:tc>
        <w:tc>
          <w:tcPr>
            <w:tcW w:w="1850" w:type="dxa"/>
            <w:noWrap w:val="0"/>
            <w:vAlign w:val="center"/>
          </w:tcPr>
          <w:p w14:paraId="4090EEDC">
            <w:pPr>
              <w:pStyle w:val="33"/>
              <w:spacing w:line="360" w:lineRule="auto"/>
              <w:jc w:val="center"/>
              <w:rPr>
                <w:rFonts w:hint="eastAsia" w:hAnsi="宋体" w:cs="宋体"/>
                <w:color w:val="auto"/>
                <w:szCs w:val="21"/>
                <w:highlight w:val="none"/>
              </w:rPr>
            </w:pPr>
            <w:r>
              <w:rPr>
                <w:rFonts w:hint="eastAsia" w:hAnsi="宋体" w:cs="宋体"/>
                <w:color w:val="auto"/>
                <w:szCs w:val="21"/>
                <w:highlight w:val="none"/>
              </w:rPr>
              <w:t>响应规格（供应商应按响应货物/服务实际数据填写，不能复制要求）</w:t>
            </w:r>
          </w:p>
        </w:tc>
        <w:tc>
          <w:tcPr>
            <w:tcW w:w="1495" w:type="dxa"/>
            <w:noWrap w:val="0"/>
            <w:vAlign w:val="center"/>
          </w:tcPr>
          <w:p w14:paraId="5EBC40F9">
            <w:pPr>
              <w:pStyle w:val="33"/>
              <w:spacing w:line="360" w:lineRule="auto"/>
              <w:jc w:val="center"/>
              <w:rPr>
                <w:rFonts w:hint="eastAsia" w:hAnsi="宋体" w:cs="宋体"/>
                <w:color w:val="auto"/>
                <w:szCs w:val="21"/>
                <w:highlight w:val="none"/>
              </w:rPr>
            </w:pPr>
            <w:r>
              <w:rPr>
                <w:rFonts w:hint="eastAsia" w:hAnsi="宋体" w:cs="宋体"/>
                <w:color w:val="auto"/>
                <w:szCs w:val="21"/>
                <w:highlight w:val="none"/>
              </w:rPr>
              <w:t>偏离说明（无偏离/正偏离/负偏离）</w:t>
            </w:r>
          </w:p>
        </w:tc>
        <w:tc>
          <w:tcPr>
            <w:tcW w:w="900" w:type="dxa"/>
            <w:noWrap w:val="0"/>
            <w:vAlign w:val="center"/>
          </w:tcPr>
          <w:p w14:paraId="039C2207">
            <w:pPr>
              <w:pStyle w:val="33"/>
              <w:spacing w:line="360" w:lineRule="auto"/>
              <w:jc w:val="center"/>
              <w:rPr>
                <w:rFonts w:hint="eastAsia" w:hAnsi="宋体" w:cs="宋体"/>
                <w:color w:val="auto"/>
                <w:szCs w:val="21"/>
                <w:highlight w:val="none"/>
              </w:rPr>
            </w:pPr>
            <w:r>
              <w:rPr>
                <w:rFonts w:hint="eastAsia" w:hAnsi="宋体" w:cs="宋体"/>
                <w:color w:val="auto"/>
                <w:szCs w:val="21"/>
                <w:highlight w:val="none"/>
              </w:rPr>
              <w:t>偏离</w:t>
            </w:r>
          </w:p>
          <w:p w14:paraId="74587941">
            <w:pPr>
              <w:pStyle w:val="33"/>
              <w:spacing w:line="360" w:lineRule="auto"/>
              <w:jc w:val="center"/>
              <w:rPr>
                <w:rFonts w:hint="eastAsia" w:hAnsi="宋体" w:cs="宋体"/>
                <w:color w:val="auto"/>
                <w:szCs w:val="21"/>
                <w:highlight w:val="none"/>
              </w:rPr>
            </w:pPr>
            <w:r>
              <w:rPr>
                <w:rFonts w:hint="eastAsia" w:hAnsi="宋体" w:cs="宋体"/>
                <w:color w:val="auto"/>
                <w:szCs w:val="21"/>
                <w:highlight w:val="none"/>
              </w:rPr>
              <w:t>简述</w:t>
            </w:r>
          </w:p>
        </w:tc>
        <w:tc>
          <w:tcPr>
            <w:tcW w:w="1890" w:type="dxa"/>
            <w:noWrap w:val="0"/>
            <w:vAlign w:val="center"/>
          </w:tcPr>
          <w:p w14:paraId="078BC8C3">
            <w:pPr>
              <w:pStyle w:val="33"/>
              <w:spacing w:line="360" w:lineRule="auto"/>
              <w:jc w:val="center"/>
              <w:rPr>
                <w:rFonts w:hint="eastAsia" w:hAnsi="宋体" w:cs="宋体"/>
                <w:color w:val="auto"/>
                <w:szCs w:val="21"/>
                <w:highlight w:val="none"/>
              </w:rPr>
            </w:pPr>
            <w:r>
              <w:rPr>
                <w:rFonts w:hint="eastAsia" w:hAnsi="宋体" w:cs="宋体"/>
                <w:color w:val="auto"/>
                <w:szCs w:val="21"/>
                <w:highlight w:val="none"/>
              </w:rPr>
              <w:t>证明文件</w:t>
            </w:r>
          </w:p>
        </w:tc>
      </w:tr>
      <w:tr w14:paraId="44110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9" w:type="dxa"/>
            <w:noWrap w:val="0"/>
            <w:vAlign w:val="center"/>
          </w:tcPr>
          <w:p w14:paraId="3CCEB3B8">
            <w:pPr>
              <w:pStyle w:val="33"/>
              <w:spacing w:line="360" w:lineRule="auto"/>
              <w:jc w:val="center"/>
              <w:rPr>
                <w:rFonts w:hint="eastAsia" w:hAnsi="宋体" w:cs="宋体"/>
                <w:color w:val="auto"/>
                <w:szCs w:val="21"/>
                <w:highlight w:val="none"/>
              </w:rPr>
            </w:pPr>
          </w:p>
        </w:tc>
        <w:tc>
          <w:tcPr>
            <w:tcW w:w="1560" w:type="dxa"/>
            <w:noWrap w:val="0"/>
            <w:vAlign w:val="center"/>
          </w:tcPr>
          <w:p w14:paraId="2766E5A4">
            <w:pPr>
              <w:pStyle w:val="33"/>
              <w:spacing w:line="360" w:lineRule="auto"/>
              <w:jc w:val="center"/>
              <w:rPr>
                <w:rFonts w:hint="eastAsia" w:hAnsi="宋体" w:cs="宋体"/>
                <w:color w:val="auto"/>
                <w:szCs w:val="21"/>
                <w:highlight w:val="none"/>
              </w:rPr>
            </w:pPr>
          </w:p>
        </w:tc>
        <w:tc>
          <w:tcPr>
            <w:tcW w:w="1635" w:type="dxa"/>
            <w:noWrap w:val="0"/>
            <w:vAlign w:val="center"/>
          </w:tcPr>
          <w:p w14:paraId="4E276B03">
            <w:pPr>
              <w:pStyle w:val="33"/>
              <w:spacing w:line="360" w:lineRule="auto"/>
              <w:jc w:val="center"/>
              <w:rPr>
                <w:rFonts w:hint="eastAsia" w:hAnsi="宋体" w:cs="宋体"/>
                <w:color w:val="auto"/>
                <w:szCs w:val="21"/>
                <w:highlight w:val="none"/>
              </w:rPr>
            </w:pPr>
          </w:p>
        </w:tc>
        <w:tc>
          <w:tcPr>
            <w:tcW w:w="1850" w:type="dxa"/>
            <w:noWrap w:val="0"/>
            <w:vAlign w:val="center"/>
          </w:tcPr>
          <w:p w14:paraId="068A3A4B">
            <w:pPr>
              <w:pStyle w:val="33"/>
              <w:spacing w:line="360" w:lineRule="auto"/>
              <w:jc w:val="center"/>
              <w:rPr>
                <w:rFonts w:hint="eastAsia" w:hAnsi="宋体" w:cs="宋体"/>
                <w:color w:val="auto"/>
                <w:szCs w:val="21"/>
                <w:highlight w:val="none"/>
              </w:rPr>
            </w:pPr>
          </w:p>
        </w:tc>
        <w:tc>
          <w:tcPr>
            <w:tcW w:w="1495" w:type="dxa"/>
            <w:noWrap w:val="0"/>
            <w:vAlign w:val="center"/>
          </w:tcPr>
          <w:p w14:paraId="7104A2C4">
            <w:pPr>
              <w:pStyle w:val="33"/>
              <w:spacing w:line="360" w:lineRule="auto"/>
              <w:jc w:val="center"/>
              <w:rPr>
                <w:rFonts w:hint="eastAsia" w:hAnsi="宋体" w:cs="宋体"/>
                <w:color w:val="auto"/>
                <w:szCs w:val="21"/>
                <w:highlight w:val="none"/>
              </w:rPr>
            </w:pPr>
          </w:p>
        </w:tc>
        <w:tc>
          <w:tcPr>
            <w:tcW w:w="900" w:type="dxa"/>
            <w:noWrap w:val="0"/>
            <w:vAlign w:val="center"/>
          </w:tcPr>
          <w:p w14:paraId="57D1A08E">
            <w:pPr>
              <w:pStyle w:val="33"/>
              <w:spacing w:line="360" w:lineRule="auto"/>
              <w:jc w:val="center"/>
              <w:rPr>
                <w:rFonts w:hint="eastAsia" w:hAnsi="宋体" w:cs="宋体"/>
                <w:color w:val="auto"/>
                <w:szCs w:val="21"/>
                <w:highlight w:val="none"/>
              </w:rPr>
            </w:pPr>
          </w:p>
        </w:tc>
        <w:tc>
          <w:tcPr>
            <w:tcW w:w="1890" w:type="dxa"/>
            <w:noWrap w:val="0"/>
            <w:vAlign w:val="top"/>
          </w:tcPr>
          <w:p w14:paraId="52F8F666">
            <w:pPr>
              <w:pStyle w:val="33"/>
              <w:spacing w:line="360" w:lineRule="auto"/>
              <w:jc w:val="center"/>
              <w:rPr>
                <w:rFonts w:hint="eastAsia" w:hAnsi="宋体" w:cs="宋体"/>
                <w:color w:val="auto"/>
                <w:szCs w:val="21"/>
                <w:highlight w:val="none"/>
              </w:rPr>
            </w:pPr>
            <w:r>
              <w:rPr>
                <w:rFonts w:hint="eastAsia" w:hAnsi="宋体" w:cs="宋体"/>
                <w:color w:val="auto"/>
                <w:szCs w:val="21"/>
                <w:highlight w:val="none"/>
              </w:rPr>
              <w:t>见响应文件（）页</w:t>
            </w:r>
          </w:p>
        </w:tc>
      </w:tr>
      <w:tr w14:paraId="74E42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9" w:type="dxa"/>
            <w:noWrap w:val="0"/>
            <w:vAlign w:val="center"/>
          </w:tcPr>
          <w:p w14:paraId="27C0CABD">
            <w:pPr>
              <w:pStyle w:val="33"/>
              <w:spacing w:line="360" w:lineRule="auto"/>
              <w:jc w:val="center"/>
              <w:rPr>
                <w:rFonts w:hint="eastAsia" w:hAnsi="宋体" w:cs="宋体"/>
                <w:color w:val="auto"/>
                <w:szCs w:val="21"/>
                <w:highlight w:val="none"/>
              </w:rPr>
            </w:pPr>
          </w:p>
        </w:tc>
        <w:tc>
          <w:tcPr>
            <w:tcW w:w="1560" w:type="dxa"/>
            <w:noWrap w:val="0"/>
            <w:vAlign w:val="center"/>
          </w:tcPr>
          <w:p w14:paraId="32E52E31">
            <w:pPr>
              <w:pStyle w:val="33"/>
              <w:spacing w:line="360" w:lineRule="auto"/>
              <w:jc w:val="center"/>
              <w:rPr>
                <w:rFonts w:hint="eastAsia" w:hAnsi="宋体" w:cs="宋体"/>
                <w:color w:val="auto"/>
                <w:szCs w:val="21"/>
                <w:highlight w:val="none"/>
              </w:rPr>
            </w:pPr>
          </w:p>
        </w:tc>
        <w:tc>
          <w:tcPr>
            <w:tcW w:w="1635" w:type="dxa"/>
            <w:noWrap w:val="0"/>
            <w:vAlign w:val="center"/>
          </w:tcPr>
          <w:p w14:paraId="161F0125">
            <w:pPr>
              <w:pStyle w:val="33"/>
              <w:spacing w:line="360" w:lineRule="auto"/>
              <w:jc w:val="center"/>
              <w:rPr>
                <w:rFonts w:hint="eastAsia" w:hAnsi="宋体" w:cs="宋体"/>
                <w:color w:val="auto"/>
                <w:szCs w:val="21"/>
                <w:highlight w:val="none"/>
              </w:rPr>
            </w:pPr>
          </w:p>
        </w:tc>
        <w:tc>
          <w:tcPr>
            <w:tcW w:w="1850" w:type="dxa"/>
            <w:noWrap w:val="0"/>
            <w:vAlign w:val="center"/>
          </w:tcPr>
          <w:p w14:paraId="6A989032">
            <w:pPr>
              <w:pStyle w:val="33"/>
              <w:spacing w:line="360" w:lineRule="auto"/>
              <w:jc w:val="center"/>
              <w:rPr>
                <w:rFonts w:hint="eastAsia" w:hAnsi="宋体" w:cs="宋体"/>
                <w:color w:val="auto"/>
                <w:szCs w:val="21"/>
                <w:highlight w:val="none"/>
              </w:rPr>
            </w:pPr>
          </w:p>
        </w:tc>
        <w:tc>
          <w:tcPr>
            <w:tcW w:w="1495" w:type="dxa"/>
            <w:noWrap w:val="0"/>
            <w:vAlign w:val="center"/>
          </w:tcPr>
          <w:p w14:paraId="4D83E4C6">
            <w:pPr>
              <w:pStyle w:val="33"/>
              <w:spacing w:line="360" w:lineRule="auto"/>
              <w:jc w:val="center"/>
              <w:rPr>
                <w:rFonts w:hint="eastAsia" w:hAnsi="宋体" w:cs="宋体"/>
                <w:color w:val="auto"/>
                <w:szCs w:val="21"/>
                <w:highlight w:val="none"/>
              </w:rPr>
            </w:pPr>
          </w:p>
        </w:tc>
        <w:tc>
          <w:tcPr>
            <w:tcW w:w="900" w:type="dxa"/>
            <w:noWrap w:val="0"/>
            <w:vAlign w:val="center"/>
          </w:tcPr>
          <w:p w14:paraId="3629498F">
            <w:pPr>
              <w:pStyle w:val="33"/>
              <w:spacing w:line="360" w:lineRule="auto"/>
              <w:jc w:val="center"/>
              <w:rPr>
                <w:rFonts w:hint="eastAsia" w:hAnsi="宋体" w:cs="宋体"/>
                <w:color w:val="auto"/>
                <w:szCs w:val="21"/>
                <w:highlight w:val="none"/>
              </w:rPr>
            </w:pPr>
          </w:p>
        </w:tc>
        <w:tc>
          <w:tcPr>
            <w:tcW w:w="1890" w:type="dxa"/>
            <w:noWrap w:val="0"/>
            <w:vAlign w:val="top"/>
          </w:tcPr>
          <w:p w14:paraId="4B3AB778">
            <w:pPr>
              <w:pStyle w:val="33"/>
              <w:spacing w:line="360" w:lineRule="auto"/>
              <w:jc w:val="center"/>
              <w:rPr>
                <w:rFonts w:hint="eastAsia" w:hAnsi="宋体" w:cs="宋体"/>
                <w:color w:val="auto"/>
                <w:szCs w:val="21"/>
                <w:highlight w:val="none"/>
              </w:rPr>
            </w:pPr>
            <w:r>
              <w:rPr>
                <w:rFonts w:hint="eastAsia" w:hAnsi="宋体" w:cs="宋体"/>
                <w:color w:val="auto"/>
                <w:szCs w:val="21"/>
                <w:highlight w:val="none"/>
              </w:rPr>
              <w:t>见响应文件（）页</w:t>
            </w:r>
          </w:p>
        </w:tc>
      </w:tr>
      <w:tr w14:paraId="2A8EA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9" w:type="dxa"/>
            <w:noWrap w:val="0"/>
            <w:vAlign w:val="center"/>
          </w:tcPr>
          <w:p w14:paraId="19B2D97B">
            <w:pPr>
              <w:pStyle w:val="33"/>
              <w:spacing w:line="360" w:lineRule="auto"/>
              <w:jc w:val="center"/>
              <w:rPr>
                <w:rFonts w:hint="eastAsia" w:hAnsi="宋体" w:cs="宋体"/>
                <w:color w:val="auto"/>
                <w:szCs w:val="21"/>
                <w:highlight w:val="none"/>
              </w:rPr>
            </w:pPr>
          </w:p>
        </w:tc>
        <w:tc>
          <w:tcPr>
            <w:tcW w:w="1560" w:type="dxa"/>
            <w:noWrap w:val="0"/>
            <w:vAlign w:val="center"/>
          </w:tcPr>
          <w:p w14:paraId="37666794">
            <w:pPr>
              <w:pStyle w:val="33"/>
              <w:spacing w:line="360" w:lineRule="auto"/>
              <w:jc w:val="center"/>
              <w:rPr>
                <w:rFonts w:hint="eastAsia" w:hAnsi="宋体" w:cs="宋体"/>
                <w:color w:val="auto"/>
                <w:szCs w:val="21"/>
                <w:highlight w:val="none"/>
              </w:rPr>
            </w:pPr>
          </w:p>
        </w:tc>
        <w:tc>
          <w:tcPr>
            <w:tcW w:w="1635" w:type="dxa"/>
            <w:noWrap w:val="0"/>
            <w:vAlign w:val="center"/>
          </w:tcPr>
          <w:p w14:paraId="0A8D2BF5">
            <w:pPr>
              <w:pStyle w:val="33"/>
              <w:spacing w:line="360" w:lineRule="auto"/>
              <w:jc w:val="center"/>
              <w:rPr>
                <w:rFonts w:hint="eastAsia" w:hAnsi="宋体" w:cs="宋体"/>
                <w:color w:val="auto"/>
                <w:szCs w:val="21"/>
                <w:highlight w:val="none"/>
              </w:rPr>
            </w:pPr>
          </w:p>
        </w:tc>
        <w:tc>
          <w:tcPr>
            <w:tcW w:w="1850" w:type="dxa"/>
            <w:noWrap w:val="0"/>
            <w:vAlign w:val="center"/>
          </w:tcPr>
          <w:p w14:paraId="1202AB3A">
            <w:pPr>
              <w:pStyle w:val="33"/>
              <w:spacing w:line="360" w:lineRule="auto"/>
              <w:jc w:val="center"/>
              <w:rPr>
                <w:rFonts w:hint="eastAsia" w:hAnsi="宋体" w:cs="宋体"/>
                <w:color w:val="auto"/>
                <w:szCs w:val="21"/>
                <w:highlight w:val="none"/>
              </w:rPr>
            </w:pPr>
          </w:p>
        </w:tc>
        <w:tc>
          <w:tcPr>
            <w:tcW w:w="1495" w:type="dxa"/>
            <w:noWrap w:val="0"/>
            <w:vAlign w:val="center"/>
          </w:tcPr>
          <w:p w14:paraId="279FF915">
            <w:pPr>
              <w:pStyle w:val="33"/>
              <w:spacing w:line="360" w:lineRule="auto"/>
              <w:jc w:val="center"/>
              <w:rPr>
                <w:rFonts w:hint="eastAsia" w:hAnsi="宋体" w:cs="宋体"/>
                <w:color w:val="auto"/>
                <w:szCs w:val="21"/>
                <w:highlight w:val="none"/>
              </w:rPr>
            </w:pPr>
          </w:p>
        </w:tc>
        <w:tc>
          <w:tcPr>
            <w:tcW w:w="900" w:type="dxa"/>
            <w:noWrap w:val="0"/>
            <w:vAlign w:val="center"/>
          </w:tcPr>
          <w:p w14:paraId="24C06DD2">
            <w:pPr>
              <w:pStyle w:val="33"/>
              <w:spacing w:line="360" w:lineRule="auto"/>
              <w:jc w:val="center"/>
              <w:rPr>
                <w:rFonts w:hint="eastAsia" w:hAnsi="宋体" w:cs="宋体"/>
                <w:color w:val="auto"/>
                <w:szCs w:val="21"/>
                <w:highlight w:val="none"/>
              </w:rPr>
            </w:pPr>
          </w:p>
        </w:tc>
        <w:tc>
          <w:tcPr>
            <w:tcW w:w="1890" w:type="dxa"/>
            <w:noWrap w:val="0"/>
            <w:vAlign w:val="top"/>
          </w:tcPr>
          <w:p w14:paraId="778E707E">
            <w:pPr>
              <w:pStyle w:val="33"/>
              <w:spacing w:line="360" w:lineRule="auto"/>
              <w:jc w:val="center"/>
              <w:rPr>
                <w:rFonts w:hint="eastAsia" w:hAnsi="宋体" w:cs="宋体"/>
                <w:color w:val="auto"/>
                <w:szCs w:val="21"/>
                <w:highlight w:val="none"/>
              </w:rPr>
            </w:pPr>
            <w:r>
              <w:rPr>
                <w:rFonts w:hint="eastAsia" w:hAnsi="宋体" w:cs="宋体"/>
                <w:color w:val="auto"/>
                <w:szCs w:val="21"/>
                <w:highlight w:val="none"/>
              </w:rPr>
              <w:t>见响应文件（）页</w:t>
            </w:r>
          </w:p>
        </w:tc>
      </w:tr>
      <w:tr w14:paraId="1F473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9" w:type="dxa"/>
            <w:noWrap w:val="0"/>
            <w:vAlign w:val="center"/>
          </w:tcPr>
          <w:p w14:paraId="3DACAD42">
            <w:pPr>
              <w:pStyle w:val="33"/>
              <w:spacing w:line="360" w:lineRule="auto"/>
              <w:jc w:val="center"/>
              <w:rPr>
                <w:rFonts w:hint="eastAsia" w:hAnsi="宋体" w:cs="宋体"/>
                <w:color w:val="auto"/>
                <w:szCs w:val="21"/>
                <w:highlight w:val="none"/>
              </w:rPr>
            </w:pPr>
          </w:p>
        </w:tc>
        <w:tc>
          <w:tcPr>
            <w:tcW w:w="1560" w:type="dxa"/>
            <w:noWrap w:val="0"/>
            <w:vAlign w:val="center"/>
          </w:tcPr>
          <w:p w14:paraId="78323233">
            <w:pPr>
              <w:pStyle w:val="33"/>
              <w:spacing w:line="360" w:lineRule="auto"/>
              <w:jc w:val="center"/>
              <w:rPr>
                <w:rFonts w:hint="eastAsia" w:hAnsi="宋体" w:cs="宋体"/>
                <w:color w:val="auto"/>
                <w:szCs w:val="21"/>
                <w:highlight w:val="none"/>
              </w:rPr>
            </w:pPr>
          </w:p>
        </w:tc>
        <w:tc>
          <w:tcPr>
            <w:tcW w:w="1635" w:type="dxa"/>
            <w:noWrap w:val="0"/>
            <w:vAlign w:val="center"/>
          </w:tcPr>
          <w:p w14:paraId="32E97B31">
            <w:pPr>
              <w:pStyle w:val="33"/>
              <w:spacing w:line="360" w:lineRule="auto"/>
              <w:jc w:val="center"/>
              <w:rPr>
                <w:rFonts w:hint="eastAsia" w:hAnsi="宋体" w:cs="宋体"/>
                <w:color w:val="auto"/>
                <w:szCs w:val="21"/>
                <w:highlight w:val="none"/>
              </w:rPr>
            </w:pPr>
          </w:p>
        </w:tc>
        <w:tc>
          <w:tcPr>
            <w:tcW w:w="1850" w:type="dxa"/>
            <w:noWrap w:val="0"/>
            <w:vAlign w:val="center"/>
          </w:tcPr>
          <w:p w14:paraId="360E335B">
            <w:pPr>
              <w:pStyle w:val="33"/>
              <w:spacing w:line="360" w:lineRule="auto"/>
              <w:jc w:val="center"/>
              <w:rPr>
                <w:rFonts w:hint="eastAsia" w:hAnsi="宋体" w:cs="宋体"/>
                <w:color w:val="auto"/>
                <w:szCs w:val="21"/>
                <w:highlight w:val="none"/>
              </w:rPr>
            </w:pPr>
          </w:p>
        </w:tc>
        <w:tc>
          <w:tcPr>
            <w:tcW w:w="1495" w:type="dxa"/>
            <w:noWrap w:val="0"/>
            <w:vAlign w:val="center"/>
          </w:tcPr>
          <w:p w14:paraId="02D8448F">
            <w:pPr>
              <w:pStyle w:val="33"/>
              <w:spacing w:line="360" w:lineRule="auto"/>
              <w:jc w:val="center"/>
              <w:rPr>
                <w:rFonts w:hint="eastAsia" w:hAnsi="宋体" w:cs="宋体"/>
                <w:color w:val="auto"/>
                <w:szCs w:val="21"/>
                <w:highlight w:val="none"/>
              </w:rPr>
            </w:pPr>
          </w:p>
        </w:tc>
        <w:tc>
          <w:tcPr>
            <w:tcW w:w="900" w:type="dxa"/>
            <w:noWrap w:val="0"/>
            <w:vAlign w:val="center"/>
          </w:tcPr>
          <w:p w14:paraId="0444D0AE">
            <w:pPr>
              <w:pStyle w:val="33"/>
              <w:spacing w:line="360" w:lineRule="auto"/>
              <w:jc w:val="center"/>
              <w:rPr>
                <w:rFonts w:hint="eastAsia" w:hAnsi="宋体" w:cs="宋体"/>
                <w:color w:val="auto"/>
                <w:szCs w:val="21"/>
                <w:highlight w:val="none"/>
              </w:rPr>
            </w:pPr>
          </w:p>
        </w:tc>
        <w:tc>
          <w:tcPr>
            <w:tcW w:w="1890" w:type="dxa"/>
            <w:noWrap w:val="0"/>
            <w:vAlign w:val="top"/>
          </w:tcPr>
          <w:p w14:paraId="3EF217DF">
            <w:pPr>
              <w:pStyle w:val="33"/>
              <w:spacing w:line="360" w:lineRule="auto"/>
              <w:jc w:val="center"/>
              <w:rPr>
                <w:rFonts w:hint="eastAsia" w:hAnsi="宋体" w:cs="宋体"/>
                <w:color w:val="auto"/>
                <w:szCs w:val="21"/>
                <w:highlight w:val="none"/>
              </w:rPr>
            </w:pPr>
            <w:r>
              <w:rPr>
                <w:rFonts w:hint="eastAsia" w:hAnsi="宋体" w:cs="宋体"/>
                <w:color w:val="auto"/>
                <w:szCs w:val="21"/>
                <w:highlight w:val="none"/>
              </w:rPr>
              <w:t>见响应文件（）页</w:t>
            </w:r>
          </w:p>
        </w:tc>
      </w:tr>
      <w:tr w14:paraId="77076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9" w:type="dxa"/>
            <w:noWrap w:val="0"/>
            <w:vAlign w:val="center"/>
          </w:tcPr>
          <w:p w14:paraId="5EDC4197">
            <w:pPr>
              <w:pStyle w:val="33"/>
              <w:spacing w:line="360" w:lineRule="auto"/>
              <w:jc w:val="center"/>
              <w:rPr>
                <w:rFonts w:hint="eastAsia" w:hAnsi="宋体" w:cs="宋体"/>
                <w:color w:val="auto"/>
                <w:szCs w:val="21"/>
                <w:highlight w:val="none"/>
              </w:rPr>
            </w:pPr>
          </w:p>
        </w:tc>
        <w:tc>
          <w:tcPr>
            <w:tcW w:w="1560" w:type="dxa"/>
            <w:noWrap w:val="0"/>
            <w:vAlign w:val="center"/>
          </w:tcPr>
          <w:p w14:paraId="67BE88CA">
            <w:pPr>
              <w:pStyle w:val="33"/>
              <w:spacing w:line="360" w:lineRule="auto"/>
              <w:jc w:val="center"/>
              <w:rPr>
                <w:rFonts w:hint="eastAsia" w:hAnsi="宋体" w:cs="宋体"/>
                <w:color w:val="auto"/>
                <w:szCs w:val="21"/>
                <w:highlight w:val="none"/>
              </w:rPr>
            </w:pPr>
          </w:p>
        </w:tc>
        <w:tc>
          <w:tcPr>
            <w:tcW w:w="1635" w:type="dxa"/>
            <w:noWrap w:val="0"/>
            <w:vAlign w:val="center"/>
          </w:tcPr>
          <w:p w14:paraId="500CF5CA">
            <w:pPr>
              <w:pStyle w:val="33"/>
              <w:spacing w:line="360" w:lineRule="auto"/>
              <w:jc w:val="center"/>
              <w:rPr>
                <w:rFonts w:hint="eastAsia" w:hAnsi="宋体" w:cs="宋体"/>
                <w:color w:val="auto"/>
                <w:szCs w:val="21"/>
                <w:highlight w:val="none"/>
              </w:rPr>
            </w:pPr>
          </w:p>
        </w:tc>
        <w:tc>
          <w:tcPr>
            <w:tcW w:w="1850" w:type="dxa"/>
            <w:noWrap w:val="0"/>
            <w:vAlign w:val="center"/>
          </w:tcPr>
          <w:p w14:paraId="39ABD278">
            <w:pPr>
              <w:pStyle w:val="33"/>
              <w:spacing w:line="360" w:lineRule="auto"/>
              <w:jc w:val="center"/>
              <w:rPr>
                <w:rFonts w:hint="eastAsia" w:hAnsi="宋体" w:cs="宋体"/>
                <w:color w:val="auto"/>
                <w:szCs w:val="21"/>
                <w:highlight w:val="none"/>
              </w:rPr>
            </w:pPr>
          </w:p>
        </w:tc>
        <w:tc>
          <w:tcPr>
            <w:tcW w:w="1495" w:type="dxa"/>
            <w:noWrap w:val="0"/>
            <w:vAlign w:val="center"/>
          </w:tcPr>
          <w:p w14:paraId="43F0A89C">
            <w:pPr>
              <w:pStyle w:val="33"/>
              <w:spacing w:line="360" w:lineRule="auto"/>
              <w:jc w:val="center"/>
              <w:rPr>
                <w:rFonts w:hint="eastAsia" w:hAnsi="宋体" w:cs="宋体"/>
                <w:color w:val="auto"/>
                <w:szCs w:val="21"/>
                <w:highlight w:val="none"/>
              </w:rPr>
            </w:pPr>
          </w:p>
        </w:tc>
        <w:tc>
          <w:tcPr>
            <w:tcW w:w="900" w:type="dxa"/>
            <w:noWrap w:val="0"/>
            <w:vAlign w:val="center"/>
          </w:tcPr>
          <w:p w14:paraId="2442311A">
            <w:pPr>
              <w:pStyle w:val="33"/>
              <w:spacing w:line="360" w:lineRule="auto"/>
              <w:jc w:val="center"/>
              <w:rPr>
                <w:rFonts w:hint="eastAsia" w:hAnsi="宋体" w:cs="宋体"/>
                <w:color w:val="auto"/>
                <w:szCs w:val="21"/>
                <w:highlight w:val="none"/>
              </w:rPr>
            </w:pPr>
          </w:p>
        </w:tc>
        <w:tc>
          <w:tcPr>
            <w:tcW w:w="1890" w:type="dxa"/>
            <w:noWrap w:val="0"/>
            <w:vAlign w:val="top"/>
          </w:tcPr>
          <w:p w14:paraId="4653223F">
            <w:pPr>
              <w:pStyle w:val="33"/>
              <w:spacing w:line="360" w:lineRule="auto"/>
              <w:jc w:val="center"/>
              <w:rPr>
                <w:rFonts w:hint="eastAsia" w:hAnsi="宋体" w:cs="宋体"/>
                <w:color w:val="auto"/>
                <w:szCs w:val="21"/>
                <w:highlight w:val="none"/>
              </w:rPr>
            </w:pPr>
            <w:r>
              <w:rPr>
                <w:rFonts w:hint="eastAsia" w:hAnsi="宋体" w:cs="宋体"/>
                <w:color w:val="auto"/>
                <w:szCs w:val="21"/>
                <w:highlight w:val="none"/>
              </w:rPr>
              <w:t>见响应文件（）页</w:t>
            </w:r>
          </w:p>
        </w:tc>
      </w:tr>
      <w:tr w14:paraId="322D5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9" w:type="dxa"/>
            <w:noWrap w:val="0"/>
            <w:vAlign w:val="center"/>
          </w:tcPr>
          <w:p w14:paraId="1B5A77E8">
            <w:pPr>
              <w:pStyle w:val="33"/>
              <w:spacing w:line="360" w:lineRule="auto"/>
              <w:jc w:val="center"/>
              <w:rPr>
                <w:rFonts w:hint="eastAsia" w:hAnsi="宋体" w:cs="宋体"/>
                <w:color w:val="auto"/>
                <w:szCs w:val="21"/>
                <w:highlight w:val="none"/>
              </w:rPr>
            </w:pPr>
          </w:p>
        </w:tc>
        <w:tc>
          <w:tcPr>
            <w:tcW w:w="1560" w:type="dxa"/>
            <w:noWrap w:val="0"/>
            <w:vAlign w:val="center"/>
          </w:tcPr>
          <w:p w14:paraId="4F283A31">
            <w:pPr>
              <w:pStyle w:val="33"/>
              <w:spacing w:line="360" w:lineRule="auto"/>
              <w:jc w:val="center"/>
              <w:rPr>
                <w:rFonts w:hint="eastAsia" w:hAnsi="宋体" w:cs="宋体"/>
                <w:color w:val="auto"/>
                <w:szCs w:val="21"/>
                <w:highlight w:val="none"/>
              </w:rPr>
            </w:pPr>
          </w:p>
        </w:tc>
        <w:tc>
          <w:tcPr>
            <w:tcW w:w="1635" w:type="dxa"/>
            <w:noWrap w:val="0"/>
            <w:vAlign w:val="center"/>
          </w:tcPr>
          <w:p w14:paraId="2F9A3CA9">
            <w:pPr>
              <w:pStyle w:val="33"/>
              <w:spacing w:line="360" w:lineRule="auto"/>
              <w:jc w:val="center"/>
              <w:rPr>
                <w:rFonts w:hint="eastAsia" w:hAnsi="宋体" w:cs="宋体"/>
                <w:color w:val="auto"/>
                <w:szCs w:val="21"/>
                <w:highlight w:val="none"/>
              </w:rPr>
            </w:pPr>
          </w:p>
        </w:tc>
        <w:tc>
          <w:tcPr>
            <w:tcW w:w="1850" w:type="dxa"/>
            <w:noWrap w:val="0"/>
            <w:vAlign w:val="center"/>
          </w:tcPr>
          <w:p w14:paraId="2296CFE3">
            <w:pPr>
              <w:pStyle w:val="33"/>
              <w:spacing w:line="360" w:lineRule="auto"/>
              <w:jc w:val="center"/>
              <w:rPr>
                <w:rFonts w:hint="eastAsia" w:hAnsi="宋体" w:cs="宋体"/>
                <w:color w:val="auto"/>
                <w:szCs w:val="21"/>
                <w:highlight w:val="none"/>
              </w:rPr>
            </w:pPr>
          </w:p>
        </w:tc>
        <w:tc>
          <w:tcPr>
            <w:tcW w:w="1495" w:type="dxa"/>
            <w:noWrap w:val="0"/>
            <w:vAlign w:val="center"/>
          </w:tcPr>
          <w:p w14:paraId="626A53A3">
            <w:pPr>
              <w:pStyle w:val="33"/>
              <w:spacing w:line="360" w:lineRule="auto"/>
              <w:jc w:val="center"/>
              <w:rPr>
                <w:rFonts w:hint="eastAsia" w:hAnsi="宋体" w:cs="宋体"/>
                <w:color w:val="auto"/>
                <w:szCs w:val="21"/>
                <w:highlight w:val="none"/>
              </w:rPr>
            </w:pPr>
          </w:p>
        </w:tc>
        <w:tc>
          <w:tcPr>
            <w:tcW w:w="900" w:type="dxa"/>
            <w:noWrap w:val="0"/>
            <w:vAlign w:val="center"/>
          </w:tcPr>
          <w:p w14:paraId="6A3DA5FA">
            <w:pPr>
              <w:pStyle w:val="33"/>
              <w:spacing w:line="360" w:lineRule="auto"/>
              <w:jc w:val="center"/>
              <w:rPr>
                <w:rFonts w:hint="eastAsia" w:hAnsi="宋体" w:cs="宋体"/>
                <w:color w:val="auto"/>
                <w:szCs w:val="21"/>
                <w:highlight w:val="none"/>
              </w:rPr>
            </w:pPr>
          </w:p>
        </w:tc>
        <w:tc>
          <w:tcPr>
            <w:tcW w:w="1890" w:type="dxa"/>
            <w:noWrap w:val="0"/>
            <w:vAlign w:val="top"/>
          </w:tcPr>
          <w:p w14:paraId="145E39BC">
            <w:pPr>
              <w:pStyle w:val="33"/>
              <w:spacing w:line="360" w:lineRule="auto"/>
              <w:jc w:val="center"/>
              <w:rPr>
                <w:rFonts w:hint="eastAsia" w:hAnsi="宋体" w:cs="宋体"/>
                <w:color w:val="auto"/>
                <w:szCs w:val="21"/>
                <w:highlight w:val="none"/>
              </w:rPr>
            </w:pPr>
            <w:r>
              <w:rPr>
                <w:rFonts w:hint="eastAsia" w:hAnsi="宋体" w:cs="宋体"/>
                <w:color w:val="auto"/>
                <w:szCs w:val="21"/>
                <w:highlight w:val="none"/>
              </w:rPr>
              <w:t>见响应文件（）页</w:t>
            </w:r>
          </w:p>
        </w:tc>
      </w:tr>
      <w:tr w14:paraId="14A1F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9" w:type="dxa"/>
            <w:noWrap w:val="0"/>
            <w:vAlign w:val="center"/>
          </w:tcPr>
          <w:p w14:paraId="6001B8E8">
            <w:pPr>
              <w:pStyle w:val="33"/>
              <w:spacing w:line="360" w:lineRule="auto"/>
              <w:jc w:val="center"/>
              <w:rPr>
                <w:rFonts w:hint="eastAsia" w:hAnsi="宋体" w:cs="宋体"/>
                <w:color w:val="auto"/>
                <w:szCs w:val="21"/>
                <w:highlight w:val="none"/>
              </w:rPr>
            </w:pPr>
          </w:p>
        </w:tc>
        <w:tc>
          <w:tcPr>
            <w:tcW w:w="1560" w:type="dxa"/>
            <w:noWrap w:val="0"/>
            <w:vAlign w:val="center"/>
          </w:tcPr>
          <w:p w14:paraId="5B84E8BA">
            <w:pPr>
              <w:pStyle w:val="33"/>
              <w:spacing w:line="360" w:lineRule="auto"/>
              <w:jc w:val="center"/>
              <w:rPr>
                <w:rFonts w:hint="eastAsia" w:hAnsi="宋体" w:cs="宋体"/>
                <w:color w:val="auto"/>
                <w:szCs w:val="21"/>
                <w:highlight w:val="none"/>
              </w:rPr>
            </w:pPr>
          </w:p>
        </w:tc>
        <w:tc>
          <w:tcPr>
            <w:tcW w:w="1635" w:type="dxa"/>
            <w:noWrap w:val="0"/>
            <w:vAlign w:val="center"/>
          </w:tcPr>
          <w:p w14:paraId="31571354">
            <w:pPr>
              <w:pStyle w:val="33"/>
              <w:spacing w:line="360" w:lineRule="auto"/>
              <w:jc w:val="center"/>
              <w:rPr>
                <w:rFonts w:hint="eastAsia" w:hAnsi="宋体" w:cs="宋体"/>
                <w:color w:val="auto"/>
                <w:szCs w:val="21"/>
                <w:highlight w:val="none"/>
              </w:rPr>
            </w:pPr>
          </w:p>
        </w:tc>
        <w:tc>
          <w:tcPr>
            <w:tcW w:w="1850" w:type="dxa"/>
            <w:noWrap w:val="0"/>
            <w:vAlign w:val="center"/>
          </w:tcPr>
          <w:p w14:paraId="27B2EB74">
            <w:pPr>
              <w:pStyle w:val="33"/>
              <w:spacing w:line="360" w:lineRule="auto"/>
              <w:jc w:val="center"/>
              <w:rPr>
                <w:rFonts w:hint="eastAsia" w:hAnsi="宋体" w:cs="宋体"/>
                <w:color w:val="auto"/>
                <w:szCs w:val="21"/>
                <w:highlight w:val="none"/>
              </w:rPr>
            </w:pPr>
          </w:p>
        </w:tc>
        <w:tc>
          <w:tcPr>
            <w:tcW w:w="1495" w:type="dxa"/>
            <w:noWrap w:val="0"/>
            <w:vAlign w:val="center"/>
          </w:tcPr>
          <w:p w14:paraId="4D3DB5D3">
            <w:pPr>
              <w:pStyle w:val="33"/>
              <w:spacing w:line="360" w:lineRule="auto"/>
              <w:jc w:val="center"/>
              <w:rPr>
                <w:rFonts w:hint="eastAsia" w:hAnsi="宋体" w:cs="宋体"/>
                <w:color w:val="auto"/>
                <w:szCs w:val="21"/>
                <w:highlight w:val="none"/>
              </w:rPr>
            </w:pPr>
          </w:p>
        </w:tc>
        <w:tc>
          <w:tcPr>
            <w:tcW w:w="900" w:type="dxa"/>
            <w:noWrap w:val="0"/>
            <w:vAlign w:val="center"/>
          </w:tcPr>
          <w:p w14:paraId="4D8BED26">
            <w:pPr>
              <w:pStyle w:val="33"/>
              <w:spacing w:line="360" w:lineRule="auto"/>
              <w:jc w:val="center"/>
              <w:rPr>
                <w:rFonts w:hint="eastAsia" w:hAnsi="宋体" w:cs="宋体"/>
                <w:color w:val="auto"/>
                <w:szCs w:val="21"/>
                <w:highlight w:val="none"/>
              </w:rPr>
            </w:pPr>
          </w:p>
        </w:tc>
        <w:tc>
          <w:tcPr>
            <w:tcW w:w="1890" w:type="dxa"/>
            <w:noWrap w:val="0"/>
            <w:vAlign w:val="top"/>
          </w:tcPr>
          <w:p w14:paraId="162355BE">
            <w:pPr>
              <w:pStyle w:val="33"/>
              <w:spacing w:line="360" w:lineRule="auto"/>
              <w:jc w:val="center"/>
              <w:rPr>
                <w:rFonts w:hint="eastAsia" w:hAnsi="宋体" w:cs="宋体"/>
                <w:color w:val="auto"/>
                <w:szCs w:val="21"/>
                <w:highlight w:val="none"/>
              </w:rPr>
            </w:pPr>
            <w:r>
              <w:rPr>
                <w:rFonts w:hint="eastAsia" w:hAnsi="宋体" w:cs="宋体"/>
                <w:color w:val="auto"/>
                <w:szCs w:val="21"/>
                <w:highlight w:val="none"/>
              </w:rPr>
              <w:t>见响应文件（）页</w:t>
            </w:r>
          </w:p>
        </w:tc>
      </w:tr>
      <w:tr w14:paraId="17B92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9" w:type="dxa"/>
            <w:noWrap w:val="0"/>
            <w:vAlign w:val="center"/>
          </w:tcPr>
          <w:p w14:paraId="144AFCB4">
            <w:pPr>
              <w:pStyle w:val="33"/>
              <w:spacing w:line="360" w:lineRule="auto"/>
              <w:jc w:val="center"/>
              <w:rPr>
                <w:rFonts w:hint="eastAsia" w:hAnsi="宋体" w:cs="宋体"/>
                <w:color w:val="auto"/>
                <w:szCs w:val="21"/>
                <w:highlight w:val="none"/>
              </w:rPr>
            </w:pPr>
          </w:p>
        </w:tc>
        <w:tc>
          <w:tcPr>
            <w:tcW w:w="1560" w:type="dxa"/>
            <w:noWrap w:val="0"/>
            <w:vAlign w:val="center"/>
          </w:tcPr>
          <w:p w14:paraId="3D90503B">
            <w:pPr>
              <w:pStyle w:val="33"/>
              <w:spacing w:line="360" w:lineRule="auto"/>
              <w:jc w:val="center"/>
              <w:rPr>
                <w:rFonts w:hint="eastAsia" w:hAnsi="宋体" w:cs="宋体"/>
                <w:color w:val="auto"/>
                <w:szCs w:val="21"/>
                <w:highlight w:val="none"/>
              </w:rPr>
            </w:pPr>
          </w:p>
        </w:tc>
        <w:tc>
          <w:tcPr>
            <w:tcW w:w="1635" w:type="dxa"/>
            <w:noWrap w:val="0"/>
            <w:vAlign w:val="center"/>
          </w:tcPr>
          <w:p w14:paraId="1BF2F88F">
            <w:pPr>
              <w:pStyle w:val="33"/>
              <w:spacing w:line="360" w:lineRule="auto"/>
              <w:jc w:val="center"/>
              <w:rPr>
                <w:rFonts w:hint="eastAsia" w:hAnsi="宋体" w:cs="宋体"/>
                <w:color w:val="auto"/>
                <w:szCs w:val="21"/>
                <w:highlight w:val="none"/>
              </w:rPr>
            </w:pPr>
          </w:p>
        </w:tc>
        <w:tc>
          <w:tcPr>
            <w:tcW w:w="1850" w:type="dxa"/>
            <w:noWrap w:val="0"/>
            <w:vAlign w:val="center"/>
          </w:tcPr>
          <w:p w14:paraId="68B35DAC">
            <w:pPr>
              <w:pStyle w:val="33"/>
              <w:spacing w:line="360" w:lineRule="auto"/>
              <w:jc w:val="center"/>
              <w:rPr>
                <w:rFonts w:hint="eastAsia" w:hAnsi="宋体" w:cs="宋体"/>
                <w:color w:val="auto"/>
                <w:szCs w:val="21"/>
                <w:highlight w:val="none"/>
              </w:rPr>
            </w:pPr>
          </w:p>
        </w:tc>
        <w:tc>
          <w:tcPr>
            <w:tcW w:w="1495" w:type="dxa"/>
            <w:noWrap w:val="0"/>
            <w:vAlign w:val="center"/>
          </w:tcPr>
          <w:p w14:paraId="12FD5423">
            <w:pPr>
              <w:pStyle w:val="33"/>
              <w:spacing w:line="360" w:lineRule="auto"/>
              <w:jc w:val="center"/>
              <w:rPr>
                <w:rFonts w:hint="eastAsia" w:hAnsi="宋体" w:cs="宋体"/>
                <w:color w:val="auto"/>
                <w:szCs w:val="21"/>
                <w:highlight w:val="none"/>
              </w:rPr>
            </w:pPr>
          </w:p>
        </w:tc>
        <w:tc>
          <w:tcPr>
            <w:tcW w:w="900" w:type="dxa"/>
            <w:noWrap w:val="0"/>
            <w:vAlign w:val="center"/>
          </w:tcPr>
          <w:p w14:paraId="589F9273">
            <w:pPr>
              <w:pStyle w:val="33"/>
              <w:spacing w:line="360" w:lineRule="auto"/>
              <w:jc w:val="center"/>
              <w:rPr>
                <w:rFonts w:hint="eastAsia" w:hAnsi="宋体" w:cs="宋体"/>
                <w:color w:val="auto"/>
                <w:szCs w:val="21"/>
                <w:highlight w:val="none"/>
              </w:rPr>
            </w:pPr>
          </w:p>
        </w:tc>
        <w:tc>
          <w:tcPr>
            <w:tcW w:w="1890" w:type="dxa"/>
            <w:noWrap w:val="0"/>
            <w:vAlign w:val="top"/>
          </w:tcPr>
          <w:p w14:paraId="15C65A00">
            <w:pPr>
              <w:pStyle w:val="33"/>
              <w:spacing w:line="360" w:lineRule="auto"/>
              <w:jc w:val="center"/>
              <w:rPr>
                <w:rFonts w:hint="eastAsia" w:hAnsi="宋体" w:cs="宋体"/>
                <w:color w:val="auto"/>
                <w:szCs w:val="21"/>
                <w:highlight w:val="none"/>
              </w:rPr>
            </w:pPr>
            <w:r>
              <w:rPr>
                <w:rFonts w:hint="eastAsia" w:hAnsi="宋体" w:cs="宋体"/>
                <w:color w:val="auto"/>
                <w:szCs w:val="21"/>
                <w:highlight w:val="none"/>
              </w:rPr>
              <w:t>见响应文件（）页</w:t>
            </w:r>
          </w:p>
        </w:tc>
      </w:tr>
      <w:tr w14:paraId="67FA7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9" w:type="dxa"/>
            <w:noWrap w:val="0"/>
            <w:vAlign w:val="center"/>
          </w:tcPr>
          <w:p w14:paraId="6E298A38">
            <w:pPr>
              <w:pStyle w:val="33"/>
              <w:spacing w:line="360" w:lineRule="auto"/>
              <w:jc w:val="center"/>
              <w:rPr>
                <w:rFonts w:hint="eastAsia" w:hAnsi="宋体" w:cs="宋体"/>
                <w:color w:val="auto"/>
                <w:szCs w:val="21"/>
                <w:highlight w:val="none"/>
              </w:rPr>
            </w:pPr>
          </w:p>
        </w:tc>
        <w:tc>
          <w:tcPr>
            <w:tcW w:w="1560" w:type="dxa"/>
            <w:noWrap w:val="0"/>
            <w:vAlign w:val="center"/>
          </w:tcPr>
          <w:p w14:paraId="5F1D085B">
            <w:pPr>
              <w:pStyle w:val="33"/>
              <w:spacing w:line="360" w:lineRule="auto"/>
              <w:jc w:val="center"/>
              <w:rPr>
                <w:rFonts w:hint="eastAsia" w:hAnsi="宋体" w:cs="宋体"/>
                <w:color w:val="auto"/>
                <w:szCs w:val="21"/>
                <w:highlight w:val="none"/>
              </w:rPr>
            </w:pPr>
          </w:p>
        </w:tc>
        <w:tc>
          <w:tcPr>
            <w:tcW w:w="1635" w:type="dxa"/>
            <w:noWrap w:val="0"/>
            <w:vAlign w:val="center"/>
          </w:tcPr>
          <w:p w14:paraId="3F0BD935">
            <w:pPr>
              <w:pStyle w:val="33"/>
              <w:spacing w:line="360" w:lineRule="auto"/>
              <w:jc w:val="center"/>
              <w:rPr>
                <w:rFonts w:hint="eastAsia" w:hAnsi="宋体" w:cs="宋体"/>
                <w:color w:val="auto"/>
                <w:szCs w:val="21"/>
                <w:highlight w:val="none"/>
              </w:rPr>
            </w:pPr>
          </w:p>
        </w:tc>
        <w:tc>
          <w:tcPr>
            <w:tcW w:w="1850" w:type="dxa"/>
            <w:noWrap w:val="0"/>
            <w:vAlign w:val="center"/>
          </w:tcPr>
          <w:p w14:paraId="256C7670">
            <w:pPr>
              <w:pStyle w:val="33"/>
              <w:spacing w:line="360" w:lineRule="auto"/>
              <w:jc w:val="center"/>
              <w:rPr>
                <w:rFonts w:hint="eastAsia" w:hAnsi="宋体" w:cs="宋体"/>
                <w:color w:val="auto"/>
                <w:szCs w:val="21"/>
                <w:highlight w:val="none"/>
              </w:rPr>
            </w:pPr>
          </w:p>
        </w:tc>
        <w:tc>
          <w:tcPr>
            <w:tcW w:w="1495" w:type="dxa"/>
            <w:noWrap w:val="0"/>
            <w:vAlign w:val="center"/>
          </w:tcPr>
          <w:p w14:paraId="536A7A91">
            <w:pPr>
              <w:pStyle w:val="33"/>
              <w:spacing w:line="360" w:lineRule="auto"/>
              <w:jc w:val="center"/>
              <w:rPr>
                <w:rFonts w:hint="eastAsia" w:hAnsi="宋体" w:cs="宋体"/>
                <w:color w:val="auto"/>
                <w:szCs w:val="21"/>
                <w:highlight w:val="none"/>
              </w:rPr>
            </w:pPr>
          </w:p>
        </w:tc>
        <w:tc>
          <w:tcPr>
            <w:tcW w:w="900" w:type="dxa"/>
            <w:noWrap w:val="0"/>
            <w:vAlign w:val="center"/>
          </w:tcPr>
          <w:p w14:paraId="6F152473">
            <w:pPr>
              <w:pStyle w:val="33"/>
              <w:spacing w:line="360" w:lineRule="auto"/>
              <w:jc w:val="center"/>
              <w:rPr>
                <w:rFonts w:hint="eastAsia" w:hAnsi="宋体" w:cs="宋体"/>
                <w:color w:val="auto"/>
                <w:szCs w:val="21"/>
                <w:highlight w:val="none"/>
              </w:rPr>
            </w:pPr>
          </w:p>
        </w:tc>
        <w:tc>
          <w:tcPr>
            <w:tcW w:w="1890" w:type="dxa"/>
            <w:noWrap w:val="0"/>
            <w:vAlign w:val="center"/>
          </w:tcPr>
          <w:p w14:paraId="0815D409">
            <w:pPr>
              <w:pStyle w:val="33"/>
              <w:spacing w:line="360" w:lineRule="auto"/>
              <w:jc w:val="center"/>
              <w:rPr>
                <w:rFonts w:hint="eastAsia" w:hAnsi="宋体" w:cs="宋体"/>
                <w:color w:val="auto"/>
                <w:szCs w:val="21"/>
                <w:highlight w:val="none"/>
              </w:rPr>
            </w:pPr>
            <w:r>
              <w:rPr>
                <w:rFonts w:hint="eastAsia" w:hAnsi="宋体" w:cs="宋体"/>
                <w:color w:val="auto"/>
                <w:szCs w:val="21"/>
                <w:highlight w:val="none"/>
              </w:rPr>
              <w:t>见响应文件（）页</w:t>
            </w:r>
          </w:p>
        </w:tc>
      </w:tr>
      <w:tr w14:paraId="78C15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9" w:type="dxa"/>
            <w:noWrap w:val="0"/>
            <w:vAlign w:val="center"/>
          </w:tcPr>
          <w:p w14:paraId="3A5E8104">
            <w:pPr>
              <w:pStyle w:val="33"/>
              <w:spacing w:line="360" w:lineRule="auto"/>
              <w:jc w:val="center"/>
              <w:rPr>
                <w:rFonts w:hint="eastAsia" w:hAnsi="宋体" w:cs="宋体"/>
                <w:color w:val="auto"/>
                <w:szCs w:val="21"/>
                <w:highlight w:val="none"/>
              </w:rPr>
            </w:pPr>
          </w:p>
        </w:tc>
        <w:tc>
          <w:tcPr>
            <w:tcW w:w="1560" w:type="dxa"/>
            <w:noWrap w:val="0"/>
            <w:vAlign w:val="center"/>
          </w:tcPr>
          <w:p w14:paraId="11210A65">
            <w:pPr>
              <w:pStyle w:val="33"/>
              <w:spacing w:line="360" w:lineRule="auto"/>
              <w:jc w:val="center"/>
              <w:rPr>
                <w:rFonts w:hint="eastAsia" w:hAnsi="宋体" w:cs="宋体"/>
                <w:color w:val="auto"/>
                <w:szCs w:val="21"/>
                <w:highlight w:val="none"/>
              </w:rPr>
            </w:pPr>
          </w:p>
        </w:tc>
        <w:tc>
          <w:tcPr>
            <w:tcW w:w="1635" w:type="dxa"/>
            <w:noWrap w:val="0"/>
            <w:vAlign w:val="center"/>
          </w:tcPr>
          <w:p w14:paraId="05559BCB">
            <w:pPr>
              <w:pStyle w:val="33"/>
              <w:spacing w:line="360" w:lineRule="auto"/>
              <w:jc w:val="center"/>
              <w:rPr>
                <w:rFonts w:hint="eastAsia" w:hAnsi="宋体" w:cs="宋体"/>
                <w:color w:val="auto"/>
                <w:szCs w:val="21"/>
                <w:highlight w:val="none"/>
              </w:rPr>
            </w:pPr>
          </w:p>
        </w:tc>
        <w:tc>
          <w:tcPr>
            <w:tcW w:w="1850" w:type="dxa"/>
            <w:noWrap w:val="0"/>
            <w:vAlign w:val="center"/>
          </w:tcPr>
          <w:p w14:paraId="5C0AB089">
            <w:pPr>
              <w:pStyle w:val="33"/>
              <w:spacing w:line="360" w:lineRule="auto"/>
              <w:jc w:val="center"/>
              <w:rPr>
                <w:rFonts w:hint="eastAsia" w:hAnsi="宋体" w:cs="宋体"/>
                <w:color w:val="auto"/>
                <w:szCs w:val="21"/>
                <w:highlight w:val="none"/>
              </w:rPr>
            </w:pPr>
          </w:p>
        </w:tc>
        <w:tc>
          <w:tcPr>
            <w:tcW w:w="1495" w:type="dxa"/>
            <w:noWrap w:val="0"/>
            <w:vAlign w:val="center"/>
          </w:tcPr>
          <w:p w14:paraId="5DE09754">
            <w:pPr>
              <w:pStyle w:val="33"/>
              <w:spacing w:line="360" w:lineRule="auto"/>
              <w:jc w:val="center"/>
              <w:rPr>
                <w:rFonts w:hint="eastAsia" w:hAnsi="宋体" w:cs="宋体"/>
                <w:color w:val="auto"/>
                <w:szCs w:val="21"/>
                <w:highlight w:val="none"/>
              </w:rPr>
            </w:pPr>
          </w:p>
        </w:tc>
        <w:tc>
          <w:tcPr>
            <w:tcW w:w="900" w:type="dxa"/>
            <w:noWrap w:val="0"/>
            <w:vAlign w:val="center"/>
          </w:tcPr>
          <w:p w14:paraId="13AF09F6">
            <w:pPr>
              <w:pStyle w:val="33"/>
              <w:spacing w:line="360" w:lineRule="auto"/>
              <w:jc w:val="center"/>
              <w:rPr>
                <w:rFonts w:hint="eastAsia" w:hAnsi="宋体" w:cs="宋体"/>
                <w:color w:val="auto"/>
                <w:szCs w:val="21"/>
                <w:highlight w:val="none"/>
              </w:rPr>
            </w:pPr>
          </w:p>
        </w:tc>
        <w:tc>
          <w:tcPr>
            <w:tcW w:w="1890" w:type="dxa"/>
            <w:noWrap w:val="0"/>
            <w:vAlign w:val="center"/>
          </w:tcPr>
          <w:p w14:paraId="0920881D">
            <w:pPr>
              <w:pStyle w:val="33"/>
              <w:spacing w:line="360" w:lineRule="auto"/>
              <w:jc w:val="center"/>
              <w:rPr>
                <w:rFonts w:hint="eastAsia" w:hAnsi="宋体" w:cs="宋体"/>
                <w:color w:val="auto"/>
                <w:szCs w:val="21"/>
                <w:highlight w:val="none"/>
              </w:rPr>
            </w:pPr>
            <w:r>
              <w:rPr>
                <w:rFonts w:hint="eastAsia" w:hAnsi="宋体" w:cs="宋体"/>
                <w:color w:val="auto"/>
                <w:szCs w:val="21"/>
                <w:highlight w:val="none"/>
              </w:rPr>
              <w:t>见响应文件（）页</w:t>
            </w:r>
          </w:p>
        </w:tc>
      </w:tr>
      <w:tr w14:paraId="5F42D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9" w:type="dxa"/>
            <w:noWrap w:val="0"/>
            <w:vAlign w:val="center"/>
          </w:tcPr>
          <w:p w14:paraId="174E4744">
            <w:pPr>
              <w:pStyle w:val="33"/>
              <w:spacing w:line="360" w:lineRule="auto"/>
              <w:jc w:val="center"/>
              <w:rPr>
                <w:rFonts w:hint="eastAsia" w:hAnsi="宋体" w:cs="宋体"/>
                <w:color w:val="auto"/>
                <w:szCs w:val="21"/>
                <w:highlight w:val="none"/>
              </w:rPr>
            </w:pPr>
          </w:p>
        </w:tc>
        <w:tc>
          <w:tcPr>
            <w:tcW w:w="1560" w:type="dxa"/>
            <w:noWrap w:val="0"/>
            <w:vAlign w:val="center"/>
          </w:tcPr>
          <w:p w14:paraId="3F178350">
            <w:pPr>
              <w:pStyle w:val="33"/>
              <w:spacing w:line="360" w:lineRule="auto"/>
              <w:jc w:val="center"/>
              <w:rPr>
                <w:rFonts w:hint="eastAsia" w:hAnsi="宋体" w:cs="宋体"/>
                <w:color w:val="auto"/>
                <w:szCs w:val="21"/>
                <w:highlight w:val="none"/>
              </w:rPr>
            </w:pPr>
          </w:p>
        </w:tc>
        <w:tc>
          <w:tcPr>
            <w:tcW w:w="1635" w:type="dxa"/>
            <w:noWrap w:val="0"/>
            <w:vAlign w:val="center"/>
          </w:tcPr>
          <w:p w14:paraId="03764FD2">
            <w:pPr>
              <w:pStyle w:val="33"/>
              <w:spacing w:line="360" w:lineRule="auto"/>
              <w:jc w:val="center"/>
              <w:rPr>
                <w:rFonts w:hint="eastAsia" w:hAnsi="宋体" w:cs="宋体"/>
                <w:color w:val="auto"/>
                <w:szCs w:val="21"/>
                <w:highlight w:val="none"/>
              </w:rPr>
            </w:pPr>
          </w:p>
        </w:tc>
        <w:tc>
          <w:tcPr>
            <w:tcW w:w="1850" w:type="dxa"/>
            <w:noWrap w:val="0"/>
            <w:vAlign w:val="center"/>
          </w:tcPr>
          <w:p w14:paraId="16177219">
            <w:pPr>
              <w:pStyle w:val="33"/>
              <w:spacing w:line="360" w:lineRule="auto"/>
              <w:jc w:val="center"/>
              <w:rPr>
                <w:rFonts w:hint="eastAsia" w:hAnsi="宋体" w:cs="宋体"/>
                <w:color w:val="auto"/>
                <w:szCs w:val="21"/>
                <w:highlight w:val="none"/>
              </w:rPr>
            </w:pPr>
          </w:p>
        </w:tc>
        <w:tc>
          <w:tcPr>
            <w:tcW w:w="1495" w:type="dxa"/>
            <w:noWrap w:val="0"/>
            <w:vAlign w:val="center"/>
          </w:tcPr>
          <w:p w14:paraId="6B59DA17">
            <w:pPr>
              <w:pStyle w:val="33"/>
              <w:spacing w:line="360" w:lineRule="auto"/>
              <w:jc w:val="center"/>
              <w:rPr>
                <w:rFonts w:hint="eastAsia" w:hAnsi="宋体" w:cs="宋体"/>
                <w:color w:val="auto"/>
                <w:szCs w:val="21"/>
                <w:highlight w:val="none"/>
              </w:rPr>
            </w:pPr>
          </w:p>
        </w:tc>
        <w:tc>
          <w:tcPr>
            <w:tcW w:w="900" w:type="dxa"/>
            <w:noWrap w:val="0"/>
            <w:vAlign w:val="center"/>
          </w:tcPr>
          <w:p w14:paraId="3F068D27">
            <w:pPr>
              <w:pStyle w:val="33"/>
              <w:spacing w:line="360" w:lineRule="auto"/>
              <w:jc w:val="center"/>
              <w:rPr>
                <w:rFonts w:hint="eastAsia" w:hAnsi="宋体" w:cs="宋体"/>
                <w:color w:val="auto"/>
                <w:szCs w:val="21"/>
                <w:highlight w:val="none"/>
              </w:rPr>
            </w:pPr>
          </w:p>
        </w:tc>
        <w:tc>
          <w:tcPr>
            <w:tcW w:w="1890" w:type="dxa"/>
            <w:noWrap w:val="0"/>
            <w:vAlign w:val="center"/>
          </w:tcPr>
          <w:p w14:paraId="29845957">
            <w:pPr>
              <w:pStyle w:val="33"/>
              <w:spacing w:line="360" w:lineRule="auto"/>
              <w:jc w:val="center"/>
              <w:rPr>
                <w:rFonts w:hint="eastAsia" w:hAnsi="宋体" w:cs="宋体"/>
                <w:color w:val="auto"/>
                <w:szCs w:val="21"/>
                <w:highlight w:val="none"/>
              </w:rPr>
            </w:pPr>
            <w:r>
              <w:rPr>
                <w:rFonts w:hint="eastAsia" w:hAnsi="宋体" w:cs="宋体"/>
                <w:color w:val="auto"/>
                <w:szCs w:val="21"/>
                <w:highlight w:val="none"/>
              </w:rPr>
              <w:t>见响应文件（）页</w:t>
            </w:r>
          </w:p>
        </w:tc>
      </w:tr>
    </w:tbl>
    <w:p w14:paraId="4E10AB91">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注：</w:t>
      </w:r>
      <w:r>
        <w:rPr>
          <w:rFonts w:hint="eastAsia" w:ascii="宋体" w:hAnsi="宋体" w:cs="宋体"/>
          <w:b/>
          <w:color w:val="auto"/>
          <w:sz w:val="24"/>
          <w:highlight w:val="none"/>
          <w:lang w:val="en-US" w:eastAsia="zh-CN"/>
        </w:rPr>
        <w:t>1</w:t>
      </w:r>
      <w:r>
        <w:rPr>
          <w:rFonts w:hint="eastAsia" w:ascii="宋体" w:hAnsi="宋体" w:cs="宋体"/>
          <w:b/>
          <w:color w:val="auto"/>
          <w:sz w:val="24"/>
          <w:highlight w:val="none"/>
        </w:rPr>
        <w:t>、供应商响应采购需求应具体、明确，含糊不清、不确切或伪造、变造证明材料的，按照不完全响应或者完全不响应处理。</w:t>
      </w:r>
    </w:p>
    <w:p w14:paraId="19524C9B">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lang w:val="en-US" w:eastAsia="zh-CN"/>
        </w:rPr>
        <w:t>2</w:t>
      </w:r>
      <w:r>
        <w:rPr>
          <w:rFonts w:hint="eastAsia" w:ascii="宋体" w:hAnsi="宋体" w:cs="宋体"/>
          <w:b/>
          <w:color w:val="auto"/>
          <w:sz w:val="24"/>
          <w:highlight w:val="none"/>
        </w:rPr>
        <w:t>、供应商应对照项目采购需求中的采购需求，逐条说明所提供服务已对采购文件的采购需求做出了实质性的响应，并申明与采购需求条文的偏差和例外。</w:t>
      </w:r>
    </w:p>
    <w:p w14:paraId="2CF3E112">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lang w:val="en-US" w:eastAsia="zh-CN"/>
        </w:rPr>
        <w:t>3</w:t>
      </w:r>
      <w:r>
        <w:rPr>
          <w:rFonts w:hint="eastAsia" w:ascii="宋体" w:hAnsi="宋体" w:cs="宋体"/>
          <w:b/>
          <w:color w:val="auto"/>
          <w:sz w:val="24"/>
          <w:highlight w:val="none"/>
        </w:rPr>
        <w:t>、各供应商按此表格式自行填写，表格不够时可自行添加。</w:t>
      </w:r>
    </w:p>
    <w:p w14:paraId="268B44C5">
      <w:pPr>
        <w:pStyle w:val="33"/>
        <w:spacing w:line="360" w:lineRule="auto"/>
        <w:ind w:firstLine="472" w:firstLineChars="196"/>
        <w:rPr>
          <w:rFonts w:hint="eastAsia" w:hAnsi="宋体" w:cs="宋体"/>
          <w:b/>
          <w:color w:val="auto"/>
          <w:sz w:val="24"/>
          <w:szCs w:val="24"/>
          <w:highlight w:val="none"/>
        </w:rPr>
      </w:pPr>
      <w:r>
        <w:rPr>
          <w:rFonts w:hint="eastAsia" w:hAnsi="宋体" w:cs="宋体"/>
          <w:b/>
          <w:color w:val="auto"/>
          <w:sz w:val="24"/>
          <w:szCs w:val="24"/>
          <w:highlight w:val="none"/>
          <w:lang w:val="en-US" w:eastAsia="zh-CN"/>
        </w:rPr>
        <w:t>4</w:t>
      </w:r>
      <w:r>
        <w:rPr>
          <w:rFonts w:hint="eastAsia" w:hAnsi="宋体" w:cs="宋体"/>
          <w:b/>
          <w:color w:val="auto"/>
          <w:sz w:val="24"/>
          <w:szCs w:val="24"/>
          <w:highlight w:val="none"/>
        </w:rPr>
        <w:t>、没有说明的其他条款将被认为完全满足本项目采购货物规格、技术要求。</w:t>
      </w:r>
    </w:p>
    <w:p w14:paraId="7D8DE31A">
      <w:pPr>
        <w:pStyle w:val="33"/>
        <w:spacing w:line="360" w:lineRule="auto"/>
        <w:ind w:firstLine="480" w:firstLineChars="200"/>
        <w:rPr>
          <w:rFonts w:hint="eastAsia" w:hAnsi="宋体" w:cs="宋体"/>
          <w:color w:val="auto"/>
          <w:sz w:val="24"/>
          <w:szCs w:val="24"/>
          <w:highlight w:val="none"/>
        </w:rPr>
      </w:pPr>
    </w:p>
    <w:p w14:paraId="5E71F339">
      <w:pPr>
        <w:pStyle w:val="33"/>
        <w:spacing w:line="360" w:lineRule="auto"/>
        <w:ind w:firstLine="480" w:firstLineChars="200"/>
        <w:rPr>
          <w:rFonts w:hint="eastAsia" w:hAnsi="宋体" w:cs="宋体"/>
          <w:color w:val="auto"/>
          <w:sz w:val="24"/>
          <w:szCs w:val="24"/>
          <w:highlight w:val="none"/>
          <w:u w:val="single"/>
        </w:rPr>
      </w:pPr>
      <w:r>
        <w:rPr>
          <w:rFonts w:hint="eastAsia" w:hAnsi="宋体" w:cs="宋体"/>
          <w:color w:val="auto"/>
          <w:sz w:val="24"/>
          <w:szCs w:val="24"/>
          <w:highlight w:val="none"/>
        </w:rPr>
        <w:t>供应商 （盖章）：</w:t>
      </w:r>
    </w:p>
    <w:p w14:paraId="05A256DD">
      <w:pPr>
        <w:pStyle w:val="33"/>
        <w:spacing w:line="360" w:lineRule="auto"/>
        <w:ind w:firstLine="480" w:firstLineChars="200"/>
        <w:rPr>
          <w:rFonts w:hint="eastAsia" w:hAnsi="宋体" w:cs="宋体"/>
          <w:color w:val="auto"/>
          <w:sz w:val="24"/>
          <w:highlight w:val="none"/>
        </w:rPr>
      </w:pPr>
    </w:p>
    <w:p w14:paraId="414DCAC9">
      <w:pPr>
        <w:pStyle w:val="33"/>
        <w:spacing w:line="360" w:lineRule="auto"/>
        <w:ind w:firstLine="480" w:firstLineChars="200"/>
        <w:rPr>
          <w:rFonts w:hint="eastAsia" w:hAnsi="宋体" w:cs="宋体"/>
          <w:color w:val="auto"/>
          <w:sz w:val="24"/>
          <w:szCs w:val="24"/>
          <w:highlight w:val="none"/>
        </w:rPr>
      </w:pPr>
      <w:r>
        <w:rPr>
          <w:rFonts w:hint="eastAsia" w:hAnsi="宋体" w:cs="宋体"/>
          <w:color w:val="auto"/>
          <w:sz w:val="24"/>
          <w:highlight w:val="none"/>
        </w:rPr>
        <w:t>法定代表人或委托代理人（签字或盖章）：</w:t>
      </w:r>
    </w:p>
    <w:p w14:paraId="641E96F0">
      <w:pPr>
        <w:snapToGrid w:val="0"/>
        <w:spacing w:line="360" w:lineRule="auto"/>
        <w:jc w:val="right"/>
        <w:rPr>
          <w:rFonts w:hint="eastAsia" w:ascii="宋体" w:hAnsi="宋体" w:cs="宋体"/>
          <w:color w:val="auto"/>
          <w:sz w:val="24"/>
          <w:highlight w:val="none"/>
        </w:rPr>
      </w:pPr>
      <w:bookmarkStart w:id="167" w:name="_Toc233275191"/>
      <w:bookmarkStart w:id="168" w:name="_Toc246216440"/>
      <w:bookmarkStart w:id="169" w:name="_Toc246216282"/>
      <w:bookmarkStart w:id="170" w:name="_Toc246216305"/>
      <w:r>
        <w:rPr>
          <w:rFonts w:hint="eastAsia" w:ascii="宋体" w:hAnsi="宋体" w:cs="宋体"/>
          <w:color w:val="auto"/>
          <w:sz w:val="24"/>
          <w:highlight w:val="none"/>
        </w:rPr>
        <w:t>年     月     日</w:t>
      </w:r>
      <w:bookmarkEnd w:id="167"/>
      <w:bookmarkEnd w:id="168"/>
      <w:bookmarkEnd w:id="169"/>
      <w:bookmarkEnd w:id="170"/>
    </w:p>
    <w:p w14:paraId="5AAAE1F4">
      <w:pPr>
        <w:wordWrap/>
        <w:spacing w:line="360" w:lineRule="auto"/>
        <w:jc w:val="right"/>
        <w:textAlignment w:val="auto"/>
        <w:rPr>
          <w:rFonts w:hint="eastAsia" w:ascii="宋体" w:hAnsi="宋体" w:eastAsia="宋体" w:cs="宋体"/>
          <w:color w:val="auto"/>
          <w:sz w:val="24"/>
          <w:szCs w:val="24"/>
          <w:highlight w:val="none"/>
        </w:rPr>
      </w:pPr>
    </w:p>
    <w:p w14:paraId="4970D5C0">
      <w:pPr>
        <w:pStyle w:val="4"/>
        <w:wordWrap/>
        <w:spacing w:before="0" w:after="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格式1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资格性/符合性自查表</w:t>
      </w:r>
    </w:p>
    <w:tbl>
      <w:tblPr>
        <w:tblStyle w:val="59"/>
        <w:tblW w:w="9937" w:type="dxa"/>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391"/>
        <w:gridCol w:w="3437"/>
        <w:gridCol w:w="2327"/>
        <w:gridCol w:w="2782"/>
      </w:tblGrid>
      <w:tr w14:paraId="6734B77E">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263" w:hRule="atLeast"/>
        </w:trPr>
        <w:tc>
          <w:tcPr>
            <w:tcW w:w="1391" w:type="dxa"/>
            <w:tcBorders>
              <w:top w:val="outset" w:color="111111" w:sz="6" w:space="0"/>
              <w:left w:val="outset" w:color="111111" w:sz="6" w:space="0"/>
              <w:bottom w:val="outset" w:color="111111" w:sz="6" w:space="0"/>
              <w:right w:val="outset" w:color="111111" w:sz="6" w:space="0"/>
            </w:tcBorders>
            <w:vAlign w:val="center"/>
          </w:tcPr>
          <w:p w14:paraId="302E9D62">
            <w:pPr>
              <w:widowControl w:val="0"/>
              <w:wordWrap/>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10"/>
                <w:sz w:val="24"/>
                <w:szCs w:val="24"/>
                <w:highlight w:val="none"/>
              </w:rPr>
              <w:t>评审内容</w:t>
            </w:r>
          </w:p>
        </w:tc>
        <w:tc>
          <w:tcPr>
            <w:tcW w:w="3437" w:type="dxa"/>
            <w:tcBorders>
              <w:top w:val="outset" w:color="111111" w:sz="6" w:space="0"/>
              <w:left w:val="outset" w:color="111111" w:sz="6" w:space="0"/>
              <w:bottom w:val="outset" w:color="111111" w:sz="6" w:space="0"/>
              <w:right w:val="outset" w:color="111111" w:sz="6" w:space="0"/>
            </w:tcBorders>
            <w:vAlign w:val="center"/>
          </w:tcPr>
          <w:p w14:paraId="02106555">
            <w:pPr>
              <w:widowControl w:val="0"/>
              <w:wordWrap/>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10"/>
                <w:sz w:val="24"/>
                <w:szCs w:val="24"/>
                <w:highlight w:val="none"/>
              </w:rPr>
              <w:t>采购文件要求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（详见《资格性和符合性审查表》各项）</w:t>
            </w:r>
          </w:p>
        </w:tc>
        <w:tc>
          <w:tcPr>
            <w:tcW w:w="2327" w:type="dxa"/>
            <w:tcBorders>
              <w:top w:val="outset" w:color="111111" w:sz="6" w:space="0"/>
              <w:left w:val="outset" w:color="111111" w:sz="6" w:space="0"/>
              <w:bottom w:val="outset" w:color="111111" w:sz="6" w:space="0"/>
              <w:right w:val="outset" w:color="111111" w:sz="6" w:space="0"/>
            </w:tcBorders>
            <w:vAlign w:val="center"/>
          </w:tcPr>
          <w:p w14:paraId="5F5269B2">
            <w:pPr>
              <w:widowControl w:val="0"/>
              <w:wordWrap/>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10"/>
                <w:sz w:val="24"/>
                <w:szCs w:val="24"/>
                <w:highlight w:val="none"/>
              </w:rPr>
              <w:t>自查结论</w:t>
            </w:r>
          </w:p>
        </w:tc>
        <w:tc>
          <w:tcPr>
            <w:tcW w:w="2782" w:type="dxa"/>
            <w:tcBorders>
              <w:top w:val="outset" w:color="111111" w:sz="6" w:space="0"/>
              <w:left w:val="outset" w:color="111111" w:sz="6" w:space="0"/>
              <w:bottom w:val="outset" w:color="111111" w:sz="6" w:space="0"/>
              <w:right w:val="outset" w:color="111111" w:sz="6" w:space="0"/>
            </w:tcBorders>
            <w:vAlign w:val="center"/>
          </w:tcPr>
          <w:p w14:paraId="30AA82FF">
            <w:pPr>
              <w:widowControl w:val="0"/>
              <w:wordWrap/>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10"/>
                <w:sz w:val="24"/>
                <w:szCs w:val="24"/>
                <w:highlight w:val="none"/>
              </w:rPr>
              <w:t>证明资料</w:t>
            </w:r>
          </w:p>
        </w:tc>
      </w:tr>
      <w:tr w14:paraId="1D06FE57">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restart"/>
            <w:tcBorders>
              <w:top w:val="outset" w:color="111111" w:sz="6" w:space="0"/>
              <w:left w:val="outset" w:color="111111" w:sz="6" w:space="0"/>
              <w:right w:val="outset" w:color="111111" w:sz="6" w:space="0"/>
            </w:tcBorders>
            <w:vAlign w:val="center"/>
          </w:tcPr>
          <w:p w14:paraId="7E718B2C">
            <w:pPr>
              <w:wordWrap/>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资格性审查</w:t>
            </w:r>
          </w:p>
        </w:tc>
        <w:tc>
          <w:tcPr>
            <w:tcW w:w="3437" w:type="dxa"/>
            <w:tcBorders>
              <w:top w:val="outset" w:color="111111" w:sz="6" w:space="0"/>
              <w:left w:val="outset" w:color="111111" w:sz="6" w:space="0"/>
              <w:bottom w:val="outset" w:color="111111" w:sz="6" w:space="0"/>
              <w:right w:val="outset" w:color="111111" w:sz="6" w:space="0"/>
            </w:tcBorders>
            <w:vAlign w:val="center"/>
          </w:tcPr>
          <w:p w14:paraId="018071BF">
            <w:pPr>
              <w:wordWrap/>
              <w:spacing w:line="360" w:lineRule="auto"/>
              <w:textAlignment w:val="auto"/>
              <w:rPr>
                <w:rFonts w:hint="eastAsia" w:ascii="宋体" w:hAnsi="宋体" w:eastAsia="宋体" w:cs="宋体"/>
                <w:color w:val="auto"/>
                <w:sz w:val="24"/>
                <w:szCs w:val="24"/>
                <w:highlight w:val="none"/>
              </w:rPr>
            </w:pPr>
          </w:p>
        </w:tc>
        <w:tc>
          <w:tcPr>
            <w:tcW w:w="2327" w:type="dxa"/>
            <w:tcBorders>
              <w:top w:val="outset" w:color="111111" w:sz="6" w:space="0"/>
              <w:left w:val="outset" w:color="111111" w:sz="6" w:space="0"/>
              <w:bottom w:val="outset" w:color="111111" w:sz="6" w:space="0"/>
              <w:right w:val="outset" w:color="111111" w:sz="6" w:space="0"/>
            </w:tcBorders>
            <w:vAlign w:val="center"/>
          </w:tcPr>
          <w:p w14:paraId="42BA03E1">
            <w:pPr>
              <w:wordWrap/>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 □不通过</w:t>
            </w:r>
          </w:p>
        </w:tc>
        <w:tc>
          <w:tcPr>
            <w:tcW w:w="2782" w:type="dxa"/>
            <w:tcBorders>
              <w:top w:val="outset" w:color="111111" w:sz="6" w:space="0"/>
              <w:left w:val="outset" w:color="111111" w:sz="6" w:space="0"/>
              <w:bottom w:val="outset" w:color="111111" w:sz="6" w:space="0"/>
              <w:right w:val="outset" w:color="111111" w:sz="6" w:space="0"/>
            </w:tcBorders>
            <w:vAlign w:val="center"/>
          </w:tcPr>
          <w:p w14:paraId="3D4329BD">
            <w:pPr>
              <w:wordWrap/>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见响应文件第（）页</w:t>
            </w:r>
          </w:p>
        </w:tc>
      </w:tr>
      <w:tr w14:paraId="15D249B3">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14:paraId="5F549545">
            <w:pPr>
              <w:wordWrap/>
              <w:spacing w:line="360" w:lineRule="auto"/>
              <w:textAlignment w:val="auto"/>
              <w:rPr>
                <w:rFonts w:hint="eastAsia" w:ascii="宋体" w:hAnsi="宋体" w:eastAsia="宋体" w:cs="宋体"/>
                <w:color w:val="auto"/>
                <w:sz w:val="24"/>
                <w:szCs w:val="24"/>
                <w:highlight w:val="none"/>
              </w:rPr>
            </w:pPr>
          </w:p>
        </w:tc>
        <w:tc>
          <w:tcPr>
            <w:tcW w:w="3437" w:type="dxa"/>
            <w:tcBorders>
              <w:top w:val="outset" w:color="111111" w:sz="6" w:space="0"/>
              <w:left w:val="outset" w:color="111111" w:sz="6" w:space="0"/>
              <w:bottom w:val="outset" w:color="111111" w:sz="6" w:space="0"/>
              <w:right w:val="outset" w:color="111111" w:sz="6" w:space="0"/>
            </w:tcBorders>
            <w:vAlign w:val="center"/>
          </w:tcPr>
          <w:p w14:paraId="7B47EFA7">
            <w:pPr>
              <w:wordWrap/>
              <w:spacing w:line="360" w:lineRule="auto"/>
              <w:textAlignment w:val="auto"/>
              <w:rPr>
                <w:rFonts w:hint="eastAsia" w:ascii="宋体" w:hAnsi="宋体" w:eastAsia="宋体" w:cs="宋体"/>
                <w:color w:val="auto"/>
                <w:sz w:val="24"/>
                <w:szCs w:val="24"/>
                <w:highlight w:val="none"/>
              </w:rPr>
            </w:pPr>
          </w:p>
        </w:tc>
        <w:tc>
          <w:tcPr>
            <w:tcW w:w="2327" w:type="dxa"/>
            <w:tcBorders>
              <w:top w:val="outset" w:color="111111" w:sz="6" w:space="0"/>
              <w:left w:val="outset" w:color="111111" w:sz="6" w:space="0"/>
              <w:bottom w:val="outset" w:color="111111" w:sz="6" w:space="0"/>
              <w:right w:val="outset" w:color="111111" w:sz="6" w:space="0"/>
            </w:tcBorders>
            <w:vAlign w:val="center"/>
          </w:tcPr>
          <w:p w14:paraId="5A0F6756">
            <w:pPr>
              <w:wordWrap/>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 □不通过</w:t>
            </w:r>
          </w:p>
        </w:tc>
        <w:tc>
          <w:tcPr>
            <w:tcW w:w="2782" w:type="dxa"/>
            <w:tcBorders>
              <w:top w:val="outset" w:color="111111" w:sz="6" w:space="0"/>
              <w:left w:val="outset" w:color="111111" w:sz="6" w:space="0"/>
              <w:bottom w:val="outset" w:color="111111" w:sz="6" w:space="0"/>
              <w:right w:val="outset" w:color="111111" w:sz="6" w:space="0"/>
            </w:tcBorders>
            <w:vAlign w:val="center"/>
          </w:tcPr>
          <w:p w14:paraId="0829678C">
            <w:pPr>
              <w:wordWrap/>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见响应文件第（）页</w:t>
            </w:r>
          </w:p>
        </w:tc>
      </w:tr>
      <w:tr w14:paraId="5F1A6FE5">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14:paraId="5B65D2ED">
            <w:pPr>
              <w:wordWrap/>
              <w:spacing w:line="360" w:lineRule="auto"/>
              <w:textAlignment w:val="auto"/>
              <w:rPr>
                <w:rFonts w:hint="eastAsia" w:ascii="宋体" w:hAnsi="宋体" w:eastAsia="宋体" w:cs="宋体"/>
                <w:color w:val="auto"/>
                <w:sz w:val="24"/>
                <w:szCs w:val="24"/>
                <w:highlight w:val="none"/>
              </w:rPr>
            </w:pPr>
          </w:p>
        </w:tc>
        <w:tc>
          <w:tcPr>
            <w:tcW w:w="3437" w:type="dxa"/>
            <w:tcBorders>
              <w:top w:val="outset" w:color="111111" w:sz="6" w:space="0"/>
              <w:left w:val="outset" w:color="111111" w:sz="6" w:space="0"/>
              <w:bottom w:val="outset" w:color="111111" w:sz="6" w:space="0"/>
              <w:right w:val="outset" w:color="111111" w:sz="6" w:space="0"/>
            </w:tcBorders>
            <w:vAlign w:val="center"/>
          </w:tcPr>
          <w:p w14:paraId="3FDDF6C5">
            <w:pPr>
              <w:wordWrap/>
              <w:spacing w:line="360" w:lineRule="auto"/>
              <w:textAlignment w:val="auto"/>
              <w:rPr>
                <w:rFonts w:hint="eastAsia" w:ascii="宋体" w:hAnsi="宋体" w:eastAsia="宋体" w:cs="宋体"/>
                <w:color w:val="auto"/>
                <w:sz w:val="24"/>
                <w:szCs w:val="24"/>
                <w:highlight w:val="none"/>
              </w:rPr>
            </w:pPr>
          </w:p>
        </w:tc>
        <w:tc>
          <w:tcPr>
            <w:tcW w:w="2327" w:type="dxa"/>
            <w:tcBorders>
              <w:top w:val="outset" w:color="111111" w:sz="6" w:space="0"/>
              <w:left w:val="outset" w:color="111111" w:sz="6" w:space="0"/>
              <w:bottom w:val="outset" w:color="111111" w:sz="6" w:space="0"/>
              <w:right w:val="outset" w:color="111111" w:sz="6" w:space="0"/>
            </w:tcBorders>
            <w:vAlign w:val="center"/>
          </w:tcPr>
          <w:p w14:paraId="307C0C63">
            <w:pPr>
              <w:wordWrap/>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 □不通过</w:t>
            </w:r>
          </w:p>
        </w:tc>
        <w:tc>
          <w:tcPr>
            <w:tcW w:w="2782" w:type="dxa"/>
            <w:tcBorders>
              <w:top w:val="outset" w:color="111111" w:sz="6" w:space="0"/>
              <w:left w:val="outset" w:color="111111" w:sz="6" w:space="0"/>
              <w:bottom w:val="outset" w:color="111111" w:sz="6" w:space="0"/>
              <w:right w:val="outset" w:color="111111" w:sz="6" w:space="0"/>
            </w:tcBorders>
            <w:vAlign w:val="center"/>
          </w:tcPr>
          <w:p w14:paraId="46B5C0F8">
            <w:pPr>
              <w:wordWrap/>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见响应文件第（）页</w:t>
            </w:r>
          </w:p>
        </w:tc>
      </w:tr>
      <w:tr w14:paraId="38603C34">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restart"/>
            <w:tcBorders>
              <w:top w:val="outset" w:color="111111" w:sz="6" w:space="0"/>
              <w:left w:val="outset" w:color="111111" w:sz="6" w:space="0"/>
              <w:right w:val="outset" w:color="111111" w:sz="6" w:space="0"/>
            </w:tcBorders>
            <w:vAlign w:val="center"/>
          </w:tcPr>
          <w:p w14:paraId="1D1A94C0">
            <w:pPr>
              <w:wordWrap/>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符合性审查</w:t>
            </w:r>
          </w:p>
        </w:tc>
        <w:tc>
          <w:tcPr>
            <w:tcW w:w="3437" w:type="dxa"/>
            <w:tcBorders>
              <w:top w:val="outset" w:color="111111" w:sz="6" w:space="0"/>
              <w:left w:val="outset" w:color="111111" w:sz="6" w:space="0"/>
              <w:bottom w:val="outset" w:color="111111" w:sz="6" w:space="0"/>
              <w:right w:val="outset" w:color="111111" w:sz="6" w:space="0"/>
            </w:tcBorders>
            <w:vAlign w:val="center"/>
          </w:tcPr>
          <w:p w14:paraId="3344A1AA">
            <w:pPr>
              <w:wordWrap/>
              <w:spacing w:line="360" w:lineRule="auto"/>
              <w:textAlignment w:val="auto"/>
              <w:rPr>
                <w:rFonts w:hint="eastAsia" w:ascii="宋体" w:hAnsi="宋体" w:eastAsia="宋体" w:cs="宋体"/>
                <w:color w:val="auto"/>
                <w:sz w:val="24"/>
                <w:szCs w:val="24"/>
                <w:highlight w:val="none"/>
              </w:rPr>
            </w:pPr>
          </w:p>
        </w:tc>
        <w:tc>
          <w:tcPr>
            <w:tcW w:w="2327" w:type="dxa"/>
            <w:tcBorders>
              <w:top w:val="outset" w:color="111111" w:sz="6" w:space="0"/>
              <w:left w:val="outset" w:color="111111" w:sz="6" w:space="0"/>
              <w:bottom w:val="outset" w:color="111111" w:sz="6" w:space="0"/>
              <w:right w:val="outset" w:color="111111" w:sz="6" w:space="0"/>
            </w:tcBorders>
            <w:vAlign w:val="center"/>
          </w:tcPr>
          <w:p w14:paraId="40B39AE3">
            <w:pPr>
              <w:wordWrap/>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 □不通过</w:t>
            </w:r>
          </w:p>
        </w:tc>
        <w:tc>
          <w:tcPr>
            <w:tcW w:w="2782" w:type="dxa"/>
            <w:tcBorders>
              <w:top w:val="outset" w:color="111111" w:sz="6" w:space="0"/>
              <w:left w:val="outset" w:color="111111" w:sz="6" w:space="0"/>
              <w:bottom w:val="outset" w:color="111111" w:sz="6" w:space="0"/>
              <w:right w:val="outset" w:color="111111" w:sz="6" w:space="0"/>
            </w:tcBorders>
            <w:vAlign w:val="center"/>
          </w:tcPr>
          <w:p w14:paraId="6522A0A0">
            <w:pPr>
              <w:wordWrap/>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见响应文件第（）页</w:t>
            </w:r>
          </w:p>
        </w:tc>
      </w:tr>
      <w:tr w14:paraId="19870AD6">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14:paraId="5AC11504">
            <w:pPr>
              <w:wordWrap/>
              <w:spacing w:line="360" w:lineRule="auto"/>
              <w:textAlignment w:val="auto"/>
              <w:rPr>
                <w:rFonts w:hint="eastAsia" w:ascii="宋体" w:hAnsi="宋体" w:eastAsia="宋体" w:cs="宋体"/>
                <w:color w:val="auto"/>
                <w:sz w:val="24"/>
                <w:szCs w:val="24"/>
                <w:highlight w:val="none"/>
              </w:rPr>
            </w:pPr>
          </w:p>
        </w:tc>
        <w:tc>
          <w:tcPr>
            <w:tcW w:w="3437" w:type="dxa"/>
            <w:tcBorders>
              <w:top w:val="outset" w:color="111111" w:sz="6" w:space="0"/>
              <w:left w:val="outset" w:color="111111" w:sz="6" w:space="0"/>
              <w:bottom w:val="outset" w:color="111111" w:sz="6" w:space="0"/>
              <w:right w:val="outset" w:color="111111" w:sz="6" w:space="0"/>
            </w:tcBorders>
            <w:vAlign w:val="center"/>
          </w:tcPr>
          <w:p w14:paraId="47CBAADC">
            <w:pPr>
              <w:wordWrap/>
              <w:spacing w:line="360" w:lineRule="auto"/>
              <w:textAlignment w:val="auto"/>
              <w:rPr>
                <w:rFonts w:hint="eastAsia" w:ascii="宋体" w:hAnsi="宋体" w:eastAsia="宋体" w:cs="宋体"/>
                <w:color w:val="auto"/>
                <w:sz w:val="24"/>
                <w:szCs w:val="24"/>
                <w:highlight w:val="none"/>
              </w:rPr>
            </w:pPr>
          </w:p>
        </w:tc>
        <w:tc>
          <w:tcPr>
            <w:tcW w:w="2327" w:type="dxa"/>
            <w:tcBorders>
              <w:top w:val="outset" w:color="111111" w:sz="6" w:space="0"/>
              <w:left w:val="outset" w:color="111111" w:sz="6" w:space="0"/>
              <w:bottom w:val="outset" w:color="111111" w:sz="6" w:space="0"/>
              <w:right w:val="outset" w:color="111111" w:sz="6" w:space="0"/>
            </w:tcBorders>
            <w:vAlign w:val="center"/>
          </w:tcPr>
          <w:p w14:paraId="6126C6DA">
            <w:pPr>
              <w:wordWrap/>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 □不通过</w:t>
            </w:r>
          </w:p>
        </w:tc>
        <w:tc>
          <w:tcPr>
            <w:tcW w:w="2782" w:type="dxa"/>
            <w:tcBorders>
              <w:top w:val="outset" w:color="111111" w:sz="6" w:space="0"/>
              <w:left w:val="outset" w:color="111111" w:sz="6" w:space="0"/>
              <w:bottom w:val="outset" w:color="111111" w:sz="6" w:space="0"/>
              <w:right w:val="outset" w:color="111111" w:sz="6" w:space="0"/>
            </w:tcBorders>
            <w:vAlign w:val="center"/>
          </w:tcPr>
          <w:p w14:paraId="162B10C9">
            <w:pPr>
              <w:wordWrap/>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见响应文件第（）页</w:t>
            </w:r>
          </w:p>
        </w:tc>
      </w:tr>
      <w:tr w14:paraId="088E9A6A">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14:paraId="57E2155D">
            <w:pPr>
              <w:wordWrap/>
              <w:spacing w:line="360" w:lineRule="auto"/>
              <w:textAlignment w:val="auto"/>
              <w:rPr>
                <w:rFonts w:hint="eastAsia" w:ascii="宋体" w:hAnsi="宋体" w:eastAsia="宋体" w:cs="宋体"/>
                <w:color w:val="auto"/>
                <w:sz w:val="24"/>
                <w:szCs w:val="24"/>
                <w:highlight w:val="none"/>
              </w:rPr>
            </w:pPr>
          </w:p>
        </w:tc>
        <w:tc>
          <w:tcPr>
            <w:tcW w:w="3437" w:type="dxa"/>
            <w:tcBorders>
              <w:top w:val="outset" w:color="111111" w:sz="6" w:space="0"/>
              <w:left w:val="outset" w:color="111111" w:sz="6" w:space="0"/>
              <w:bottom w:val="outset" w:color="111111" w:sz="6" w:space="0"/>
              <w:right w:val="outset" w:color="111111" w:sz="6" w:space="0"/>
            </w:tcBorders>
            <w:vAlign w:val="center"/>
          </w:tcPr>
          <w:p w14:paraId="53FCAAAE">
            <w:pPr>
              <w:wordWrap/>
              <w:spacing w:line="360" w:lineRule="auto"/>
              <w:textAlignment w:val="auto"/>
              <w:rPr>
                <w:rFonts w:hint="eastAsia" w:ascii="宋体" w:hAnsi="宋体" w:eastAsia="宋体" w:cs="宋体"/>
                <w:color w:val="auto"/>
                <w:sz w:val="24"/>
                <w:szCs w:val="24"/>
                <w:highlight w:val="none"/>
              </w:rPr>
            </w:pPr>
          </w:p>
        </w:tc>
        <w:tc>
          <w:tcPr>
            <w:tcW w:w="2327" w:type="dxa"/>
            <w:tcBorders>
              <w:top w:val="outset" w:color="111111" w:sz="6" w:space="0"/>
              <w:left w:val="outset" w:color="111111" w:sz="6" w:space="0"/>
              <w:bottom w:val="outset" w:color="111111" w:sz="6" w:space="0"/>
              <w:right w:val="outset" w:color="111111" w:sz="6" w:space="0"/>
            </w:tcBorders>
            <w:vAlign w:val="center"/>
          </w:tcPr>
          <w:p w14:paraId="134D94D5">
            <w:pPr>
              <w:wordWrap/>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 □不通过</w:t>
            </w:r>
          </w:p>
        </w:tc>
        <w:tc>
          <w:tcPr>
            <w:tcW w:w="2782" w:type="dxa"/>
            <w:tcBorders>
              <w:top w:val="outset" w:color="111111" w:sz="6" w:space="0"/>
              <w:left w:val="outset" w:color="111111" w:sz="6" w:space="0"/>
              <w:bottom w:val="outset" w:color="111111" w:sz="6" w:space="0"/>
              <w:right w:val="outset" w:color="111111" w:sz="6" w:space="0"/>
            </w:tcBorders>
            <w:vAlign w:val="center"/>
          </w:tcPr>
          <w:p w14:paraId="6FB43881">
            <w:pPr>
              <w:wordWrap/>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见响应文件第（）页</w:t>
            </w:r>
          </w:p>
        </w:tc>
      </w:tr>
      <w:tr w14:paraId="72E3BCE8">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14:paraId="16D93C37">
            <w:pPr>
              <w:wordWrap/>
              <w:spacing w:line="360" w:lineRule="auto"/>
              <w:textAlignment w:val="auto"/>
              <w:rPr>
                <w:rFonts w:hint="eastAsia" w:ascii="宋体" w:hAnsi="宋体" w:eastAsia="宋体" w:cs="宋体"/>
                <w:color w:val="auto"/>
                <w:sz w:val="24"/>
                <w:szCs w:val="24"/>
                <w:highlight w:val="none"/>
              </w:rPr>
            </w:pPr>
          </w:p>
        </w:tc>
        <w:tc>
          <w:tcPr>
            <w:tcW w:w="3437" w:type="dxa"/>
            <w:tcBorders>
              <w:top w:val="outset" w:color="111111" w:sz="6" w:space="0"/>
              <w:left w:val="outset" w:color="111111" w:sz="6" w:space="0"/>
              <w:bottom w:val="outset" w:color="111111" w:sz="6" w:space="0"/>
              <w:right w:val="outset" w:color="111111" w:sz="6" w:space="0"/>
            </w:tcBorders>
            <w:vAlign w:val="center"/>
          </w:tcPr>
          <w:p w14:paraId="17358FBB">
            <w:pPr>
              <w:wordWrap/>
              <w:spacing w:line="360" w:lineRule="auto"/>
              <w:textAlignment w:val="auto"/>
              <w:rPr>
                <w:rFonts w:hint="eastAsia" w:ascii="宋体" w:hAnsi="宋体" w:eastAsia="宋体" w:cs="宋体"/>
                <w:color w:val="auto"/>
                <w:sz w:val="24"/>
                <w:szCs w:val="24"/>
                <w:highlight w:val="none"/>
              </w:rPr>
            </w:pPr>
          </w:p>
        </w:tc>
        <w:tc>
          <w:tcPr>
            <w:tcW w:w="2327" w:type="dxa"/>
            <w:tcBorders>
              <w:top w:val="outset" w:color="111111" w:sz="6" w:space="0"/>
              <w:left w:val="outset" w:color="111111" w:sz="6" w:space="0"/>
              <w:bottom w:val="outset" w:color="111111" w:sz="6" w:space="0"/>
              <w:right w:val="outset" w:color="111111" w:sz="6" w:space="0"/>
            </w:tcBorders>
            <w:vAlign w:val="center"/>
          </w:tcPr>
          <w:p w14:paraId="474F464E">
            <w:pPr>
              <w:wordWrap/>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 □不通过</w:t>
            </w:r>
          </w:p>
        </w:tc>
        <w:tc>
          <w:tcPr>
            <w:tcW w:w="2782" w:type="dxa"/>
            <w:tcBorders>
              <w:top w:val="outset" w:color="111111" w:sz="6" w:space="0"/>
              <w:left w:val="outset" w:color="111111" w:sz="6" w:space="0"/>
              <w:bottom w:val="outset" w:color="111111" w:sz="6" w:space="0"/>
              <w:right w:val="outset" w:color="111111" w:sz="6" w:space="0"/>
            </w:tcBorders>
            <w:vAlign w:val="center"/>
          </w:tcPr>
          <w:p w14:paraId="0F21570F">
            <w:pPr>
              <w:wordWrap/>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见响应文件第（）页</w:t>
            </w:r>
          </w:p>
        </w:tc>
      </w:tr>
      <w:tr w14:paraId="6B99BCA9">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14:paraId="425852DC">
            <w:pPr>
              <w:wordWrap/>
              <w:spacing w:line="360" w:lineRule="auto"/>
              <w:textAlignment w:val="auto"/>
              <w:rPr>
                <w:rFonts w:hint="eastAsia" w:ascii="宋体" w:hAnsi="宋体" w:eastAsia="宋体" w:cs="宋体"/>
                <w:color w:val="auto"/>
                <w:sz w:val="24"/>
                <w:szCs w:val="24"/>
                <w:highlight w:val="none"/>
              </w:rPr>
            </w:pPr>
          </w:p>
        </w:tc>
        <w:tc>
          <w:tcPr>
            <w:tcW w:w="3437" w:type="dxa"/>
            <w:tcBorders>
              <w:top w:val="outset" w:color="111111" w:sz="6" w:space="0"/>
              <w:left w:val="outset" w:color="111111" w:sz="6" w:space="0"/>
              <w:bottom w:val="outset" w:color="111111" w:sz="6" w:space="0"/>
              <w:right w:val="outset" w:color="111111" w:sz="6" w:space="0"/>
            </w:tcBorders>
            <w:vAlign w:val="center"/>
          </w:tcPr>
          <w:p w14:paraId="04011026">
            <w:pPr>
              <w:wordWrap/>
              <w:spacing w:line="360" w:lineRule="auto"/>
              <w:textAlignment w:val="auto"/>
              <w:rPr>
                <w:rFonts w:hint="eastAsia" w:ascii="宋体" w:hAnsi="宋体" w:eastAsia="宋体" w:cs="宋体"/>
                <w:color w:val="auto"/>
                <w:sz w:val="24"/>
                <w:szCs w:val="24"/>
                <w:highlight w:val="none"/>
              </w:rPr>
            </w:pPr>
          </w:p>
        </w:tc>
        <w:tc>
          <w:tcPr>
            <w:tcW w:w="2327" w:type="dxa"/>
            <w:tcBorders>
              <w:top w:val="outset" w:color="111111" w:sz="6" w:space="0"/>
              <w:left w:val="outset" w:color="111111" w:sz="6" w:space="0"/>
              <w:bottom w:val="outset" w:color="111111" w:sz="6" w:space="0"/>
              <w:right w:val="outset" w:color="111111" w:sz="6" w:space="0"/>
            </w:tcBorders>
            <w:vAlign w:val="center"/>
          </w:tcPr>
          <w:p w14:paraId="32F2DFAD">
            <w:pPr>
              <w:wordWrap/>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 □不通过</w:t>
            </w:r>
          </w:p>
        </w:tc>
        <w:tc>
          <w:tcPr>
            <w:tcW w:w="2782" w:type="dxa"/>
            <w:tcBorders>
              <w:top w:val="outset" w:color="111111" w:sz="6" w:space="0"/>
              <w:left w:val="outset" w:color="111111" w:sz="6" w:space="0"/>
              <w:bottom w:val="outset" w:color="111111" w:sz="6" w:space="0"/>
              <w:right w:val="outset" w:color="111111" w:sz="6" w:space="0"/>
            </w:tcBorders>
            <w:vAlign w:val="center"/>
          </w:tcPr>
          <w:p w14:paraId="6C49DB58">
            <w:pPr>
              <w:wordWrap/>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见响应文件第（）页</w:t>
            </w:r>
          </w:p>
        </w:tc>
      </w:tr>
      <w:tr w14:paraId="34977BD2">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14:paraId="11797145">
            <w:pPr>
              <w:wordWrap/>
              <w:spacing w:line="360" w:lineRule="auto"/>
              <w:textAlignment w:val="auto"/>
              <w:rPr>
                <w:rFonts w:hint="eastAsia" w:ascii="宋体" w:hAnsi="宋体" w:eastAsia="宋体" w:cs="宋体"/>
                <w:color w:val="auto"/>
                <w:sz w:val="24"/>
                <w:szCs w:val="24"/>
                <w:highlight w:val="none"/>
              </w:rPr>
            </w:pPr>
          </w:p>
        </w:tc>
        <w:tc>
          <w:tcPr>
            <w:tcW w:w="3437" w:type="dxa"/>
            <w:tcBorders>
              <w:top w:val="outset" w:color="111111" w:sz="6" w:space="0"/>
              <w:left w:val="outset" w:color="111111" w:sz="6" w:space="0"/>
              <w:bottom w:val="outset" w:color="111111" w:sz="6" w:space="0"/>
              <w:right w:val="outset" w:color="111111" w:sz="6" w:space="0"/>
            </w:tcBorders>
            <w:vAlign w:val="center"/>
          </w:tcPr>
          <w:p w14:paraId="3A7DE809">
            <w:pPr>
              <w:wordWrap/>
              <w:spacing w:line="360" w:lineRule="auto"/>
              <w:textAlignment w:val="auto"/>
              <w:rPr>
                <w:rFonts w:hint="eastAsia" w:ascii="宋体" w:hAnsi="宋体" w:eastAsia="宋体" w:cs="宋体"/>
                <w:color w:val="auto"/>
                <w:sz w:val="24"/>
                <w:szCs w:val="24"/>
                <w:highlight w:val="none"/>
              </w:rPr>
            </w:pPr>
          </w:p>
        </w:tc>
        <w:tc>
          <w:tcPr>
            <w:tcW w:w="2327" w:type="dxa"/>
            <w:tcBorders>
              <w:top w:val="outset" w:color="111111" w:sz="6" w:space="0"/>
              <w:left w:val="outset" w:color="111111" w:sz="6" w:space="0"/>
              <w:bottom w:val="outset" w:color="111111" w:sz="6" w:space="0"/>
              <w:right w:val="outset" w:color="111111" w:sz="6" w:space="0"/>
            </w:tcBorders>
            <w:vAlign w:val="center"/>
          </w:tcPr>
          <w:p w14:paraId="69154383">
            <w:pPr>
              <w:wordWrap/>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 □不通过</w:t>
            </w:r>
          </w:p>
        </w:tc>
        <w:tc>
          <w:tcPr>
            <w:tcW w:w="2782" w:type="dxa"/>
            <w:tcBorders>
              <w:top w:val="outset" w:color="111111" w:sz="6" w:space="0"/>
              <w:left w:val="outset" w:color="111111" w:sz="6" w:space="0"/>
              <w:bottom w:val="outset" w:color="111111" w:sz="6" w:space="0"/>
              <w:right w:val="outset" w:color="111111" w:sz="6" w:space="0"/>
            </w:tcBorders>
            <w:vAlign w:val="center"/>
          </w:tcPr>
          <w:p w14:paraId="6EEE025B">
            <w:pPr>
              <w:wordWrap/>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见响应文件第（）页</w:t>
            </w:r>
          </w:p>
        </w:tc>
      </w:tr>
      <w:tr w14:paraId="4558B5AB">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14:paraId="1FF25A36">
            <w:pPr>
              <w:wordWrap/>
              <w:spacing w:line="360" w:lineRule="auto"/>
              <w:textAlignment w:val="auto"/>
              <w:rPr>
                <w:rFonts w:hint="eastAsia" w:ascii="宋体" w:hAnsi="宋体" w:eastAsia="宋体" w:cs="宋体"/>
                <w:color w:val="auto"/>
                <w:sz w:val="24"/>
                <w:szCs w:val="24"/>
                <w:highlight w:val="none"/>
              </w:rPr>
            </w:pPr>
          </w:p>
        </w:tc>
        <w:tc>
          <w:tcPr>
            <w:tcW w:w="3437" w:type="dxa"/>
            <w:tcBorders>
              <w:top w:val="outset" w:color="111111" w:sz="6" w:space="0"/>
              <w:left w:val="outset" w:color="111111" w:sz="6" w:space="0"/>
              <w:bottom w:val="outset" w:color="111111" w:sz="6" w:space="0"/>
              <w:right w:val="outset" w:color="111111" w:sz="6" w:space="0"/>
            </w:tcBorders>
            <w:vAlign w:val="center"/>
          </w:tcPr>
          <w:p w14:paraId="6D04EDCE">
            <w:pPr>
              <w:wordWrap/>
              <w:spacing w:line="360" w:lineRule="auto"/>
              <w:textAlignment w:val="auto"/>
              <w:rPr>
                <w:rFonts w:hint="eastAsia" w:ascii="宋体" w:hAnsi="宋体" w:eastAsia="宋体" w:cs="宋体"/>
                <w:color w:val="auto"/>
                <w:sz w:val="24"/>
                <w:szCs w:val="24"/>
                <w:highlight w:val="none"/>
              </w:rPr>
            </w:pPr>
          </w:p>
        </w:tc>
        <w:tc>
          <w:tcPr>
            <w:tcW w:w="2327" w:type="dxa"/>
            <w:tcBorders>
              <w:top w:val="outset" w:color="111111" w:sz="6" w:space="0"/>
              <w:left w:val="outset" w:color="111111" w:sz="6" w:space="0"/>
              <w:bottom w:val="outset" w:color="111111" w:sz="6" w:space="0"/>
              <w:right w:val="outset" w:color="111111" w:sz="6" w:space="0"/>
            </w:tcBorders>
            <w:vAlign w:val="center"/>
          </w:tcPr>
          <w:p w14:paraId="56D1F97B">
            <w:pPr>
              <w:wordWrap/>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 □不通过</w:t>
            </w:r>
          </w:p>
        </w:tc>
        <w:tc>
          <w:tcPr>
            <w:tcW w:w="2782" w:type="dxa"/>
            <w:tcBorders>
              <w:top w:val="outset" w:color="111111" w:sz="6" w:space="0"/>
              <w:left w:val="outset" w:color="111111" w:sz="6" w:space="0"/>
              <w:bottom w:val="outset" w:color="111111" w:sz="6" w:space="0"/>
              <w:right w:val="outset" w:color="111111" w:sz="6" w:space="0"/>
            </w:tcBorders>
            <w:vAlign w:val="center"/>
          </w:tcPr>
          <w:p w14:paraId="293C007F">
            <w:pPr>
              <w:wordWrap/>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见响应文件第（）页</w:t>
            </w:r>
          </w:p>
        </w:tc>
      </w:tr>
      <w:tr w14:paraId="49FD06DE">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14:paraId="6ED84818">
            <w:pPr>
              <w:wordWrap/>
              <w:spacing w:line="360" w:lineRule="auto"/>
              <w:textAlignment w:val="auto"/>
              <w:rPr>
                <w:rFonts w:hint="eastAsia" w:ascii="宋体" w:hAnsi="宋体" w:eastAsia="宋体" w:cs="宋体"/>
                <w:color w:val="auto"/>
                <w:sz w:val="24"/>
                <w:szCs w:val="24"/>
                <w:highlight w:val="none"/>
              </w:rPr>
            </w:pPr>
          </w:p>
        </w:tc>
        <w:tc>
          <w:tcPr>
            <w:tcW w:w="3437" w:type="dxa"/>
            <w:tcBorders>
              <w:top w:val="outset" w:color="111111" w:sz="6" w:space="0"/>
              <w:left w:val="outset" w:color="111111" w:sz="6" w:space="0"/>
              <w:bottom w:val="outset" w:color="111111" w:sz="6" w:space="0"/>
              <w:right w:val="outset" w:color="111111" w:sz="6" w:space="0"/>
            </w:tcBorders>
            <w:vAlign w:val="center"/>
          </w:tcPr>
          <w:p w14:paraId="6E0497B0">
            <w:pPr>
              <w:wordWrap/>
              <w:spacing w:line="360" w:lineRule="auto"/>
              <w:textAlignment w:val="auto"/>
              <w:rPr>
                <w:rFonts w:hint="eastAsia" w:ascii="宋体" w:hAnsi="宋体" w:eastAsia="宋体" w:cs="宋体"/>
                <w:color w:val="auto"/>
                <w:sz w:val="24"/>
                <w:szCs w:val="24"/>
                <w:highlight w:val="none"/>
              </w:rPr>
            </w:pPr>
          </w:p>
        </w:tc>
        <w:tc>
          <w:tcPr>
            <w:tcW w:w="2327" w:type="dxa"/>
            <w:tcBorders>
              <w:top w:val="outset" w:color="111111" w:sz="6" w:space="0"/>
              <w:left w:val="outset" w:color="111111" w:sz="6" w:space="0"/>
              <w:bottom w:val="outset" w:color="111111" w:sz="6" w:space="0"/>
              <w:right w:val="outset" w:color="111111" w:sz="6" w:space="0"/>
            </w:tcBorders>
            <w:vAlign w:val="center"/>
          </w:tcPr>
          <w:p w14:paraId="5251DCC8">
            <w:pPr>
              <w:wordWrap/>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 □不通过</w:t>
            </w:r>
          </w:p>
        </w:tc>
        <w:tc>
          <w:tcPr>
            <w:tcW w:w="2782" w:type="dxa"/>
            <w:tcBorders>
              <w:top w:val="outset" w:color="111111" w:sz="6" w:space="0"/>
              <w:left w:val="outset" w:color="111111" w:sz="6" w:space="0"/>
              <w:bottom w:val="outset" w:color="111111" w:sz="6" w:space="0"/>
              <w:right w:val="outset" w:color="111111" w:sz="6" w:space="0"/>
            </w:tcBorders>
            <w:vAlign w:val="center"/>
          </w:tcPr>
          <w:p w14:paraId="5F4DD4A8">
            <w:pPr>
              <w:wordWrap/>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见响应文件第（）页</w:t>
            </w:r>
          </w:p>
        </w:tc>
      </w:tr>
      <w:tr w14:paraId="6BD7F482">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14:paraId="065F3B05">
            <w:pPr>
              <w:wordWrap/>
              <w:spacing w:line="360" w:lineRule="auto"/>
              <w:textAlignment w:val="auto"/>
              <w:rPr>
                <w:rFonts w:hint="eastAsia" w:ascii="宋体" w:hAnsi="宋体" w:eastAsia="宋体" w:cs="宋体"/>
                <w:color w:val="auto"/>
                <w:sz w:val="24"/>
                <w:szCs w:val="24"/>
                <w:highlight w:val="none"/>
              </w:rPr>
            </w:pPr>
          </w:p>
        </w:tc>
        <w:tc>
          <w:tcPr>
            <w:tcW w:w="3437" w:type="dxa"/>
            <w:tcBorders>
              <w:top w:val="outset" w:color="111111" w:sz="6" w:space="0"/>
              <w:left w:val="outset" w:color="111111" w:sz="6" w:space="0"/>
              <w:bottom w:val="outset" w:color="111111" w:sz="6" w:space="0"/>
              <w:right w:val="outset" w:color="111111" w:sz="6" w:space="0"/>
            </w:tcBorders>
            <w:vAlign w:val="center"/>
          </w:tcPr>
          <w:p w14:paraId="13F1591E">
            <w:pPr>
              <w:wordWrap/>
              <w:spacing w:line="360" w:lineRule="auto"/>
              <w:textAlignment w:val="auto"/>
              <w:rPr>
                <w:rFonts w:hint="eastAsia" w:ascii="宋体" w:hAnsi="宋体" w:eastAsia="宋体" w:cs="宋体"/>
                <w:color w:val="auto"/>
                <w:sz w:val="24"/>
                <w:szCs w:val="24"/>
                <w:highlight w:val="none"/>
              </w:rPr>
            </w:pPr>
          </w:p>
        </w:tc>
        <w:tc>
          <w:tcPr>
            <w:tcW w:w="2327" w:type="dxa"/>
            <w:tcBorders>
              <w:top w:val="outset" w:color="111111" w:sz="6" w:space="0"/>
              <w:left w:val="outset" w:color="111111" w:sz="6" w:space="0"/>
              <w:bottom w:val="outset" w:color="111111" w:sz="6" w:space="0"/>
              <w:right w:val="outset" w:color="111111" w:sz="6" w:space="0"/>
            </w:tcBorders>
            <w:vAlign w:val="center"/>
          </w:tcPr>
          <w:p w14:paraId="05E365AD">
            <w:pPr>
              <w:wordWrap/>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 □不通过</w:t>
            </w:r>
          </w:p>
        </w:tc>
        <w:tc>
          <w:tcPr>
            <w:tcW w:w="2782" w:type="dxa"/>
            <w:tcBorders>
              <w:top w:val="outset" w:color="111111" w:sz="6" w:space="0"/>
              <w:left w:val="outset" w:color="111111" w:sz="6" w:space="0"/>
              <w:bottom w:val="outset" w:color="111111" w:sz="6" w:space="0"/>
              <w:right w:val="outset" w:color="111111" w:sz="6" w:space="0"/>
            </w:tcBorders>
            <w:vAlign w:val="center"/>
          </w:tcPr>
          <w:p w14:paraId="33126955">
            <w:pPr>
              <w:wordWrap/>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见响应文件第（）页</w:t>
            </w:r>
          </w:p>
        </w:tc>
      </w:tr>
    </w:tbl>
    <w:p w14:paraId="5C782798">
      <w:pPr>
        <w:wordWrap/>
        <w:spacing w:line="360" w:lineRule="auto"/>
        <w:textAlignment w:val="auto"/>
        <w:rPr>
          <w:rFonts w:hint="eastAsia" w:ascii="宋体" w:hAnsi="宋体" w:eastAsia="宋体" w:cs="宋体"/>
          <w:b/>
          <w:color w:val="auto"/>
          <w:w w:val="90"/>
          <w:sz w:val="24"/>
          <w:szCs w:val="24"/>
          <w:highlight w:val="none"/>
        </w:rPr>
      </w:pPr>
      <w:r>
        <w:rPr>
          <w:rFonts w:hint="eastAsia" w:ascii="宋体" w:hAnsi="宋体" w:eastAsia="宋体" w:cs="宋体"/>
          <w:b/>
          <w:color w:val="auto"/>
          <w:sz w:val="24"/>
          <w:szCs w:val="24"/>
          <w:highlight w:val="none"/>
        </w:rPr>
        <w:t>注：1、以上材料将作为</w:t>
      </w:r>
      <w:r>
        <w:rPr>
          <w:rFonts w:hint="eastAsia" w:ascii="宋体" w:hAnsi="宋体" w:eastAsia="宋体" w:cs="宋体"/>
          <w:b/>
          <w:color w:val="auto"/>
          <w:sz w:val="24"/>
          <w:szCs w:val="24"/>
          <w:highlight w:val="none"/>
          <w:lang w:eastAsia="zh-CN"/>
        </w:rPr>
        <w:t>采购</w:t>
      </w:r>
      <w:r>
        <w:rPr>
          <w:rFonts w:hint="eastAsia" w:ascii="宋体" w:hAnsi="宋体" w:eastAsia="宋体" w:cs="宋体"/>
          <w:b/>
          <w:color w:val="auto"/>
          <w:sz w:val="24"/>
          <w:szCs w:val="24"/>
          <w:highlight w:val="none"/>
        </w:rPr>
        <w:t>供应商有效性审核的重要内容之一，供应商必须严格按照其内容及序列要求在响应文件中对应如</w:t>
      </w:r>
      <w:r>
        <w:rPr>
          <w:rFonts w:hint="eastAsia" w:ascii="宋体" w:hAnsi="宋体" w:eastAsia="宋体" w:cs="宋体"/>
          <w:b/>
          <w:color w:val="auto"/>
          <w:w w:val="90"/>
          <w:sz w:val="24"/>
          <w:szCs w:val="24"/>
          <w:highlight w:val="none"/>
        </w:rPr>
        <w:t>实提供，对资格性和符合性证明文件的任何缺漏和不符合项将会直接导致响应文件无效！供应商根据自查结论在对应的□打“√”。</w:t>
      </w:r>
    </w:p>
    <w:p w14:paraId="228DBDAD">
      <w:pPr>
        <w:wordWrap/>
        <w:spacing w:line="360" w:lineRule="auto"/>
        <w:textAlignment w:val="auto"/>
        <w:rPr>
          <w:rFonts w:hint="eastAsia" w:ascii="宋体" w:hAnsi="宋体" w:eastAsia="宋体" w:cs="宋体"/>
          <w:b/>
          <w:color w:val="auto"/>
          <w:w w:val="90"/>
          <w:sz w:val="24"/>
          <w:szCs w:val="24"/>
          <w:highlight w:val="none"/>
        </w:rPr>
      </w:pPr>
      <w:r>
        <w:rPr>
          <w:rFonts w:hint="eastAsia" w:ascii="宋体" w:hAnsi="宋体" w:eastAsia="宋体" w:cs="宋体"/>
          <w:b/>
          <w:color w:val="auto"/>
          <w:w w:val="90"/>
          <w:sz w:val="24"/>
          <w:szCs w:val="24"/>
          <w:highlight w:val="none"/>
        </w:rPr>
        <w:t>2、各供应商按此表格式填写，表格不够时可自行添加。</w:t>
      </w:r>
    </w:p>
    <w:p w14:paraId="59C4DEA5">
      <w:pPr>
        <w:pStyle w:val="33"/>
        <w:spacing w:line="360" w:lineRule="auto"/>
        <w:jc w:val="center"/>
        <w:rPr>
          <w:rFonts w:hint="eastAsia" w:ascii="宋体" w:hAnsi="宋体" w:eastAsia="宋体" w:cs="宋体"/>
          <w:color w:val="auto"/>
          <w:sz w:val="24"/>
          <w:szCs w:val="24"/>
          <w:highlight w:val="none"/>
        </w:rPr>
      </w:pPr>
    </w:p>
    <w:p w14:paraId="56237040">
      <w:pPr>
        <w:pStyle w:val="3"/>
        <w:spacing w:before="0" w:after="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第五章  </w:t>
      </w:r>
      <w:r>
        <w:rPr>
          <w:rFonts w:hint="eastAsia" w:ascii="宋体" w:hAnsi="宋体" w:eastAsia="宋体" w:cs="宋体"/>
          <w:color w:val="auto"/>
          <w:sz w:val="28"/>
          <w:szCs w:val="28"/>
          <w:highlight w:val="none"/>
          <w:lang w:eastAsia="zh-CN"/>
        </w:rPr>
        <w:t>评审标准</w:t>
      </w:r>
      <w:r>
        <w:rPr>
          <w:rFonts w:hint="eastAsia" w:ascii="宋体" w:hAnsi="宋体" w:eastAsia="宋体" w:cs="宋体"/>
          <w:color w:val="auto"/>
          <w:sz w:val="28"/>
          <w:szCs w:val="28"/>
          <w:highlight w:val="none"/>
        </w:rPr>
        <w:t>（综合评分法）</w:t>
      </w:r>
    </w:p>
    <w:p w14:paraId="26AB9C43">
      <w:pPr>
        <w:pStyle w:val="5"/>
        <w:spacing w:before="0" w:after="0" w:line="360" w:lineRule="auto"/>
        <w:rPr>
          <w:rFonts w:hint="eastAsia" w:ascii="宋体" w:hAnsi="宋体" w:eastAsia="宋体" w:cs="宋体"/>
          <w:b w:val="0"/>
          <w:bCs w:val="0"/>
          <w:color w:val="auto"/>
          <w:sz w:val="24"/>
          <w:highlight w:val="none"/>
          <w:lang w:eastAsia="zh-CN"/>
        </w:rPr>
      </w:pPr>
      <w:r>
        <w:rPr>
          <w:rFonts w:hint="eastAsia" w:ascii="宋体" w:hAnsi="宋体" w:eastAsia="宋体" w:cs="宋体"/>
          <w:b/>
          <w:bCs/>
          <w:color w:val="auto"/>
          <w:sz w:val="24"/>
          <w:highlight w:val="none"/>
        </w:rPr>
        <w:t>1、资格性审查</w:t>
      </w:r>
    </w:p>
    <w:tbl>
      <w:tblPr>
        <w:tblStyle w:val="59"/>
        <w:tblW w:w="10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5642"/>
        <w:gridCol w:w="3658"/>
      </w:tblGrid>
      <w:tr w14:paraId="1F1BE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845" w:type="dxa"/>
            <w:vAlign w:val="center"/>
          </w:tcPr>
          <w:p w14:paraId="549F440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642" w:type="dxa"/>
            <w:vAlign w:val="center"/>
          </w:tcPr>
          <w:p w14:paraId="1000EE9C">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评审因素</w:t>
            </w:r>
          </w:p>
        </w:tc>
        <w:tc>
          <w:tcPr>
            <w:tcW w:w="3658" w:type="dxa"/>
            <w:vAlign w:val="center"/>
          </w:tcPr>
          <w:p w14:paraId="03986B9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评审标准</w:t>
            </w:r>
          </w:p>
        </w:tc>
      </w:tr>
      <w:tr w14:paraId="30EEC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trPr>
        <w:tc>
          <w:tcPr>
            <w:tcW w:w="845" w:type="dxa"/>
            <w:vAlign w:val="center"/>
          </w:tcPr>
          <w:p w14:paraId="4FD97F7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5642" w:type="dxa"/>
            <w:vAlign w:val="center"/>
          </w:tcPr>
          <w:p w14:paraId="37205073">
            <w:pPr>
              <w:rPr>
                <w:rFonts w:hint="eastAsia" w:ascii="宋体" w:hAnsi="宋体" w:eastAsia="宋体" w:cs="宋体"/>
                <w:color w:val="auto"/>
                <w:sz w:val="24"/>
                <w:highlight w:val="none"/>
              </w:rPr>
            </w:pPr>
            <w:r>
              <w:rPr>
                <w:rFonts w:hint="eastAsia" w:ascii="宋体" w:hAnsi="宋体" w:eastAsia="宋体" w:cs="宋体"/>
                <w:color w:val="auto"/>
                <w:sz w:val="24"/>
                <w:highlight w:val="none"/>
              </w:rPr>
              <w:t>符合《中华人民共和国政府采购法》第二十二条的规定</w:t>
            </w:r>
          </w:p>
        </w:tc>
        <w:tc>
          <w:tcPr>
            <w:tcW w:w="3658" w:type="dxa"/>
            <w:vAlign w:val="center"/>
          </w:tcPr>
          <w:p w14:paraId="67A20C7D">
            <w:pPr>
              <w:rPr>
                <w:rFonts w:hint="eastAsia" w:ascii="宋体" w:hAnsi="宋体" w:eastAsia="宋体" w:cs="宋体"/>
                <w:color w:val="auto"/>
                <w:sz w:val="24"/>
                <w:highlight w:val="none"/>
              </w:rPr>
            </w:pPr>
            <w:r>
              <w:rPr>
                <w:rFonts w:hint="eastAsia" w:ascii="宋体" w:hAnsi="宋体" w:eastAsia="宋体" w:cs="宋体"/>
                <w:color w:val="auto"/>
                <w:sz w:val="24"/>
                <w:highlight w:val="none"/>
              </w:rPr>
              <w:t>符合本采购文件规定</w:t>
            </w:r>
          </w:p>
        </w:tc>
      </w:tr>
      <w:tr w14:paraId="79422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trPr>
        <w:tc>
          <w:tcPr>
            <w:tcW w:w="845" w:type="dxa"/>
            <w:vAlign w:val="center"/>
          </w:tcPr>
          <w:p w14:paraId="5DD0A466">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2</w:t>
            </w:r>
          </w:p>
        </w:tc>
        <w:tc>
          <w:tcPr>
            <w:tcW w:w="5642" w:type="dxa"/>
            <w:vAlign w:val="center"/>
          </w:tcPr>
          <w:p w14:paraId="338CA27F">
            <w:pPr>
              <w:rPr>
                <w:rFonts w:hint="eastAsia" w:ascii="宋体" w:hAnsi="宋体" w:eastAsia="宋体" w:cs="宋体"/>
                <w:color w:val="auto"/>
                <w:sz w:val="24"/>
                <w:highlight w:val="none"/>
              </w:rPr>
            </w:pPr>
            <w:r>
              <w:rPr>
                <w:rFonts w:hint="eastAsia" w:cs="宋体"/>
                <w:color w:val="auto"/>
                <w:sz w:val="24"/>
                <w:szCs w:val="24"/>
                <w:highlight w:val="none"/>
                <w:lang w:val="en-US" w:eastAsia="zh-CN"/>
              </w:rPr>
              <w:t>本项目专门面向中小企业</w:t>
            </w:r>
          </w:p>
        </w:tc>
        <w:tc>
          <w:tcPr>
            <w:tcW w:w="3658" w:type="dxa"/>
            <w:vAlign w:val="center"/>
          </w:tcPr>
          <w:p w14:paraId="76EBCBB6">
            <w:pPr>
              <w:rPr>
                <w:rFonts w:hint="eastAsia" w:ascii="宋体" w:hAnsi="宋体" w:eastAsia="宋体" w:cs="宋体"/>
                <w:color w:val="auto"/>
                <w:sz w:val="24"/>
                <w:highlight w:val="none"/>
              </w:rPr>
            </w:pPr>
            <w:r>
              <w:rPr>
                <w:rFonts w:hint="eastAsia" w:ascii="宋体" w:hAnsi="宋体" w:eastAsia="宋体" w:cs="宋体"/>
                <w:color w:val="auto"/>
                <w:sz w:val="24"/>
                <w:highlight w:val="none"/>
              </w:rPr>
              <w:t>《中小企业声明函》</w:t>
            </w:r>
          </w:p>
        </w:tc>
      </w:tr>
      <w:tr w14:paraId="28D58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trPr>
        <w:tc>
          <w:tcPr>
            <w:tcW w:w="845" w:type="dxa"/>
            <w:vAlign w:val="center"/>
          </w:tcPr>
          <w:p w14:paraId="6284FDB5">
            <w:pPr>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p>
        </w:tc>
        <w:tc>
          <w:tcPr>
            <w:tcW w:w="5642" w:type="dxa"/>
            <w:vAlign w:val="center"/>
          </w:tcPr>
          <w:p w14:paraId="7A4625E6">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highlight w:val="none"/>
              </w:rPr>
              <w:t>本项目不接受联合体供应商</w:t>
            </w:r>
          </w:p>
        </w:tc>
        <w:tc>
          <w:tcPr>
            <w:tcW w:w="3658" w:type="dxa"/>
            <w:vAlign w:val="center"/>
          </w:tcPr>
          <w:p w14:paraId="43B068EB">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highlight w:val="none"/>
              </w:rPr>
              <w:t>符合本采购文件规定</w:t>
            </w:r>
          </w:p>
        </w:tc>
      </w:tr>
    </w:tbl>
    <w:p w14:paraId="56A4F6EF">
      <w:pPr>
        <w:rPr>
          <w:rFonts w:hint="eastAsia" w:ascii="宋体" w:hAnsi="宋体" w:eastAsia="宋体" w:cs="宋体"/>
          <w:color w:val="auto"/>
          <w:kern w:val="0"/>
          <w:sz w:val="24"/>
          <w:highlight w:val="none"/>
        </w:rPr>
      </w:pPr>
    </w:p>
    <w:p w14:paraId="41EA3652">
      <w:pPr>
        <w:rPr>
          <w:rFonts w:hint="eastAsia" w:ascii="宋体" w:hAnsi="宋体" w:eastAsia="宋体" w:cs="宋体"/>
          <w:color w:val="auto"/>
          <w:kern w:val="0"/>
          <w:sz w:val="24"/>
          <w:highlight w:val="none"/>
        </w:rPr>
      </w:pPr>
    </w:p>
    <w:p w14:paraId="1DB5F6C6">
      <w:pPr>
        <w:pStyle w:val="2"/>
        <w:rPr>
          <w:rFonts w:hint="eastAsia"/>
          <w:color w:val="auto"/>
          <w:highlight w:val="none"/>
        </w:rPr>
      </w:pPr>
    </w:p>
    <w:p w14:paraId="2D3107F8">
      <w:pPr>
        <w:pStyle w:val="5"/>
        <w:spacing w:before="0" w:after="0" w:line="360" w:lineRule="auto"/>
        <w:rPr>
          <w:rFonts w:hint="eastAsia" w:ascii="宋体" w:hAnsi="宋体" w:eastAsia="宋体" w:cs="宋体"/>
          <w:b w:val="0"/>
          <w:bCs w:val="0"/>
          <w:color w:val="auto"/>
          <w:sz w:val="24"/>
          <w:highlight w:val="none"/>
          <w:lang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符合性审查</w:t>
      </w:r>
    </w:p>
    <w:tbl>
      <w:tblPr>
        <w:tblStyle w:val="59"/>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151"/>
        <w:gridCol w:w="2333"/>
        <w:gridCol w:w="5906"/>
      </w:tblGrid>
      <w:tr w14:paraId="2FCEF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83" w:type="dxa"/>
            <w:vAlign w:val="center"/>
          </w:tcPr>
          <w:p w14:paraId="4258C09D">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序号</w:t>
            </w:r>
          </w:p>
        </w:tc>
        <w:tc>
          <w:tcPr>
            <w:tcW w:w="3484" w:type="dxa"/>
            <w:gridSpan w:val="2"/>
            <w:vAlign w:val="center"/>
          </w:tcPr>
          <w:p w14:paraId="08E63A9C">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评审因素</w:t>
            </w:r>
          </w:p>
        </w:tc>
        <w:tc>
          <w:tcPr>
            <w:tcW w:w="5906" w:type="dxa"/>
            <w:vAlign w:val="center"/>
          </w:tcPr>
          <w:p w14:paraId="6C9DC774">
            <w:pP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评审标准</w:t>
            </w:r>
          </w:p>
        </w:tc>
      </w:tr>
      <w:tr w14:paraId="17068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83" w:type="dxa"/>
            <w:vMerge w:val="restart"/>
            <w:vAlign w:val="center"/>
          </w:tcPr>
          <w:p w14:paraId="39978241">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1151" w:type="dxa"/>
            <w:vMerge w:val="restart"/>
            <w:vAlign w:val="center"/>
          </w:tcPr>
          <w:p w14:paraId="7CDB70A1">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有效性审查</w:t>
            </w:r>
          </w:p>
        </w:tc>
        <w:tc>
          <w:tcPr>
            <w:tcW w:w="2333" w:type="dxa"/>
            <w:vAlign w:val="center"/>
          </w:tcPr>
          <w:p w14:paraId="09D4488A">
            <w:pPr>
              <w:spacing w:line="500" w:lineRule="exac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zh-CN"/>
              </w:rPr>
              <w:t>响应文件</w:t>
            </w:r>
            <w:r>
              <w:rPr>
                <w:rFonts w:hint="eastAsia" w:ascii="宋体" w:hAnsi="宋体" w:eastAsia="宋体" w:cs="宋体"/>
                <w:color w:val="auto"/>
                <w:sz w:val="24"/>
                <w:highlight w:val="none"/>
              </w:rPr>
              <w:t>签署</w:t>
            </w:r>
          </w:p>
        </w:tc>
        <w:tc>
          <w:tcPr>
            <w:tcW w:w="5906" w:type="dxa"/>
            <w:vAlign w:val="center"/>
          </w:tcPr>
          <w:p w14:paraId="30A21876">
            <w:pPr>
              <w:spacing w:line="500" w:lineRule="exac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zh-CN"/>
              </w:rPr>
              <w:t>响应文件</w:t>
            </w:r>
            <w:r>
              <w:rPr>
                <w:rFonts w:hint="eastAsia" w:ascii="宋体" w:hAnsi="宋体" w:eastAsia="宋体" w:cs="宋体"/>
                <w:color w:val="auto"/>
                <w:sz w:val="24"/>
                <w:highlight w:val="none"/>
              </w:rPr>
              <w:t>中法定代表人或其委托代理人的签字或盖章齐全。</w:t>
            </w:r>
          </w:p>
        </w:tc>
      </w:tr>
      <w:tr w14:paraId="7BFC3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783" w:type="dxa"/>
            <w:vMerge w:val="continue"/>
            <w:vAlign w:val="center"/>
          </w:tcPr>
          <w:p w14:paraId="034A5ED5">
            <w:pPr>
              <w:rPr>
                <w:rFonts w:hint="eastAsia" w:ascii="宋体" w:hAnsi="宋体" w:eastAsia="宋体" w:cs="宋体"/>
                <w:color w:val="auto"/>
                <w:kern w:val="0"/>
                <w:sz w:val="24"/>
                <w:highlight w:val="none"/>
              </w:rPr>
            </w:pPr>
          </w:p>
        </w:tc>
        <w:tc>
          <w:tcPr>
            <w:tcW w:w="1151" w:type="dxa"/>
            <w:vMerge w:val="continue"/>
            <w:vAlign w:val="center"/>
          </w:tcPr>
          <w:p w14:paraId="16E7D5FC">
            <w:pPr>
              <w:rPr>
                <w:rFonts w:hint="eastAsia" w:ascii="宋体" w:hAnsi="宋体" w:eastAsia="宋体" w:cs="宋体"/>
                <w:color w:val="auto"/>
                <w:kern w:val="0"/>
                <w:sz w:val="24"/>
                <w:highlight w:val="none"/>
              </w:rPr>
            </w:pPr>
          </w:p>
        </w:tc>
        <w:tc>
          <w:tcPr>
            <w:tcW w:w="2333" w:type="dxa"/>
            <w:vAlign w:val="center"/>
          </w:tcPr>
          <w:p w14:paraId="63B429AD">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法定代表人身份证明及授权委托书</w:t>
            </w:r>
          </w:p>
        </w:tc>
        <w:tc>
          <w:tcPr>
            <w:tcW w:w="5906" w:type="dxa"/>
            <w:vAlign w:val="center"/>
          </w:tcPr>
          <w:p w14:paraId="5D3D21FC">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法定代表人身份证明及授权委托书有效，且符合磋商文件规定的格式，签字或盖章齐全。</w:t>
            </w:r>
          </w:p>
        </w:tc>
      </w:tr>
      <w:tr w14:paraId="71F5B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83" w:type="dxa"/>
            <w:vAlign w:val="center"/>
          </w:tcPr>
          <w:p w14:paraId="1D716B8D">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1151" w:type="dxa"/>
            <w:vAlign w:val="center"/>
          </w:tcPr>
          <w:p w14:paraId="6CB1C252">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完整性审查</w:t>
            </w:r>
          </w:p>
        </w:tc>
        <w:tc>
          <w:tcPr>
            <w:tcW w:w="2333" w:type="dxa"/>
            <w:vAlign w:val="center"/>
          </w:tcPr>
          <w:p w14:paraId="47616E01">
            <w:pPr>
              <w:spacing w:line="500" w:lineRule="exact"/>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sz w:val="24"/>
                <w:highlight w:val="none"/>
                <w:lang w:val="zh-CN"/>
              </w:rPr>
              <w:t>响应文件内容</w:t>
            </w:r>
          </w:p>
        </w:tc>
        <w:tc>
          <w:tcPr>
            <w:tcW w:w="5906" w:type="dxa"/>
            <w:vAlign w:val="center"/>
          </w:tcPr>
          <w:p w14:paraId="6F8CD0B7">
            <w:pPr>
              <w:spacing w:line="500" w:lineRule="exact"/>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sz w:val="24"/>
                <w:highlight w:val="none"/>
                <w:lang w:val="zh-CN"/>
              </w:rPr>
              <w:t>响应文件内容齐全、无遗漏。</w:t>
            </w:r>
          </w:p>
        </w:tc>
      </w:tr>
      <w:tr w14:paraId="33F88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83" w:type="dxa"/>
            <w:vMerge w:val="restart"/>
            <w:vAlign w:val="center"/>
          </w:tcPr>
          <w:p w14:paraId="7D7D9547">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1151" w:type="dxa"/>
            <w:vMerge w:val="restart"/>
            <w:vAlign w:val="center"/>
          </w:tcPr>
          <w:p w14:paraId="4AD7A00B">
            <w:pPr>
              <w:rPr>
                <w:rFonts w:hint="eastAsia" w:ascii="宋体" w:hAnsi="宋体" w:eastAsia="宋体" w:cs="宋体"/>
                <w:color w:val="auto"/>
                <w:sz w:val="24"/>
                <w:highlight w:val="none"/>
                <w:lang w:val="zh-CN"/>
              </w:rPr>
            </w:pPr>
            <w:r>
              <w:rPr>
                <w:rFonts w:hint="eastAsia" w:ascii="宋体" w:hAnsi="宋体" w:eastAsia="宋体" w:cs="宋体"/>
                <w:color w:val="auto"/>
                <w:kern w:val="0"/>
                <w:sz w:val="24"/>
                <w:highlight w:val="none"/>
              </w:rPr>
              <w:t>采购文件的响应程度审查</w:t>
            </w:r>
          </w:p>
        </w:tc>
        <w:tc>
          <w:tcPr>
            <w:tcW w:w="2333" w:type="dxa"/>
            <w:vAlign w:val="center"/>
          </w:tcPr>
          <w:p w14:paraId="5978080E">
            <w:pPr>
              <w:spacing w:line="500" w:lineRule="exac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zh-CN"/>
              </w:rPr>
              <w:t>响应文件</w:t>
            </w:r>
            <w:r>
              <w:rPr>
                <w:rFonts w:hint="eastAsia" w:ascii="宋体" w:hAnsi="宋体" w:eastAsia="宋体" w:cs="宋体"/>
                <w:color w:val="auto"/>
                <w:kern w:val="0"/>
                <w:sz w:val="24"/>
                <w:highlight w:val="none"/>
              </w:rPr>
              <w:t>内容</w:t>
            </w:r>
          </w:p>
        </w:tc>
        <w:tc>
          <w:tcPr>
            <w:tcW w:w="5906" w:type="dxa"/>
            <w:vAlign w:val="center"/>
          </w:tcPr>
          <w:p w14:paraId="3CBE6107">
            <w:pPr>
              <w:pStyle w:val="35"/>
              <w:spacing w:line="500" w:lineRule="exact"/>
              <w:ind w:left="0" w:left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对磋商文件规定的内容全部做出响应。</w:t>
            </w:r>
          </w:p>
        </w:tc>
      </w:tr>
      <w:tr w14:paraId="55E1B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83" w:type="dxa"/>
            <w:vMerge w:val="continue"/>
            <w:vAlign w:val="center"/>
          </w:tcPr>
          <w:p w14:paraId="329B3E0C">
            <w:pPr>
              <w:rPr>
                <w:rFonts w:hint="eastAsia" w:ascii="宋体" w:hAnsi="宋体" w:eastAsia="宋体" w:cs="宋体"/>
                <w:color w:val="auto"/>
                <w:kern w:val="0"/>
                <w:sz w:val="24"/>
                <w:highlight w:val="none"/>
              </w:rPr>
            </w:pPr>
          </w:p>
        </w:tc>
        <w:tc>
          <w:tcPr>
            <w:tcW w:w="1151" w:type="dxa"/>
            <w:vMerge w:val="continue"/>
            <w:vAlign w:val="center"/>
          </w:tcPr>
          <w:p w14:paraId="6B3AFCC5">
            <w:pPr>
              <w:rPr>
                <w:rFonts w:hint="eastAsia" w:ascii="宋体" w:hAnsi="宋体" w:eastAsia="宋体" w:cs="宋体"/>
                <w:color w:val="auto"/>
                <w:kern w:val="0"/>
                <w:sz w:val="24"/>
                <w:highlight w:val="none"/>
              </w:rPr>
            </w:pPr>
          </w:p>
        </w:tc>
        <w:tc>
          <w:tcPr>
            <w:tcW w:w="2333" w:type="dxa"/>
            <w:vAlign w:val="center"/>
          </w:tcPr>
          <w:p w14:paraId="7B1CA657">
            <w:pPr>
              <w:spacing w:line="5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质量技术</w:t>
            </w:r>
          </w:p>
        </w:tc>
        <w:tc>
          <w:tcPr>
            <w:tcW w:w="5906" w:type="dxa"/>
            <w:vAlign w:val="center"/>
          </w:tcPr>
          <w:p w14:paraId="7912DEEF">
            <w:pPr>
              <w:spacing w:line="5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满足磋商文件提出的质量、技术要求。</w:t>
            </w:r>
          </w:p>
        </w:tc>
      </w:tr>
      <w:tr w14:paraId="70022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83" w:type="dxa"/>
            <w:vMerge w:val="continue"/>
            <w:vAlign w:val="center"/>
          </w:tcPr>
          <w:p w14:paraId="51B7C20B">
            <w:pPr>
              <w:rPr>
                <w:rFonts w:hint="eastAsia" w:ascii="宋体" w:hAnsi="宋体" w:eastAsia="宋体" w:cs="宋体"/>
                <w:color w:val="auto"/>
                <w:kern w:val="0"/>
                <w:sz w:val="24"/>
                <w:highlight w:val="none"/>
              </w:rPr>
            </w:pPr>
          </w:p>
        </w:tc>
        <w:tc>
          <w:tcPr>
            <w:tcW w:w="1151" w:type="dxa"/>
            <w:vMerge w:val="continue"/>
            <w:vAlign w:val="center"/>
          </w:tcPr>
          <w:p w14:paraId="0E63776C">
            <w:pPr>
              <w:rPr>
                <w:rFonts w:hint="eastAsia" w:ascii="宋体" w:hAnsi="宋体" w:eastAsia="宋体" w:cs="宋体"/>
                <w:color w:val="auto"/>
                <w:kern w:val="0"/>
                <w:sz w:val="24"/>
                <w:highlight w:val="none"/>
              </w:rPr>
            </w:pPr>
          </w:p>
        </w:tc>
        <w:tc>
          <w:tcPr>
            <w:tcW w:w="2333" w:type="dxa"/>
            <w:vAlign w:val="center"/>
          </w:tcPr>
          <w:p w14:paraId="51AEB41F">
            <w:pP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服务期限</w:t>
            </w:r>
          </w:p>
        </w:tc>
        <w:tc>
          <w:tcPr>
            <w:tcW w:w="5906" w:type="dxa"/>
            <w:vAlign w:val="center"/>
          </w:tcPr>
          <w:p w14:paraId="1396A865">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满足采购文件</w:t>
            </w:r>
            <w:r>
              <w:rPr>
                <w:rFonts w:hint="eastAsia" w:ascii="宋体" w:hAnsi="宋体" w:eastAsia="宋体" w:cs="宋体"/>
                <w:color w:val="auto"/>
                <w:sz w:val="24"/>
                <w:highlight w:val="none"/>
                <w:lang w:val="zh-CN"/>
              </w:rPr>
              <w:t>规定</w:t>
            </w:r>
            <w:r>
              <w:rPr>
                <w:rFonts w:hint="eastAsia" w:ascii="宋体" w:hAnsi="宋体" w:eastAsia="宋体" w:cs="宋体"/>
                <w:color w:val="auto"/>
                <w:kern w:val="0"/>
                <w:sz w:val="24"/>
                <w:highlight w:val="none"/>
              </w:rPr>
              <w:t>。</w:t>
            </w:r>
          </w:p>
        </w:tc>
      </w:tr>
      <w:tr w14:paraId="288EF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83" w:type="dxa"/>
            <w:vMerge w:val="continue"/>
            <w:vAlign w:val="center"/>
          </w:tcPr>
          <w:p w14:paraId="67BFD1C5">
            <w:pPr>
              <w:rPr>
                <w:rFonts w:hint="eastAsia" w:ascii="宋体" w:hAnsi="宋体" w:eastAsia="宋体" w:cs="宋体"/>
                <w:color w:val="auto"/>
                <w:kern w:val="0"/>
                <w:sz w:val="24"/>
                <w:highlight w:val="none"/>
              </w:rPr>
            </w:pPr>
          </w:p>
        </w:tc>
        <w:tc>
          <w:tcPr>
            <w:tcW w:w="1151" w:type="dxa"/>
            <w:vMerge w:val="continue"/>
            <w:vAlign w:val="center"/>
          </w:tcPr>
          <w:p w14:paraId="35981792">
            <w:pPr>
              <w:rPr>
                <w:rFonts w:hint="eastAsia" w:ascii="宋体" w:hAnsi="宋体" w:eastAsia="宋体" w:cs="宋体"/>
                <w:color w:val="auto"/>
                <w:kern w:val="0"/>
                <w:sz w:val="24"/>
                <w:highlight w:val="none"/>
              </w:rPr>
            </w:pPr>
          </w:p>
        </w:tc>
        <w:tc>
          <w:tcPr>
            <w:tcW w:w="2333" w:type="dxa"/>
            <w:vAlign w:val="center"/>
          </w:tcPr>
          <w:p w14:paraId="6F4D0D38">
            <w:pP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eastAsia="zh-CN"/>
              </w:rPr>
              <w:t>质量保修期</w:t>
            </w:r>
          </w:p>
        </w:tc>
        <w:tc>
          <w:tcPr>
            <w:tcW w:w="5906" w:type="dxa"/>
            <w:vAlign w:val="center"/>
          </w:tcPr>
          <w:p w14:paraId="4200FD40">
            <w:pP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eastAsia="zh-CN"/>
              </w:rPr>
              <w:t>满足磋商文件</w:t>
            </w:r>
            <w:r>
              <w:rPr>
                <w:rFonts w:hint="eastAsia" w:ascii="宋体" w:hAnsi="宋体" w:eastAsia="宋体" w:cs="宋体"/>
                <w:color w:val="auto"/>
                <w:kern w:val="0"/>
                <w:sz w:val="24"/>
                <w:highlight w:val="none"/>
                <w:lang w:val="zh-CN" w:eastAsia="zh-CN"/>
              </w:rPr>
              <w:t>规定</w:t>
            </w:r>
            <w:r>
              <w:rPr>
                <w:rFonts w:hint="eastAsia" w:ascii="宋体" w:hAnsi="宋体" w:eastAsia="宋体" w:cs="宋体"/>
                <w:color w:val="auto"/>
                <w:kern w:val="0"/>
                <w:sz w:val="24"/>
                <w:highlight w:val="none"/>
                <w:lang w:eastAsia="zh-CN"/>
              </w:rPr>
              <w:t>。</w:t>
            </w:r>
          </w:p>
        </w:tc>
      </w:tr>
      <w:tr w14:paraId="3B028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83" w:type="dxa"/>
            <w:vMerge w:val="continue"/>
            <w:vAlign w:val="center"/>
          </w:tcPr>
          <w:p w14:paraId="1B6D568A">
            <w:pPr>
              <w:rPr>
                <w:rFonts w:hint="eastAsia" w:ascii="宋体" w:hAnsi="宋体" w:eastAsia="宋体" w:cs="宋体"/>
                <w:color w:val="auto"/>
                <w:kern w:val="0"/>
                <w:sz w:val="24"/>
                <w:highlight w:val="none"/>
              </w:rPr>
            </w:pPr>
          </w:p>
        </w:tc>
        <w:tc>
          <w:tcPr>
            <w:tcW w:w="1151" w:type="dxa"/>
            <w:vMerge w:val="continue"/>
            <w:vAlign w:val="center"/>
          </w:tcPr>
          <w:p w14:paraId="23AABF21">
            <w:pPr>
              <w:rPr>
                <w:rFonts w:hint="eastAsia" w:ascii="宋体" w:hAnsi="宋体" w:eastAsia="宋体" w:cs="宋体"/>
                <w:color w:val="auto"/>
                <w:sz w:val="24"/>
                <w:highlight w:val="none"/>
                <w:lang w:val="zh-CN"/>
              </w:rPr>
            </w:pPr>
          </w:p>
        </w:tc>
        <w:tc>
          <w:tcPr>
            <w:tcW w:w="2333" w:type="dxa"/>
            <w:vAlign w:val="center"/>
          </w:tcPr>
          <w:p w14:paraId="3D81D63E">
            <w:pPr>
              <w:spacing w:line="500" w:lineRule="exac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zh-CN"/>
              </w:rPr>
              <w:t>响应文件</w:t>
            </w:r>
            <w:r>
              <w:rPr>
                <w:rFonts w:hint="eastAsia" w:ascii="宋体" w:hAnsi="宋体" w:eastAsia="宋体" w:cs="宋体"/>
                <w:color w:val="auto"/>
                <w:kern w:val="0"/>
                <w:sz w:val="24"/>
                <w:highlight w:val="none"/>
              </w:rPr>
              <w:t>有效期</w:t>
            </w:r>
          </w:p>
        </w:tc>
        <w:tc>
          <w:tcPr>
            <w:tcW w:w="5906" w:type="dxa"/>
            <w:vAlign w:val="center"/>
          </w:tcPr>
          <w:p w14:paraId="1221DB7A">
            <w:pPr>
              <w:spacing w:line="5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满足磋商文件</w:t>
            </w:r>
            <w:r>
              <w:rPr>
                <w:rFonts w:hint="eastAsia" w:ascii="宋体" w:hAnsi="宋体" w:eastAsia="宋体" w:cs="宋体"/>
                <w:color w:val="auto"/>
                <w:sz w:val="24"/>
                <w:highlight w:val="none"/>
                <w:lang w:val="zh-CN"/>
              </w:rPr>
              <w:t>规定。</w:t>
            </w:r>
          </w:p>
        </w:tc>
      </w:tr>
      <w:tr w14:paraId="2AE76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83" w:type="dxa"/>
            <w:vMerge w:val="continue"/>
            <w:vAlign w:val="center"/>
          </w:tcPr>
          <w:p w14:paraId="7595750D">
            <w:pPr>
              <w:rPr>
                <w:rFonts w:hint="eastAsia" w:ascii="宋体" w:hAnsi="宋体" w:eastAsia="宋体" w:cs="宋体"/>
                <w:color w:val="auto"/>
                <w:kern w:val="0"/>
                <w:sz w:val="24"/>
                <w:highlight w:val="none"/>
              </w:rPr>
            </w:pPr>
          </w:p>
        </w:tc>
        <w:tc>
          <w:tcPr>
            <w:tcW w:w="1151" w:type="dxa"/>
            <w:vMerge w:val="continue"/>
            <w:vAlign w:val="center"/>
          </w:tcPr>
          <w:p w14:paraId="2FE4E976">
            <w:pPr>
              <w:rPr>
                <w:rFonts w:hint="eastAsia" w:ascii="宋体" w:hAnsi="宋体" w:eastAsia="宋体" w:cs="宋体"/>
                <w:color w:val="auto"/>
                <w:sz w:val="24"/>
                <w:highlight w:val="none"/>
                <w:lang w:val="zh-CN"/>
              </w:rPr>
            </w:pPr>
          </w:p>
        </w:tc>
        <w:tc>
          <w:tcPr>
            <w:tcW w:w="2333" w:type="dxa"/>
            <w:vAlign w:val="center"/>
          </w:tcPr>
          <w:p w14:paraId="4DBC0BF4">
            <w:pPr>
              <w:spacing w:line="5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其他</w:t>
            </w:r>
          </w:p>
        </w:tc>
        <w:tc>
          <w:tcPr>
            <w:tcW w:w="5906" w:type="dxa"/>
            <w:vAlign w:val="center"/>
          </w:tcPr>
          <w:p w14:paraId="79C6A0E5">
            <w:pPr>
              <w:spacing w:line="5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满足磋商文件相关</w:t>
            </w:r>
            <w:r>
              <w:rPr>
                <w:rFonts w:hint="eastAsia" w:ascii="宋体" w:hAnsi="宋体" w:eastAsia="宋体" w:cs="宋体"/>
                <w:color w:val="auto"/>
                <w:sz w:val="24"/>
                <w:highlight w:val="none"/>
                <w:lang w:val="zh-CN"/>
              </w:rPr>
              <w:t>规定。</w:t>
            </w:r>
          </w:p>
        </w:tc>
      </w:tr>
    </w:tbl>
    <w:p w14:paraId="691B0355">
      <w:pPr>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注：以上评审内容，有一项不通过者，视为供应商</w:t>
      </w:r>
      <w:r>
        <w:rPr>
          <w:rFonts w:hint="eastAsia" w:ascii="宋体" w:hAnsi="宋体" w:eastAsia="宋体" w:cs="宋体"/>
          <w:b/>
          <w:color w:val="auto"/>
          <w:sz w:val="24"/>
          <w:szCs w:val="22"/>
          <w:highlight w:val="none"/>
        </w:rPr>
        <w:t>资格性审查、符合性审查</w:t>
      </w:r>
      <w:r>
        <w:rPr>
          <w:rFonts w:hint="eastAsia" w:ascii="宋体" w:hAnsi="宋体" w:eastAsia="宋体" w:cs="宋体"/>
          <w:b/>
          <w:color w:val="auto"/>
          <w:sz w:val="24"/>
          <w:highlight w:val="none"/>
        </w:rPr>
        <w:t>不通过，未通过</w:t>
      </w:r>
      <w:r>
        <w:rPr>
          <w:rFonts w:hint="eastAsia" w:ascii="宋体" w:hAnsi="宋体" w:eastAsia="宋体" w:cs="宋体"/>
          <w:b/>
          <w:color w:val="auto"/>
          <w:sz w:val="24"/>
          <w:szCs w:val="22"/>
          <w:highlight w:val="none"/>
        </w:rPr>
        <w:t>资格性审查、符合性审查</w:t>
      </w:r>
      <w:r>
        <w:rPr>
          <w:rFonts w:hint="eastAsia" w:ascii="宋体" w:hAnsi="宋体" w:eastAsia="宋体" w:cs="宋体"/>
          <w:b/>
          <w:color w:val="auto"/>
          <w:sz w:val="24"/>
          <w:highlight w:val="none"/>
        </w:rPr>
        <w:t>的其响应文件将按照无效响应处理。</w:t>
      </w:r>
    </w:p>
    <w:p w14:paraId="77F3278D">
      <w:pPr>
        <w:keepNext/>
        <w:keepLines/>
        <w:widowControl w:val="0"/>
        <w:numPr>
          <w:ilvl w:val="0"/>
          <w:numId w:val="0"/>
        </w:numPr>
        <w:wordWrap/>
        <w:adjustRightInd/>
        <w:snapToGrid/>
        <w:spacing w:line="416" w:lineRule="auto"/>
        <w:textAlignment w:val="auto"/>
        <w:outlineLvl w:val="9"/>
        <w:rPr>
          <w:rFonts w:hint="eastAsia" w:ascii="宋体" w:hAnsi="宋体" w:eastAsia="宋体" w:cs="宋体"/>
          <w:b/>
          <w:color w:val="auto"/>
          <w:sz w:val="24"/>
          <w:highlight w:val="none"/>
        </w:rPr>
      </w:pPr>
    </w:p>
    <w:p w14:paraId="6D734F56">
      <w:pPr>
        <w:keepNext/>
        <w:keepLines/>
        <w:widowControl w:val="0"/>
        <w:numPr>
          <w:ilvl w:val="0"/>
          <w:numId w:val="0"/>
        </w:numPr>
        <w:wordWrap/>
        <w:adjustRightInd/>
        <w:snapToGrid/>
        <w:spacing w:line="416" w:lineRule="auto"/>
        <w:textAlignment w:val="auto"/>
        <w:outlineLvl w:val="9"/>
        <w:rPr>
          <w:rFonts w:hint="eastAsia" w:ascii="宋体" w:hAnsi="宋体" w:eastAsia="宋体" w:cs="宋体"/>
          <w:color w:val="auto"/>
          <w:sz w:val="24"/>
          <w:highlight w:val="none"/>
        </w:rPr>
      </w:pPr>
      <w:r>
        <w:rPr>
          <w:rFonts w:hint="eastAsia" w:ascii="宋体" w:hAnsi="宋体" w:eastAsia="宋体" w:cs="宋体"/>
          <w:b/>
          <w:color w:val="auto"/>
          <w:sz w:val="24"/>
          <w:highlight w:val="none"/>
        </w:rPr>
        <w:t>3、评分</w:t>
      </w:r>
    </w:p>
    <w:tbl>
      <w:tblPr>
        <w:tblStyle w:val="59"/>
        <w:tblW w:w="9860" w:type="dxa"/>
        <w:tblInd w:w="105" w:type="dxa"/>
        <w:tblLayout w:type="fixed"/>
        <w:tblCellMar>
          <w:top w:w="0" w:type="dxa"/>
          <w:left w:w="108" w:type="dxa"/>
          <w:bottom w:w="0" w:type="dxa"/>
          <w:right w:w="108" w:type="dxa"/>
        </w:tblCellMar>
      </w:tblPr>
      <w:tblGrid>
        <w:gridCol w:w="520"/>
        <w:gridCol w:w="1388"/>
        <w:gridCol w:w="7173"/>
        <w:gridCol w:w="779"/>
      </w:tblGrid>
      <w:tr w14:paraId="110CEBB0">
        <w:tblPrEx>
          <w:tblCellMar>
            <w:top w:w="0" w:type="dxa"/>
            <w:left w:w="108" w:type="dxa"/>
            <w:bottom w:w="0" w:type="dxa"/>
            <w:right w:w="108" w:type="dxa"/>
          </w:tblCellMar>
        </w:tblPrEx>
        <w:trPr>
          <w:trHeight w:val="707" w:hRule="atLeast"/>
        </w:trPr>
        <w:tc>
          <w:tcPr>
            <w:tcW w:w="520" w:type="dxa"/>
            <w:tcBorders>
              <w:top w:val="single" w:color="auto" w:sz="4" w:space="0"/>
              <w:left w:val="single" w:color="auto" w:sz="4" w:space="0"/>
              <w:bottom w:val="single" w:color="auto" w:sz="4" w:space="0"/>
              <w:right w:val="single" w:color="auto" w:sz="4" w:space="0"/>
            </w:tcBorders>
            <w:noWrap w:val="0"/>
            <w:textDirection w:val="tbRlV"/>
            <w:vAlign w:val="center"/>
          </w:tcPr>
          <w:p w14:paraId="4CAE1F6A">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1388" w:type="dxa"/>
            <w:tcBorders>
              <w:top w:val="single" w:color="auto" w:sz="4" w:space="0"/>
              <w:left w:val="single" w:color="auto" w:sz="4" w:space="0"/>
              <w:bottom w:val="single" w:color="auto" w:sz="4" w:space="0"/>
              <w:right w:val="single" w:color="auto" w:sz="4" w:space="0"/>
            </w:tcBorders>
            <w:noWrap w:val="0"/>
            <w:vAlign w:val="center"/>
          </w:tcPr>
          <w:p w14:paraId="2A4AF71A">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评审指标         </w:t>
            </w:r>
          </w:p>
        </w:tc>
        <w:tc>
          <w:tcPr>
            <w:tcW w:w="7173" w:type="dxa"/>
            <w:tcBorders>
              <w:top w:val="single" w:color="auto" w:sz="4" w:space="0"/>
              <w:left w:val="single" w:color="auto" w:sz="4" w:space="0"/>
              <w:bottom w:val="single" w:color="auto" w:sz="4" w:space="0"/>
              <w:right w:val="single" w:color="auto" w:sz="4" w:space="0"/>
            </w:tcBorders>
            <w:noWrap w:val="0"/>
            <w:vAlign w:val="center"/>
          </w:tcPr>
          <w:p w14:paraId="653FDC5A">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评分标准</w:t>
            </w:r>
          </w:p>
        </w:tc>
        <w:tc>
          <w:tcPr>
            <w:tcW w:w="779" w:type="dxa"/>
            <w:tcBorders>
              <w:top w:val="single" w:color="auto" w:sz="4" w:space="0"/>
              <w:left w:val="single" w:color="auto" w:sz="4" w:space="0"/>
              <w:bottom w:val="single" w:color="auto" w:sz="4" w:space="0"/>
              <w:right w:val="single" w:color="auto" w:sz="4" w:space="0"/>
            </w:tcBorders>
            <w:noWrap w:val="0"/>
            <w:vAlign w:val="center"/>
          </w:tcPr>
          <w:p w14:paraId="655D59E0">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分值</w:t>
            </w:r>
          </w:p>
        </w:tc>
      </w:tr>
      <w:tr w14:paraId="056A8C2C">
        <w:tblPrEx>
          <w:tblCellMar>
            <w:top w:w="0" w:type="dxa"/>
            <w:left w:w="108" w:type="dxa"/>
            <w:bottom w:w="0" w:type="dxa"/>
            <w:right w:w="108" w:type="dxa"/>
          </w:tblCellMar>
        </w:tblPrEx>
        <w:trPr>
          <w:trHeight w:val="1007" w:hRule="atLeast"/>
        </w:trPr>
        <w:tc>
          <w:tcPr>
            <w:tcW w:w="520" w:type="dxa"/>
            <w:tcBorders>
              <w:top w:val="single" w:color="auto" w:sz="4" w:space="0"/>
              <w:left w:val="single" w:color="auto" w:sz="4" w:space="0"/>
              <w:bottom w:val="single" w:color="auto" w:sz="4" w:space="0"/>
              <w:right w:val="single" w:color="auto" w:sz="4" w:space="0"/>
            </w:tcBorders>
            <w:noWrap w:val="0"/>
            <w:textDirection w:val="lrTbV"/>
            <w:vAlign w:val="center"/>
          </w:tcPr>
          <w:p w14:paraId="5EFA463F">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388" w:type="dxa"/>
            <w:tcBorders>
              <w:top w:val="single" w:color="auto" w:sz="4" w:space="0"/>
              <w:left w:val="single" w:color="auto" w:sz="4" w:space="0"/>
              <w:bottom w:val="single" w:color="auto" w:sz="4" w:space="0"/>
              <w:right w:val="single" w:color="auto" w:sz="4" w:space="0"/>
            </w:tcBorders>
            <w:noWrap w:val="0"/>
            <w:vAlign w:val="center"/>
          </w:tcPr>
          <w:p w14:paraId="5CBE6611">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最后报价 </w:t>
            </w:r>
          </w:p>
        </w:tc>
        <w:tc>
          <w:tcPr>
            <w:tcW w:w="7173" w:type="dxa"/>
            <w:tcBorders>
              <w:top w:val="single" w:color="auto" w:sz="4" w:space="0"/>
              <w:left w:val="single" w:color="auto" w:sz="4" w:space="0"/>
              <w:bottom w:val="single" w:color="auto" w:sz="4" w:space="0"/>
              <w:right w:val="single" w:color="auto" w:sz="4" w:space="0"/>
            </w:tcBorders>
            <w:noWrap w:val="0"/>
            <w:vAlign w:val="center"/>
          </w:tcPr>
          <w:p w14:paraId="21F1BC1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满足磋商文件要求且最后报价最低的供应商的价格为磋商基准价，其价格分为满分。其他供应商的价格分统一按照下列公式计算：磋商报价得分=（磋商基准价/最后磋商报价）×</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0%×100</w:t>
            </w:r>
          </w:p>
        </w:tc>
        <w:tc>
          <w:tcPr>
            <w:tcW w:w="779" w:type="dxa"/>
            <w:tcBorders>
              <w:top w:val="single" w:color="auto" w:sz="4" w:space="0"/>
              <w:left w:val="single" w:color="auto" w:sz="4" w:space="0"/>
              <w:bottom w:val="single" w:color="auto" w:sz="4" w:space="0"/>
              <w:right w:val="single" w:color="auto" w:sz="4" w:space="0"/>
            </w:tcBorders>
            <w:noWrap w:val="0"/>
            <w:vAlign w:val="center"/>
          </w:tcPr>
          <w:p w14:paraId="0EB7D8F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0</w:t>
            </w:r>
          </w:p>
        </w:tc>
      </w:tr>
      <w:tr w14:paraId="14017A46">
        <w:tblPrEx>
          <w:tblCellMar>
            <w:top w:w="0" w:type="dxa"/>
            <w:left w:w="108" w:type="dxa"/>
            <w:bottom w:w="0" w:type="dxa"/>
            <w:right w:w="108" w:type="dxa"/>
          </w:tblCellMar>
        </w:tblPrEx>
        <w:trPr>
          <w:trHeight w:val="1007" w:hRule="atLeast"/>
        </w:trPr>
        <w:tc>
          <w:tcPr>
            <w:tcW w:w="520" w:type="dxa"/>
            <w:vMerge w:val="restart"/>
            <w:tcBorders>
              <w:top w:val="single" w:color="auto" w:sz="4" w:space="0"/>
              <w:left w:val="single" w:color="auto" w:sz="4" w:space="0"/>
              <w:right w:val="single" w:color="auto" w:sz="4" w:space="0"/>
            </w:tcBorders>
            <w:noWrap w:val="0"/>
            <w:textDirection w:val="lrTbV"/>
            <w:vAlign w:val="center"/>
          </w:tcPr>
          <w:p w14:paraId="0DF555EA">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c>
          <w:tcPr>
            <w:tcW w:w="1388" w:type="dxa"/>
            <w:vMerge w:val="restart"/>
            <w:tcBorders>
              <w:top w:val="single" w:color="auto" w:sz="4" w:space="0"/>
              <w:left w:val="single" w:color="auto" w:sz="4" w:space="0"/>
              <w:right w:val="single" w:color="auto" w:sz="4" w:space="0"/>
            </w:tcBorders>
            <w:noWrap w:val="0"/>
            <w:vAlign w:val="center"/>
          </w:tcPr>
          <w:p w14:paraId="64DBFC3F">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综合</w:t>
            </w:r>
            <w:r>
              <w:rPr>
                <w:rFonts w:hint="eastAsia" w:ascii="宋体" w:hAnsi="宋体" w:eastAsia="宋体" w:cs="宋体"/>
                <w:color w:val="auto"/>
                <w:kern w:val="0"/>
                <w:sz w:val="24"/>
                <w:szCs w:val="24"/>
                <w:highlight w:val="none"/>
                <w:lang w:eastAsia="zh-CN"/>
              </w:rPr>
              <w:t>实力</w:t>
            </w:r>
          </w:p>
        </w:tc>
        <w:tc>
          <w:tcPr>
            <w:tcW w:w="7173" w:type="dxa"/>
            <w:tcBorders>
              <w:top w:val="single" w:color="auto" w:sz="4" w:space="0"/>
              <w:left w:val="single" w:color="auto" w:sz="4" w:space="0"/>
              <w:bottom w:val="single" w:color="auto" w:sz="4" w:space="0"/>
              <w:right w:val="single" w:color="auto" w:sz="4" w:space="0"/>
            </w:tcBorders>
            <w:noWrap w:val="0"/>
            <w:vAlign w:val="center"/>
          </w:tcPr>
          <w:p w14:paraId="3A90FF0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近三年（自20</w:t>
            </w:r>
            <w:r>
              <w:rPr>
                <w:rFonts w:hint="eastAsia" w:ascii="宋体" w:hAnsi="宋体" w:eastAsia="宋体" w:cs="宋体"/>
                <w:color w:val="auto"/>
                <w:kern w:val="0"/>
                <w:sz w:val="24"/>
                <w:szCs w:val="24"/>
                <w:highlight w:val="none"/>
                <w:lang w:val="en-US" w:eastAsia="zh-CN"/>
              </w:rPr>
              <w:t>22</w:t>
            </w:r>
            <w:r>
              <w:rPr>
                <w:rFonts w:hint="eastAsia" w:ascii="宋体" w:hAnsi="宋体" w:eastAsia="宋体" w:cs="宋体"/>
                <w:color w:val="auto"/>
                <w:kern w:val="0"/>
                <w:sz w:val="24"/>
                <w:szCs w:val="24"/>
                <w:highlight w:val="none"/>
              </w:rPr>
              <w:t>年1月1日至今）内具有同类项目</w:t>
            </w:r>
            <w:r>
              <w:rPr>
                <w:rFonts w:hint="eastAsia" w:ascii="宋体" w:hAnsi="宋体" w:cs="宋体"/>
                <w:color w:val="auto"/>
                <w:kern w:val="0"/>
                <w:sz w:val="24"/>
                <w:szCs w:val="24"/>
                <w:highlight w:val="none"/>
                <w:lang w:val="en-US" w:eastAsia="zh-CN"/>
              </w:rPr>
              <w:t>管理服务经验</w:t>
            </w:r>
            <w:r>
              <w:rPr>
                <w:rFonts w:hint="eastAsia" w:ascii="宋体" w:hAnsi="宋体" w:eastAsia="宋体" w:cs="宋体"/>
                <w:color w:val="auto"/>
                <w:kern w:val="0"/>
                <w:sz w:val="24"/>
                <w:szCs w:val="24"/>
                <w:highlight w:val="none"/>
              </w:rPr>
              <w:t>（附相关证明材料并加盖公章）每项得</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分，最多得</w:t>
            </w:r>
            <w:r>
              <w:rPr>
                <w:rFonts w:hint="eastAsia" w:ascii="宋体" w:hAnsi="宋体" w:eastAsia="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rPr>
              <w:t>分，无证明材料得0分。</w:t>
            </w:r>
          </w:p>
        </w:tc>
        <w:tc>
          <w:tcPr>
            <w:tcW w:w="779" w:type="dxa"/>
            <w:tcBorders>
              <w:top w:val="single" w:color="auto" w:sz="4" w:space="0"/>
              <w:left w:val="single" w:color="auto" w:sz="4" w:space="0"/>
              <w:bottom w:val="single" w:color="auto" w:sz="4" w:space="0"/>
              <w:right w:val="single" w:color="auto" w:sz="4" w:space="0"/>
            </w:tcBorders>
            <w:noWrap w:val="0"/>
            <w:vAlign w:val="center"/>
          </w:tcPr>
          <w:p w14:paraId="1BCE2C2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10</w:t>
            </w:r>
          </w:p>
        </w:tc>
      </w:tr>
      <w:tr w14:paraId="654ED2DD">
        <w:tblPrEx>
          <w:tblCellMar>
            <w:top w:w="0" w:type="dxa"/>
            <w:left w:w="108" w:type="dxa"/>
            <w:bottom w:w="0" w:type="dxa"/>
            <w:right w:w="108" w:type="dxa"/>
          </w:tblCellMar>
        </w:tblPrEx>
        <w:trPr>
          <w:trHeight w:val="1007" w:hRule="atLeast"/>
        </w:trPr>
        <w:tc>
          <w:tcPr>
            <w:tcW w:w="520" w:type="dxa"/>
            <w:vMerge w:val="continue"/>
            <w:tcBorders>
              <w:left w:val="single" w:color="auto" w:sz="4" w:space="0"/>
              <w:right w:val="single" w:color="auto" w:sz="4" w:space="0"/>
            </w:tcBorders>
            <w:noWrap w:val="0"/>
            <w:textDirection w:val="lrTbV"/>
            <w:vAlign w:val="center"/>
          </w:tcPr>
          <w:p w14:paraId="7CD31C1E">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lang w:val="en-US" w:eastAsia="zh-CN"/>
              </w:rPr>
            </w:pPr>
          </w:p>
        </w:tc>
        <w:tc>
          <w:tcPr>
            <w:tcW w:w="1388" w:type="dxa"/>
            <w:vMerge w:val="continue"/>
            <w:tcBorders>
              <w:left w:val="single" w:color="auto" w:sz="4" w:space="0"/>
              <w:right w:val="single" w:color="auto" w:sz="4" w:space="0"/>
            </w:tcBorders>
            <w:noWrap w:val="0"/>
            <w:vAlign w:val="center"/>
          </w:tcPr>
          <w:p w14:paraId="11B0AD3F">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4"/>
                <w:szCs w:val="24"/>
                <w:highlight w:val="none"/>
                <w:lang w:val="en-US" w:eastAsia="zh-CN"/>
              </w:rPr>
            </w:pPr>
          </w:p>
        </w:tc>
        <w:tc>
          <w:tcPr>
            <w:tcW w:w="7173" w:type="dxa"/>
            <w:tcBorders>
              <w:top w:val="single" w:color="auto" w:sz="4" w:space="0"/>
              <w:left w:val="single" w:color="auto" w:sz="4" w:space="0"/>
              <w:bottom w:val="single" w:color="auto" w:sz="4" w:space="0"/>
              <w:right w:val="single" w:color="auto" w:sz="4" w:space="0"/>
            </w:tcBorders>
            <w:noWrap w:val="0"/>
            <w:vAlign w:val="center"/>
          </w:tcPr>
          <w:p w14:paraId="159839C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企业信誉度较高，</w:t>
            </w:r>
            <w:r>
              <w:rPr>
                <w:rFonts w:hint="eastAsia" w:ascii="宋体" w:hAnsi="宋体" w:eastAsia="宋体" w:cs="宋体"/>
                <w:color w:val="auto"/>
                <w:kern w:val="0"/>
                <w:sz w:val="24"/>
                <w:szCs w:val="24"/>
                <w:highlight w:val="none"/>
                <w:lang w:val="en-US" w:eastAsia="zh-CN"/>
              </w:rPr>
              <w:t>工作</w:t>
            </w:r>
            <w:r>
              <w:rPr>
                <w:rFonts w:hint="eastAsia" w:ascii="宋体" w:hAnsi="宋体" w:eastAsia="宋体" w:cs="宋体"/>
                <w:color w:val="auto"/>
                <w:kern w:val="0"/>
                <w:sz w:val="24"/>
                <w:szCs w:val="24"/>
                <w:highlight w:val="none"/>
              </w:rPr>
              <w:t>反馈意见良好等，</w:t>
            </w:r>
            <w:r>
              <w:rPr>
                <w:rFonts w:hint="eastAsia" w:ascii="宋体" w:hAnsi="宋体" w:eastAsia="宋体" w:cs="宋体"/>
                <w:color w:val="auto"/>
                <w:kern w:val="0"/>
                <w:sz w:val="24"/>
                <w:szCs w:val="24"/>
                <w:highlight w:val="none"/>
                <w:lang w:val="en-US" w:eastAsia="zh-CN"/>
              </w:rPr>
              <w:t>工作</w:t>
            </w:r>
            <w:r>
              <w:rPr>
                <w:rFonts w:hint="eastAsia" w:ascii="宋体" w:hAnsi="宋体" w:eastAsia="宋体" w:cs="宋体"/>
                <w:color w:val="auto"/>
                <w:kern w:val="0"/>
                <w:sz w:val="24"/>
                <w:szCs w:val="24"/>
                <w:highlight w:val="none"/>
              </w:rPr>
              <w:t>反馈意见好得</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分，良好得</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分，反馈意见一般的得1分，无用户反馈意见或者反馈意见不良的不得分。（附相关证明材料加盖公章）</w:t>
            </w:r>
          </w:p>
        </w:tc>
        <w:tc>
          <w:tcPr>
            <w:tcW w:w="779" w:type="dxa"/>
            <w:tcBorders>
              <w:top w:val="single" w:color="auto" w:sz="4" w:space="0"/>
              <w:left w:val="single" w:color="auto" w:sz="4" w:space="0"/>
              <w:bottom w:val="single" w:color="auto" w:sz="4" w:space="0"/>
              <w:right w:val="single" w:color="auto" w:sz="4" w:space="0"/>
            </w:tcBorders>
            <w:noWrap w:val="0"/>
            <w:vAlign w:val="center"/>
          </w:tcPr>
          <w:p w14:paraId="327FD67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w:t>
            </w:r>
          </w:p>
        </w:tc>
      </w:tr>
      <w:tr w14:paraId="56A3E0C5">
        <w:tblPrEx>
          <w:tblCellMar>
            <w:top w:w="0" w:type="dxa"/>
            <w:left w:w="108" w:type="dxa"/>
            <w:bottom w:w="0" w:type="dxa"/>
            <w:right w:w="108" w:type="dxa"/>
          </w:tblCellMar>
        </w:tblPrEx>
        <w:trPr>
          <w:trHeight w:val="1007" w:hRule="atLeast"/>
        </w:trPr>
        <w:tc>
          <w:tcPr>
            <w:tcW w:w="520" w:type="dxa"/>
            <w:vMerge w:val="restart"/>
            <w:tcBorders>
              <w:top w:val="single" w:color="auto" w:sz="4" w:space="0"/>
              <w:left w:val="single" w:color="auto" w:sz="4" w:space="0"/>
              <w:right w:val="single" w:color="auto" w:sz="4" w:space="0"/>
            </w:tcBorders>
            <w:noWrap w:val="0"/>
            <w:textDirection w:val="lrTbV"/>
            <w:vAlign w:val="center"/>
          </w:tcPr>
          <w:p w14:paraId="0F18822B">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p>
        </w:tc>
        <w:tc>
          <w:tcPr>
            <w:tcW w:w="1388" w:type="dxa"/>
            <w:vMerge w:val="restart"/>
            <w:tcBorders>
              <w:top w:val="single" w:color="auto" w:sz="4" w:space="0"/>
              <w:left w:val="single" w:color="auto" w:sz="4" w:space="0"/>
              <w:right w:val="single" w:color="auto" w:sz="4" w:space="0"/>
            </w:tcBorders>
            <w:noWrap w:val="0"/>
            <w:vAlign w:val="center"/>
          </w:tcPr>
          <w:p w14:paraId="2F4645A8">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服务方案</w:t>
            </w:r>
          </w:p>
        </w:tc>
        <w:tc>
          <w:tcPr>
            <w:tcW w:w="7173" w:type="dxa"/>
            <w:tcBorders>
              <w:top w:val="single" w:color="auto" w:sz="4" w:space="0"/>
              <w:left w:val="single" w:color="auto" w:sz="4" w:space="0"/>
              <w:bottom w:val="single" w:color="auto" w:sz="4" w:space="0"/>
              <w:right w:val="single" w:color="auto" w:sz="4" w:space="0"/>
            </w:tcBorders>
            <w:noWrap w:val="0"/>
            <w:vAlign w:val="center"/>
          </w:tcPr>
          <w:p w14:paraId="4080B0BD">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outlineLvl w:val="9"/>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rPr>
              <w:t>供应商结合本项目特点，对项目管理的前期调研及总体设想进行描述：包括但不限于①项目特点分析；②项目需求分析；③拟采用的管理模式及服务理念；④项目内部管理机制；⑤整体运作流程与策划。以上方案完全满足项目需求且有利于项目实施的得10分，每缺少一项内容扣 2 分；方案中每有一处瑕疵的扣 1 分，扣完为止。</w:t>
            </w:r>
          </w:p>
        </w:tc>
        <w:tc>
          <w:tcPr>
            <w:tcW w:w="779" w:type="dxa"/>
            <w:tcBorders>
              <w:top w:val="single" w:color="auto" w:sz="4" w:space="0"/>
              <w:left w:val="single" w:color="auto" w:sz="4" w:space="0"/>
              <w:bottom w:val="single" w:color="auto" w:sz="4" w:space="0"/>
              <w:right w:val="single" w:color="auto" w:sz="4" w:space="0"/>
            </w:tcBorders>
            <w:noWrap w:val="0"/>
            <w:vAlign w:val="center"/>
          </w:tcPr>
          <w:p w14:paraId="0906FAFC">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10</w:t>
            </w:r>
          </w:p>
        </w:tc>
      </w:tr>
      <w:tr w14:paraId="2945C1DD">
        <w:tblPrEx>
          <w:tblCellMar>
            <w:top w:w="0" w:type="dxa"/>
            <w:left w:w="108" w:type="dxa"/>
            <w:bottom w:w="0" w:type="dxa"/>
            <w:right w:w="108" w:type="dxa"/>
          </w:tblCellMar>
        </w:tblPrEx>
        <w:trPr>
          <w:trHeight w:val="1007" w:hRule="atLeast"/>
        </w:trPr>
        <w:tc>
          <w:tcPr>
            <w:tcW w:w="520" w:type="dxa"/>
            <w:vMerge w:val="continue"/>
            <w:tcBorders>
              <w:left w:val="single" w:color="auto" w:sz="4" w:space="0"/>
              <w:right w:val="single" w:color="auto" w:sz="4" w:space="0"/>
            </w:tcBorders>
            <w:noWrap w:val="0"/>
            <w:textDirection w:val="lrTbV"/>
            <w:vAlign w:val="center"/>
          </w:tcPr>
          <w:p w14:paraId="434A6271">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lang w:val="en-US" w:eastAsia="zh-CN"/>
              </w:rPr>
            </w:pPr>
          </w:p>
        </w:tc>
        <w:tc>
          <w:tcPr>
            <w:tcW w:w="1388" w:type="dxa"/>
            <w:vMerge w:val="continue"/>
            <w:tcBorders>
              <w:left w:val="single" w:color="auto" w:sz="4" w:space="0"/>
              <w:right w:val="single" w:color="auto" w:sz="4" w:space="0"/>
            </w:tcBorders>
            <w:noWrap w:val="0"/>
            <w:vAlign w:val="center"/>
          </w:tcPr>
          <w:p w14:paraId="60D66FF9">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4"/>
                <w:szCs w:val="24"/>
                <w:highlight w:val="none"/>
                <w:lang w:val="en-US" w:eastAsia="zh-CN"/>
              </w:rPr>
            </w:pPr>
          </w:p>
        </w:tc>
        <w:tc>
          <w:tcPr>
            <w:tcW w:w="7173" w:type="dxa"/>
            <w:tcBorders>
              <w:top w:val="single" w:color="auto" w:sz="4" w:space="0"/>
              <w:left w:val="single" w:color="auto" w:sz="4" w:space="0"/>
              <w:bottom w:val="single" w:color="auto" w:sz="4" w:space="0"/>
              <w:right w:val="single" w:color="auto" w:sz="4" w:space="0"/>
            </w:tcBorders>
            <w:noWrap w:val="0"/>
            <w:vAlign w:val="center"/>
          </w:tcPr>
          <w:p w14:paraId="03D0867E">
            <w:pPr>
              <w:spacing w:line="360" w:lineRule="auto"/>
              <w:jc w:val="left"/>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供应商制定</w:t>
            </w:r>
            <w:r>
              <w:rPr>
                <w:rFonts w:hint="eastAsia" w:ascii="宋体" w:hAnsi="宋体" w:cs="宋体"/>
                <w:color w:val="auto"/>
                <w:kern w:val="0"/>
                <w:sz w:val="24"/>
                <w:szCs w:val="24"/>
                <w:highlight w:val="none"/>
                <w:lang w:val="en-US" w:eastAsia="zh-CN"/>
              </w:rPr>
              <w:t>安保</w:t>
            </w:r>
            <w:r>
              <w:rPr>
                <w:rFonts w:hint="eastAsia" w:ascii="宋体" w:hAnsi="宋体" w:eastAsia="宋体" w:cs="宋体"/>
                <w:color w:val="auto"/>
                <w:kern w:val="0"/>
                <w:sz w:val="24"/>
                <w:szCs w:val="24"/>
                <w:highlight w:val="none"/>
                <w:lang w:val="zh-CN" w:eastAsia="zh-CN"/>
              </w:rPr>
              <w:t>消防服务方案：包括但不限于①工作内容；②工作标准；③实施计划；④服务管理。以上方案完全满足项目需求且有利于项目实施的得1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lang w:val="zh-CN" w:eastAsia="zh-CN"/>
              </w:rPr>
              <w:t>分，每缺少一项内容扣</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zh-CN" w:eastAsia="zh-CN"/>
              </w:rPr>
              <w:t>分；方案中每有一处瑕疵的扣1分，扣完为止。</w:t>
            </w:r>
          </w:p>
        </w:tc>
        <w:tc>
          <w:tcPr>
            <w:tcW w:w="779" w:type="dxa"/>
            <w:tcBorders>
              <w:top w:val="single" w:color="auto" w:sz="4" w:space="0"/>
              <w:left w:val="single" w:color="auto" w:sz="4" w:space="0"/>
              <w:bottom w:val="single" w:color="auto" w:sz="4" w:space="0"/>
              <w:right w:val="single" w:color="auto" w:sz="4" w:space="0"/>
            </w:tcBorders>
            <w:noWrap w:val="0"/>
            <w:vAlign w:val="center"/>
          </w:tcPr>
          <w:p w14:paraId="5822F38D">
            <w:pPr>
              <w:widowControl/>
              <w:wordWrap/>
              <w:adjustRightInd/>
              <w:snapToGrid/>
              <w:spacing w:line="360" w:lineRule="auto"/>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0</w:t>
            </w:r>
          </w:p>
        </w:tc>
      </w:tr>
      <w:tr w14:paraId="738B2969">
        <w:tblPrEx>
          <w:tblCellMar>
            <w:top w:w="0" w:type="dxa"/>
            <w:left w:w="108" w:type="dxa"/>
            <w:bottom w:w="0" w:type="dxa"/>
            <w:right w:w="108" w:type="dxa"/>
          </w:tblCellMar>
        </w:tblPrEx>
        <w:trPr>
          <w:trHeight w:val="1865" w:hRule="atLeast"/>
        </w:trPr>
        <w:tc>
          <w:tcPr>
            <w:tcW w:w="520" w:type="dxa"/>
            <w:vMerge w:val="continue"/>
            <w:tcBorders>
              <w:left w:val="single" w:color="auto" w:sz="4" w:space="0"/>
              <w:right w:val="single" w:color="auto" w:sz="4" w:space="0"/>
            </w:tcBorders>
            <w:noWrap w:val="0"/>
            <w:textDirection w:val="lrTbV"/>
            <w:vAlign w:val="center"/>
          </w:tcPr>
          <w:p w14:paraId="3FD05588">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lang w:val="en-US" w:eastAsia="zh-CN"/>
              </w:rPr>
            </w:pPr>
          </w:p>
        </w:tc>
        <w:tc>
          <w:tcPr>
            <w:tcW w:w="1388" w:type="dxa"/>
            <w:vMerge w:val="continue"/>
            <w:tcBorders>
              <w:left w:val="single" w:color="auto" w:sz="4" w:space="0"/>
              <w:right w:val="single" w:color="auto" w:sz="4" w:space="0"/>
            </w:tcBorders>
            <w:noWrap w:val="0"/>
            <w:vAlign w:val="center"/>
          </w:tcPr>
          <w:p w14:paraId="2D9C7B75">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4"/>
                <w:szCs w:val="24"/>
                <w:highlight w:val="none"/>
                <w:lang w:val="en-US" w:eastAsia="zh-CN"/>
              </w:rPr>
            </w:pPr>
          </w:p>
        </w:tc>
        <w:tc>
          <w:tcPr>
            <w:tcW w:w="7173" w:type="dxa"/>
            <w:tcBorders>
              <w:top w:val="single" w:color="auto" w:sz="4" w:space="0"/>
              <w:left w:val="single" w:color="auto" w:sz="4" w:space="0"/>
              <w:bottom w:val="single" w:color="auto" w:sz="4" w:space="0"/>
              <w:right w:val="single" w:color="auto" w:sz="4" w:space="0"/>
            </w:tcBorders>
            <w:noWrap w:val="0"/>
            <w:vAlign w:val="center"/>
          </w:tcPr>
          <w:p w14:paraId="75504D31">
            <w:pPr>
              <w:widowControl/>
              <w:wordWrap/>
              <w:adjustRightInd/>
              <w:snapToGrid/>
              <w:spacing w:line="360" w:lineRule="auto"/>
              <w:jc w:val="left"/>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cs="宋体"/>
                <w:i w:val="0"/>
                <w:color w:val="auto"/>
                <w:kern w:val="0"/>
                <w:sz w:val="24"/>
                <w:szCs w:val="24"/>
                <w:highlight w:val="none"/>
                <w:u w:val="none"/>
                <w:lang w:val="en-US" w:eastAsia="zh-CN"/>
              </w:rPr>
              <w:t>制定完善的应急预案，应包括但不限于执勤过程中的应急处置、一般突发事件应急、特殊事故（情况）、纠纷处置等预案。预案切实可行、科学合理、实用性强得10分；每有一项内容缺少或有缺陷扣2.5分，不提供不得分。（提供书面材料）</w:t>
            </w:r>
          </w:p>
        </w:tc>
        <w:tc>
          <w:tcPr>
            <w:tcW w:w="779" w:type="dxa"/>
            <w:tcBorders>
              <w:top w:val="single" w:color="auto" w:sz="4" w:space="0"/>
              <w:left w:val="single" w:color="auto" w:sz="4" w:space="0"/>
              <w:bottom w:val="single" w:color="auto" w:sz="4" w:space="0"/>
              <w:right w:val="single" w:color="auto" w:sz="4" w:space="0"/>
            </w:tcBorders>
            <w:noWrap w:val="0"/>
            <w:vAlign w:val="center"/>
          </w:tcPr>
          <w:p w14:paraId="217FD96F">
            <w:pPr>
              <w:widowControl/>
              <w:wordWrap/>
              <w:adjustRightInd/>
              <w:snapToGrid/>
              <w:spacing w:line="360" w:lineRule="auto"/>
              <w:jc w:val="center"/>
              <w:textAlignment w:val="center"/>
              <w:rPr>
                <w:rFonts w:hint="default" w:ascii="宋体" w:hAnsi="宋体" w:eastAsia="宋体" w:cs="宋体"/>
                <w:color w:val="auto"/>
                <w:kern w:val="0"/>
                <w:sz w:val="24"/>
                <w:szCs w:val="24"/>
                <w:highlight w:val="none"/>
                <w:lang w:val="en-US" w:eastAsia="zh-CN" w:bidi="ar-SA"/>
              </w:rPr>
            </w:pPr>
            <w:r>
              <w:rPr>
                <w:rFonts w:hint="eastAsia" w:ascii="宋体" w:hAnsi="宋体" w:cs="宋体"/>
                <w:i w:val="0"/>
                <w:color w:val="auto"/>
                <w:kern w:val="0"/>
                <w:sz w:val="24"/>
                <w:szCs w:val="24"/>
                <w:highlight w:val="none"/>
                <w:u w:val="none"/>
                <w:lang w:val="en-US" w:eastAsia="zh-CN"/>
              </w:rPr>
              <w:t>10</w:t>
            </w:r>
          </w:p>
        </w:tc>
      </w:tr>
      <w:tr w14:paraId="23A97346">
        <w:tblPrEx>
          <w:tblCellMar>
            <w:top w:w="0" w:type="dxa"/>
            <w:left w:w="108" w:type="dxa"/>
            <w:bottom w:w="0" w:type="dxa"/>
            <w:right w:w="108" w:type="dxa"/>
          </w:tblCellMar>
        </w:tblPrEx>
        <w:trPr>
          <w:trHeight w:val="90" w:hRule="atLeast"/>
        </w:trPr>
        <w:tc>
          <w:tcPr>
            <w:tcW w:w="520" w:type="dxa"/>
            <w:vMerge w:val="continue"/>
            <w:tcBorders>
              <w:left w:val="single" w:color="auto" w:sz="4" w:space="0"/>
              <w:right w:val="single" w:color="auto" w:sz="4" w:space="0"/>
            </w:tcBorders>
            <w:noWrap w:val="0"/>
            <w:textDirection w:val="lrTbV"/>
            <w:vAlign w:val="center"/>
          </w:tcPr>
          <w:p w14:paraId="6F83E119">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lang w:val="en-US" w:eastAsia="zh-CN"/>
              </w:rPr>
            </w:pPr>
          </w:p>
        </w:tc>
        <w:tc>
          <w:tcPr>
            <w:tcW w:w="1388" w:type="dxa"/>
            <w:vMerge w:val="continue"/>
            <w:tcBorders>
              <w:left w:val="single" w:color="auto" w:sz="4" w:space="0"/>
              <w:right w:val="single" w:color="auto" w:sz="4" w:space="0"/>
            </w:tcBorders>
            <w:noWrap w:val="0"/>
            <w:vAlign w:val="center"/>
          </w:tcPr>
          <w:p w14:paraId="05530525">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4"/>
                <w:szCs w:val="24"/>
                <w:highlight w:val="none"/>
                <w:lang w:val="en-US" w:eastAsia="zh-CN"/>
              </w:rPr>
            </w:pPr>
          </w:p>
        </w:tc>
        <w:tc>
          <w:tcPr>
            <w:tcW w:w="7173" w:type="dxa"/>
            <w:tcBorders>
              <w:top w:val="single" w:color="auto" w:sz="4" w:space="0"/>
              <w:left w:val="single" w:color="auto" w:sz="4" w:space="0"/>
              <w:bottom w:val="single" w:color="auto" w:sz="4" w:space="0"/>
              <w:right w:val="single" w:color="auto" w:sz="4" w:space="0"/>
            </w:tcBorders>
            <w:noWrap w:val="0"/>
            <w:vAlign w:val="center"/>
          </w:tcPr>
          <w:p w14:paraId="1C916ED8">
            <w:pPr>
              <w:widowControl/>
              <w:wordWrap/>
              <w:adjustRightInd/>
              <w:snapToGrid/>
              <w:spacing w:line="360" w:lineRule="auto"/>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color w:val="auto"/>
                <w:kern w:val="0"/>
                <w:sz w:val="24"/>
                <w:szCs w:val="24"/>
                <w:highlight w:val="none"/>
                <w:lang w:eastAsia="zh-CN"/>
              </w:rPr>
              <w:t>结合本项目特点，制定相关工作</w:t>
            </w:r>
            <w:r>
              <w:rPr>
                <w:rFonts w:hint="eastAsia" w:ascii="宋体" w:hAnsi="宋体" w:eastAsia="宋体" w:cs="宋体"/>
                <w:color w:val="auto"/>
                <w:kern w:val="0"/>
                <w:sz w:val="24"/>
                <w:szCs w:val="24"/>
                <w:highlight w:val="none"/>
              </w:rPr>
              <w:t>考核</w:t>
            </w:r>
            <w:r>
              <w:rPr>
                <w:rFonts w:hint="eastAsia" w:ascii="宋体" w:hAnsi="宋体" w:eastAsia="宋体" w:cs="宋体"/>
                <w:color w:val="auto"/>
                <w:kern w:val="0"/>
                <w:sz w:val="24"/>
                <w:szCs w:val="24"/>
                <w:highlight w:val="none"/>
                <w:lang w:eastAsia="zh-CN"/>
              </w:rPr>
              <w:t>细则</w:t>
            </w:r>
            <w:r>
              <w:rPr>
                <w:rFonts w:hint="eastAsia" w:ascii="宋体" w:hAnsi="宋体" w:eastAsia="宋体" w:cs="宋体"/>
                <w:color w:val="auto"/>
                <w:kern w:val="0"/>
                <w:sz w:val="24"/>
                <w:szCs w:val="24"/>
                <w:highlight w:val="none"/>
              </w:rPr>
              <w:t>，考核</w:t>
            </w:r>
            <w:r>
              <w:rPr>
                <w:rFonts w:hint="eastAsia" w:ascii="宋体" w:hAnsi="宋体" w:eastAsia="宋体" w:cs="宋体"/>
                <w:color w:val="auto"/>
                <w:kern w:val="0"/>
                <w:sz w:val="24"/>
                <w:szCs w:val="24"/>
                <w:highlight w:val="none"/>
                <w:lang w:eastAsia="zh-CN"/>
              </w:rPr>
              <w:t>细则</w:t>
            </w:r>
            <w:r>
              <w:rPr>
                <w:rFonts w:hint="eastAsia" w:ascii="宋体" w:hAnsi="宋体" w:eastAsia="宋体" w:cs="宋体"/>
                <w:color w:val="auto"/>
                <w:kern w:val="0"/>
                <w:sz w:val="24"/>
                <w:szCs w:val="24"/>
                <w:highlight w:val="none"/>
              </w:rPr>
              <w:t>合理可行的得</w:t>
            </w:r>
            <w:r>
              <w:rPr>
                <w:rFonts w:hint="eastAsia" w:ascii="宋体" w:hAnsi="宋体" w:cs="宋体"/>
                <w:color w:val="auto"/>
                <w:kern w:val="0"/>
                <w:sz w:val="24"/>
                <w:szCs w:val="24"/>
                <w:highlight w:val="none"/>
                <w:lang w:val="en-US" w:eastAsia="zh-CN"/>
              </w:rPr>
              <w:t>4-5</w:t>
            </w:r>
            <w:r>
              <w:rPr>
                <w:rFonts w:hint="eastAsia" w:ascii="宋体" w:hAnsi="宋体" w:eastAsia="宋体" w:cs="宋体"/>
                <w:color w:val="auto"/>
                <w:kern w:val="0"/>
                <w:sz w:val="24"/>
                <w:szCs w:val="24"/>
                <w:highlight w:val="none"/>
              </w:rPr>
              <w:t>分，较合理可行的得2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分，基本合理的得0-1分。</w:t>
            </w:r>
          </w:p>
        </w:tc>
        <w:tc>
          <w:tcPr>
            <w:tcW w:w="779" w:type="dxa"/>
            <w:tcBorders>
              <w:top w:val="single" w:color="auto" w:sz="4" w:space="0"/>
              <w:left w:val="single" w:color="auto" w:sz="4" w:space="0"/>
              <w:bottom w:val="single" w:color="auto" w:sz="4" w:space="0"/>
              <w:right w:val="single" w:color="auto" w:sz="4" w:space="0"/>
            </w:tcBorders>
            <w:noWrap w:val="0"/>
            <w:vAlign w:val="center"/>
          </w:tcPr>
          <w:p w14:paraId="683EE783">
            <w:pPr>
              <w:widowControl/>
              <w:wordWrap/>
              <w:adjustRightInd/>
              <w:snapToGrid/>
              <w:spacing w:line="360" w:lineRule="auto"/>
              <w:jc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cs="宋体"/>
                <w:color w:val="auto"/>
                <w:kern w:val="0"/>
                <w:sz w:val="24"/>
                <w:szCs w:val="24"/>
                <w:highlight w:val="none"/>
                <w:lang w:val="en-US" w:eastAsia="zh-CN"/>
              </w:rPr>
              <w:t>5</w:t>
            </w:r>
          </w:p>
        </w:tc>
      </w:tr>
      <w:tr w14:paraId="1A76CA62">
        <w:tblPrEx>
          <w:tblCellMar>
            <w:top w:w="0" w:type="dxa"/>
            <w:left w:w="108" w:type="dxa"/>
            <w:bottom w:w="0" w:type="dxa"/>
            <w:right w:w="108" w:type="dxa"/>
          </w:tblCellMar>
        </w:tblPrEx>
        <w:trPr>
          <w:trHeight w:val="1007" w:hRule="atLeast"/>
        </w:trPr>
        <w:tc>
          <w:tcPr>
            <w:tcW w:w="520" w:type="dxa"/>
            <w:vMerge w:val="restart"/>
            <w:tcBorders>
              <w:top w:val="single" w:color="auto" w:sz="4" w:space="0"/>
              <w:left w:val="single" w:color="auto" w:sz="4" w:space="0"/>
              <w:right w:val="single" w:color="auto" w:sz="4" w:space="0"/>
            </w:tcBorders>
            <w:noWrap w:val="0"/>
            <w:textDirection w:val="lrTbV"/>
            <w:vAlign w:val="center"/>
          </w:tcPr>
          <w:p w14:paraId="2F404BFD">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w:t>
            </w:r>
          </w:p>
        </w:tc>
        <w:tc>
          <w:tcPr>
            <w:tcW w:w="1388" w:type="dxa"/>
            <w:vMerge w:val="restart"/>
            <w:tcBorders>
              <w:top w:val="single" w:color="auto" w:sz="4" w:space="0"/>
              <w:left w:val="single" w:color="auto" w:sz="4" w:space="0"/>
              <w:right w:val="single" w:color="auto" w:sz="4" w:space="0"/>
            </w:tcBorders>
            <w:noWrap w:val="0"/>
            <w:vAlign w:val="center"/>
          </w:tcPr>
          <w:p w14:paraId="2AEDEAA9">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人员配置</w:t>
            </w:r>
          </w:p>
        </w:tc>
        <w:tc>
          <w:tcPr>
            <w:tcW w:w="7173" w:type="dxa"/>
            <w:tcBorders>
              <w:top w:val="single" w:color="auto" w:sz="4" w:space="0"/>
              <w:left w:val="single" w:color="auto" w:sz="4" w:space="0"/>
              <w:bottom w:val="single" w:color="auto" w:sz="4" w:space="0"/>
              <w:right w:val="single" w:color="auto" w:sz="4" w:space="0"/>
            </w:tcBorders>
            <w:noWrap w:val="0"/>
            <w:vAlign w:val="center"/>
          </w:tcPr>
          <w:p w14:paraId="6B0861BB">
            <w:pPr>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bCs/>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i w:val="0"/>
                <w:color w:val="auto"/>
                <w:kern w:val="0"/>
                <w:sz w:val="24"/>
                <w:szCs w:val="24"/>
                <w:highlight w:val="none"/>
                <w:u w:val="none"/>
                <w:lang w:val="en-US" w:eastAsia="zh-CN"/>
              </w:rPr>
              <w:t>根据本项目特点，设定科学合理的管理机构及岗位，机构人员构成合理，岗位齐全，职责分工明确，较好的得4-</w:t>
            </w:r>
            <w:r>
              <w:rPr>
                <w:rFonts w:hint="eastAsia" w:ascii="宋体" w:hAnsi="宋体" w:cs="宋体"/>
                <w:i w:val="0"/>
                <w:color w:val="auto"/>
                <w:kern w:val="0"/>
                <w:sz w:val="24"/>
                <w:szCs w:val="24"/>
                <w:highlight w:val="none"/>
                <w:u w:val="none"/>
                <w:lang w:val="en-US" w:eastAsia="zh-CN"/>
              </w:rPr>
              <w:t>5</w:t>
            </w:r>
            <w:r>
              <w:rPr>
                <w:rFonts w:hint="eastAsia" w:ascii="宋体" w:hAnsi="宋体" w:eastAsia="宋体" w:cs="宋体"/>
                <w:i w:val="0"/>
                <w:color w:val="auto"/>
                <w:kern w:val="0"/>
                <w:sz w:val="24"/>
                <w:szCs w:val="24"/>
                <w:highlight w:val="none"/>
                <w:u w:val="none"/>
                <w:lang w:val="en-US" w:eastAsia="zh-CN"/>
              </w:rPr>
              <w:t>分，一般的得1-3分，没有不得分（附主要管理、工作人员花名册及其简历基本信息）</w:t>
            </w:r>
          </w:p>
        </w:tc>
        <w:tc>
          <w:tcPr>
            <w:tcW w:w="779" w:type="dxa"/>
            <w:tcBorders>
              <w:top w:val="single" w:color="auto" w:sz="4" w:space="0"/>
              <w:left w:val="single" w:color="auto" w:sz="4" w:space="0"/>
              <w:bottom w:val="single" w:color="auto" w:sz="4" w:space="0"/>
              <w:right w:val="single" w:color="auto" w:sz="4" w:space="0"/>
            </w:tcBorders>
            <w:noWrap w:val="0"/>
            <w:vAlign w:val="center"/>
          </w:tcPr>
          <w:p w14:paraId="409719A0">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i w:val="0"/>
                <w:color w:val="auto"/>
                <w:kern w:val="0"/>
                <w:sz w:val="24"/>
                <w:szCs w:val="24"/>
                <w:highlight w:val="none"/>
                <w:u w:val="none"/>
                <w:lang w:val="en-US" w:eastAsia="zh-CN"/>
              </w:rPr>
              <w:t>5</w:t>
            </w:r>
          </w:p>
        </w:tc>
      </w:tr>
      <w:tr w14:paraId="101D6C26">
        <w:tblPrEx>
          <w:tblCellMar>
            <w:top w:w="0" w:type="dxa"/>
            <w:left w:w="108" w:type="dxa"/>
            <w:bottom w:w="0" w:type="dxa"/>
            <w:right w:w="108" w:type="dxa"/>
          </w:tblCellMar>
        </w:tblPrEx>
        <w:trPr>
          <w:trHeight w:val="1007" w:hRule="atLeast"/>
        </w:trPr>
        <w:tc>
          <w:tcPr>
            <w:tcW w:w="520" w:type="dxa"/>
            <w:vMerge w:val="continue"/>
            <w:tcBorders>
              <w:left w:val="single" w:color="auto" w:sz="4" w:space="0"/>
              <w:right w:val="single" w:color="auto" w:sz="4" w:space="0"/>
            </w:tcBorders>
            <w:noWrap w:val="0"/>
            <w:textDirection w:val="lrTbV"/>
            <w:vAlign w:val="center"/>
          </w:tcPr>
          <w:p w14:paraId="09E24EA6">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lang w:val="en-US" w:eastAsia="zh-CN"/>
              </w:rPr>
            </w:pPr>
          </w:p>
        </w:tc>
        <w:tc>
          <w:tcPr>
            <w:tcW w:w="1388" w:type="dxa"/>
            <w:vMerge w:val="continue"/>
            <w:tcBorders>
              <w:left w:val="single" w:color="auto" w:sz="4" w:space="0"/>
              <w:right w:val="single" w:color="auto" w:sz="4" w:space="0"/>
            </w:tcBorders>
            <w:noWrap w:val="0"/>
            <w:vAlign w:val="center"/>
          </w:tcPr>
          <w:p w14:paraId="34661B02">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kern w:val="0"/>
                <w:sz w:val="24"/>
                <w:szCs w:val="24"/>
                <w:highlight w:val="none"/>
                <w:lang w:val="en-US" w:eastAsia="zh-CN"/>
              </w:rPr>
            </w:pPr>
          </w:p>
        </w:tc>
        <w:tc>
          <w:tcPr>
            <w:tcW w:w="7173" w:type="dxa"/>
            <w:tcBorders>
              <w:top w:val="single" w:color="auto" w:sz="4" w:space="0"/>
              <w:left w:val="single" w:color="auto" w:sz="4" w:space="0"/>
              <w:bottom w:val="single" w:color="auto" w:sz="4" w:space="0"/>
              <w:right w:val="single" w:color="auto" w:sz="4" w:space="0"/>
            </w:tcBorders>
            <w:noWrap w:val="0"/>
            <w:vAlign w:val="center"/>
          </w:tcPr>
          <w:p w14:paraId="1476B19D">
            <w:pPr>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选派的管理人员</w:t>
            </w:r>
            <w:r>
              <w:rPr>
                <w:rFonts w:hint="eastAsia" w:ascii="宋体" w:hAnsi="宋体" w:cs="宋体"/>
                <w:color w:val="auto"/>
                <w:kern w:val="0"/>
                <w:sz w:val="24"/>
                <w:szCs w:val="24"/>
                <w:highlight w:val="none"/>
                <w:lang w:eastAsia="zh-CN"/>
              </w:rPr>
              <w:t>、工作人员</w:t>
            </w:r>
            <w:r>
              <w:rPr>
                <w:rFonts w:hint="eastAsia" w:ascii="宋体" w:hAnsi="宋体" w:eastAsia="宋体" w:cs="宋体"/>
                <w:color w:val="auto"/>
                <w:kern w:val="0"/>
                <w:sz w:val="24"/>
                <w:szCs w:val="24"/>
                <w:highlight w:val="none"/>
              </w:rPr>
              <w:t>综合素质较高、经验丰富、配备合理</w:t>
            </w:r>
            <w:r>
              <w:rPr>
                <w:rFonts w:hint="eastAsia" w:ascii="宋体" w:hAnsi="宋体" w:cs="宋体"/>
                <w:color w:val="auto"/>
                <w:kern w:val="0"/>
                <w:sz w:val="24"/>
                <w:szCs w:val="24"/>
                <w:highlight w:val="none"/>
                <w:lang w:eastAsia="zh-CN"/>
              </w:rPr>
              <w:t>的</w:t>
            </w:r>
            <w:r>
              <w:rPr>
                <w:rFonts w:hint="eastAsia" w:ascii="宋体" w:hAnsi="宋体" w:eastAsia="宋体" w:cs="宋体"/>
                <w:color w:val="auto"/>
                <w:kern w:val="0"/>
                <w:sz w:val="24"/>
                <w:szCs w:val="24"/>
                <w:highlight w:val="none"/>
              </w:rPr>
              <w:t>，较优者得4-</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分，一般者得1-3分。</w:t>
            </w:r>
          </w:p>
          <w:p w14:paraId="558EDB87">
            <w:pPr>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（附主要管理、工作人员花名册及其简历基本信息、</w:t>
            </w:r>
            <w:r>
              <w:rPr>
                <w:rFonts w:hint="eastAsia" w:ascii="宋体" w:hAnsi="宋体" w:cs="宋体"/>
                <w:color w:val="auto"/>
                <w:kern w:val="0"/>
                <w:sz w:val="24"/>
                <w:szCs w:val="24"/>
                <w:highlight w:val="none"/>
                <w:lang w:eastAsia="zh-CN"/>
              </w:rPr>
              <w:t>社保缴纳证明</w:t>
            </w:r>
            <w:r>
              <w:rPr>
                <w:rFonts w:hint="eastAsia" w:ascii="宋体" w:hAnsi="宋体" w:eastAsia="宋体" w:cs="宋体"/>
                <w:color w:val="auto"/>
                <w:kern w:val="0"/>
                <w:sz w:val="24"/>
                <w:szCs w:val="24"/>
                <w:highlight w:val="none"/>
              </w:rPr>
              <w:t>、证</w:t>
            </w:r>
            <w:r>
              <w:rPr>
                <w:rFonts w:hint="eastAsia" w:ascii="宋体" w:hAnsi="宋体" w:cs="宋体"/>
                <w:color w:val="auto"/>
                <w:kern w:val="0"/>
                <w:sz w:val="24"/>
                <w:szCs w:val="24"/>
                <w:highlight w:val="none"/>
                <w:lang w:eastAsia="zh-CN"/>
              </w:rPr>
              <w:t>书、</w:t>
            </w:r>
            <w:r>
              <w:rPr>
                <w:rFonts w:hint="eastAsia" w:ascii="宋体" w:hAnsi="宋体" w:cs="宋体"/>
                <w:color w:val="auto"/>
                <w:kern w:val="0"/>
                <w:sz w:val="24"/>
                <w:szCs w:val="24"/>
                <w:highlight w:val="none"/>
                <w:lang w:val="en-US" w:eastAsia="zh-CN"/>
              </w:rPr>
              <w:t>证件等相应证明材料复印件</w:t>
            </w:r>
            <w:r>
              <w:rPr>
                <w:rFonts w:hint="eastAsia" w:ascii="宋体" w:hAnsi="宋体" w:eastAsia="宋体" w:cs="宋体"/>
                <w:color w:val="auto"/>
                <w:kern w:val="0"/>
                <w:sz w:val="24"/>
                <w:szCs w:val="24"/>
                <w:highlight w:val="none"/>
              </w:rPr>
              <w:t>）</w:t>
            </w:r>
          </w:p>
        </w:tc>
        <w:tc>
          <w:tcPr>
            <w:tcW w:w="779" w:type="dxa"/>
            <w:tcBorders>
              <w:top w:val="single" w:color="auto" w:sz="4" w:space="0"/>
              <w:left w:val="single" w:color="auto" w:sz="4" w:space="0"/>
              <w:bottom w:val="single" w:color="auto" w:sz="4" w:space="0"/>
              <w:right w:val="single" w:color="auto" w:sz="4" w:space="0"/>
            </w:tcBorders>
            <w:noWrap w:val="0"/>
            <w:vAlign w:val="center"/>
          </w:tcPr>
          <w:p w14:paraId="1C48E841">
            <w:pPr>
              <w:pageBreakBefore w:val="0"/>
              <w:widowControl/>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color w:val="auto"/>
                <w:kern w:val="0"/>
                <w:sz w:val="24"/>
                <w:szCs w:val="24"/>
                <w:highlight w:val="none"/>
                <w:u w:val="none"/>
                <w:lang w:val="en-US" w:eastAsia="zh-CN"/>
              </w:rPr>
            </w:pPr>
            <w:r>
              <w:rPr>
                <w:rFonts w:hint="eastAsia" w:ascii="宋体" w:hAnsi="宋体" w:cs="宋体"/>
                <w:i w:val="0"/>
                <w:color w:val="auto"/>
                <w:kern w:val="0"/>
                <w:sz w:val="24"/>
                <w:szCs w:val="24"/>
                <w:highlight w:val="none"/>
                <w:u w:val="none"/>
                <w:lang w:val="en-US" w:eastAsia="zh-CN"/>
              </w:rPr>
              <w:t>5</w:t>
            </w:r>
          </w:p>
        </w:tc>
      </w:tr>
      <w:tr w14:paraId="522DA737">
        <w:tblPrEx>
          <w:tblCellMar>
            <w:top w:w="0" w:type="dxa"/>
            <w:left w:w="108" w:type="dxa"/>
            <w:bottom w:w="0" w:type="dxa"/>
            <w:right w:w="108" w:type="dxa"/>
          </w:tblCellMar>
        </w:tblPrEx>
        <w:trPr>
          <w:trHeight w:val="589" w:hRule="atLeast"/>
        </w:trPr>
        <w:tc>
          <w:tcPr>
            <w:tcW w:w="520" w:type="dxa"/>
            <w:vMerge w:val="continue"/>
            <w:tcBorders>
              <w:left w:val="single" w:color="auto" w:sz="4" w:space="0"/>
              <w:right w:val="single" w:color="auto" w:sz="4" w:space="0"/>
            </w:tcBorders>
            <w:noWrap w:val="0"/>
            <w:textDirection w:val="lrTbV"/>
            <w:vAlign w:val="center"/>
          </w:tcPr>
          <w:p w14:paraId="3C0ED9AD">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lang w:val="en-US" w:eastAsia="zh-CN"/>
              </w:rPr>
            </w:pPr>
          </w:p>
        </w:tc>
        <w:tc>
          <w:tcPr>
            <w:tcW w:w="1388" w:type="dxa"/>
            <w:vMerge w:val="continue"/>
            <w:tcBorders>
              <w:left w:val="single" w:color="auto" w:sz="4" w:space="0"/>
              <w:right w:val="single" w:color="auto" w:sz="4" w:space="0"/>
            </w:tcBorders>
            <w:noWrap w:val="0"/>
            <w:vAlign w:val="center"/>
          </w:tcPr>
          <w:p w14:paraId="778CBB5F">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Cs/>
                <w:color w:val="auto"/>
                <w:kern w:val="2"/>
                <w:sz w:val="24"/>
                <w:szCs w:val="24"/>
                <w:highlight w:val="none"/>
                <w:lang w:val="en-US" w:eastAsia="zh-CN" w:bidi="ar-SA"/>
              </w:rPr>
            </w:pPr>
          </w:p>
        </w:tc>
        <w:tc>
          <w:tcPr>
            <w:tcW w:w="7173" w:type="dxa"/>
            <w:tcBorders>
              <w:top w:val="single" w:color="auto" w:sz="4" w:space="0"/>
              <w:left w:val="single" w:color="auto" w:sz="4" w:space="0"/>
              <w:bottom w:val="single" w:color="auto" w:sz="4" w:space="0"/>
              <w:right w:val="single" w:color="auto" w:sz="4" w:space="0"/>
            </w:tcBorders>
            <w:noWrap w:val="0"/>
            <w:vAlign w:val="center"/>
          </w:tcPr>
          <w:p w14:paraId="031B02DE">
            <w:pPr>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i w:val="0"/>
                <w:color w:val="auto"/>
                <w:kern w:val="0"/>
                <w:sz w:val="24"/>
                <w:szCs w:val="24"/>
                <w:highlight w:val="none"/>
                <w:u w:val="none"/>
                <w:lang w:val="en-US" w:eastAsia="zh-CN"/>
              </w:rPr>
              <w:t>为确保服务质量，制定服务期内对相关人员的培训方案，得0-5分。</w:t>
            </w:r>
          </w:p>
        </w:tc>
        <w:tc>
          <w:tcPr>
            <w:tcW w:w="779" w:type="dxa"/>
            <w:tcBorders>
              <w:top w:val="single" w:color="auto" w:sz="4" w:space="0"/>
              <w:left w:val="single" w:color="auto" w:sz="4" w:space="0"/>
              <w:bottom w:val="single" w:color="auto" w:sz="4" w:space="0"/>
              <w:right w:val="single" w:color="auto" w:sz="4" w:space="0"/>
            </w:tcBorders>
            <w:noWrap w:val="0"/>
            <w:vAlign w:val="center"/>
          </w:tcPr>
          <w:p w14:paraId="314A79C2">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i w:val="0"/>
                <w:color w:val="auto"/>
                <w:kern w:val="0"/>
                <w:sz w:val="24"/>
                <w:szCs w:val="24"/>
                <w:highlight w:val="none"/>
                <w:u w:val="none"/>
                <w:lang w:val="en-US" w:eastAsia="zh-CN"/>
              </w:rPr>
              <w:t>5</w:t>
            </w:r>
          </w:p>
        </w:tc>
      </w:tr>
      <w:tr w14:paraId="617CA821">
        <w:tblPrEx>
          <w:tblCellMar>
            <w:top w:w="0" w:type="dxa"/>
            <w:left w:w="108" w:type="dxa"/>
            <w:bottom w:w="0" w:type="dxa"/>
            <w:right w:w="108" w:type="dxa"/>
          </w:tblCellMar>
        </w:tblPrEx>
        <w:trPr>
          <w:trHeight w:val="605" w:hRule="atLeast"/>
        </w:trPr>
        <w:tc>
          <w:tcPr>
            <w:tcW w:w="520" w:type="dxa"/>
            <w:vMerge w:val="continue"/>
            <w:tcBorders>
              <w:left w:val="single" w:color="auto" w:sz="4" w:space="0"/>
              <w:right w:val="single" w:color="auto" w:sz="4" w:space="0"/>
            </w:tcBorders>
            <w:noWrap w:val="0"/>
            <w:textDirection w:val="lrTbV"/>
            <w:vAlign w:val="center"/>
          </w:tcPr>
          <w:p w14:paraId="1BB3F32F">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lang w:val="en-US" w:eastAsia="zh-CN"/>
              </w:rPr>
            </w:pPr>
          </w:p>
        </w:tc>
        <w:tc>
          <w:tcPr>
            <w:tcW w:w="1388" w:type="dxa"/>
            <w:vMerge w:val="continue"/>
            <w:tcBorders>
              <w:left w:val="single" w:color="auto" w:sz="4" w:space="0"/>
              <w:right w:val="single" w:color="auto" w:sz="4" w:space="0"/>
            </w:tcBorders>
            <w:noWrap w:val="0"/>
            <w:vAlign w:val="center"/>
          </w:tcPr>
          <w:p w14:paraId="24F32FCF">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Cs/>
                <w:color w:val="auto"/>
                <w:kern w:val="2"/>
                <w:sz w:val="24"/>
                <w:szCs w:val="24"/>
                <w:highlight w:val="none"/>
                <w:lang w:val="en-US" w:eastAsia="zh-CN" w:bidi="ar-SA"/>
              </w:rPr>
            </w:pPr>
          </w:p>
        </w:tc>
        <w:tc>
          <w:tcPr>
            <w:tcW w:w="7173" w:type="dxa"/>
            <w:tcBorders>
              <w:top w:val="single" w:color="auto" w:sz="4" w:space="0"/>
              <w:left w:val="single" w:color="auto" w:sz="4" w:space="0"/>
              <w:bottom w:val="single" w:color="auto" w:sz="4" w:space="0"/>
              <w:right w:val="single" w:color="auto" w:sz="4" w:space="0"/>
            </w:tcBorders>
            <w:noWrap w:val="0"/>
            <w:vAlign w:val="center"/>
          </w:tcPr>
          <w:p w14:paraId="5FDAFAD1">
            <w:pPr>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bCs/>
                <w:color w:val="auto"/>
                <w:kern w:val="0"/>
                <w:sz w:val="24"/>
                <w:szCs w:val="24"/>
                <w:highlight w:val="none"/>
                <w:lang w:val="zh-CN" w:eastAsia="zh-CN"/>
              </w:rPr>
            </w:pPr>
            <w:r>
              <w:rPr>
                <w:rFonts w:hint="eastAsia" w:ascii="宋体" w:hAnsi="宋体" w:eastAsia="宋体" w:cs="宋体"/>
                <w:i w:val="0"/>
                <w:color w:val="auto"/>
                <w:kern w:val="0"/>
                <w:sz w:val="24"/>
                <w:szCs w:val="24"/>
                <w:highlight w:val="none"/>
                <w:u w:val="none"/>
                <w:lang w:val="en-US" w:eastAsia="zh-CN"/>
              </w:rPr>
              <w:t>为确保服务队伍稳定，减少人员流动性，制定相应措施，得0-5分。</w:t>
            </w:r>
          </w:p>
        </w:tc>
        <w:tc>
          <w:tcPr>
            <w:tcW w:w="779" w:type="dxa"/>
            <w:tcBorders>
              <w:top w:val="single" w:color="auto" w:sz="4" w:space="0"/>
              <w:left w:val="single" w:color="auto" w:sz="4" w:space="0"/>
              <w:bottom w:val="single" w:color="auto" w:sz="4" w:space="0"/>
              <w:right w:val="single" w:color="auto" w:sz="4" w:space="0"/>
            </w:tcBorders>
            <w:noWrap w:val="0"/>
            <w:vAlign w:val="center"/>
          </w:tcPr>
          <w:p w14:paraId="4B05468E">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i w:val="0"/>
                <w:color w:val="auto"/>
                <w:kern w:val="0"/>
                <w:sz w:val="24"/>
                <w:szCs w:val="24"/>
                <w:highlight w:val="none"/>
                <w:u w:val="none"/>
                <w:lang w:val="en-US" w:eastAsia="zh-CN"/>
              </w:rPr>
              <w:t>5</w:t>
            </w:r>
          </w:p>
        </w:tc>
      </w:tr>
      <w:tr w14:paraId="38B6F14A">
        <w:tblPrEx>
          <w:tblCellMar>
            <w:top w:w="0" w:type="dxa"/>
            <w:left w:w="108" w:type="dxa"/>
            <w:bottom w:w="0" w:type="dxa"/>
            <w:right w:w="108" w:type="dxa"/>
          </w:tblCellMar>
        </w:tblPrEx>
        <w:trPr>
          <w:trHeight w:val="466" w:hRule="atLeast"/>
        </w:trPr>
        <w:tc>
          <w:tcPr>
            <w:tcW w:w="9081" w:type="dxa"/>
            <w:gridSpan w:val="3"/>
            <w:tcBorders>
              <w:top w:val="single" w:color="auto" w:sz="4" w:space="0"/>
              <w:left w:val="single" w:color="auto" w:sz="4" w:space="0"/>
              <w:bottom w:val="single" w:color="auto" w:sz="4" w:space="0"/>
              <w:right w:val="single" w:color="auto" w:sz="4" w:space="0"/>
            </w:tcBorders>
            <w:noWrap w:val="0"/>
            <w:vAlign w:val="center"/>
          </w:tcPr>
          <w:p w14:paraId="76054193">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评审得分合计</w:t>
            </w:r>
          </w:p>
        </w:tc>
        <w:tc>
          <w:tcPr>
            <w:tcW w:w="779" w:type="dxa"/>
            <w:tcBorders>
              <w:top w:val="single" w:color="auto" w:sz="4" w:space="0"/>
              <w:left w:val="single" w:color="auto" w:sz="4" w:space="0"/>
              <w:bottom w:val="single" w:color="auto" w:sz="4" w:space="0"/>
              <w:right w:val="single" w:color="auto" w:sz="4" w:space="0"/>
            </w:tcBorders>
            <w:noWrap w:val="0"/>
            <w:vAlign w:val="center"/>
          </w:tcPr>
          <w:p w14:paraId="06938EBD">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w:t>
            </w:r>
          </w:p>
        </w:tc>
      </w:tr>
      <w:tr w14:paraId="6264419A">
        <w:tblPrEx>
          <w:tblCellMar>
            <w:top w:w="0" w:type="dxa"/>
            <w:left w:w="108" w:type="dxa"/>
            <w:bottom w:w="0" w:type="dxa"/>
            <w:right w:w="108" w:type="dxa"/>
          </w:tblCellMar>
        </w:tblPrEx>
        <w:trPr>
          <w:trHeight w:val="503" w:hRule="atLeast"/>
        </w:trPr>
        <w:tc>
          <w:tcPr>
            <w:tcW w:w="9081" w:type="dxa"/>
            <w:gridSpan w:val="3"/>
            <w:tcBorders>
              <w:top w:val="single" w:color="auto" w:sz="4" w:space="0"/>
              <w:left w:val="single" w:color="auto" w:sz="4" w:space="0"/>
              <w:bottom w:val="single" w:color="auto" w:sz="4" w:space="0"/>
              <w:right w:val="single" w:color="auto" w:sz="4" w:space="0"/>
            </w:tcBorders>
            <w:noWrap w:val="0"/>
            <w:vAlign w:val="center"/>
          </w:tcPr>
          <w:p w14:paraId="7E2A8F2E">
            <w:pPr>
              <w:keepNext w:val="0"/>
              <w:keepLines w:val="0"/>
              <w:pageBreakBefore w:val="0"/>
              <w:kinsoku/>
              <w:wordWrap/>
              <w:overflowPunct/>
              <w:topLinePunct w:val="0"/>
              <w:autoSpaceDE/>
              <w:autoSpaceDN/>
              <w:bidi w:val="0"/>
              <w:spacing w:line="360" w:lineRule="auto"/>
              <w:ind w:firstLine="482" w:firstLineChars="2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注：评分计算结果保留两位小数，第三位小数四舍五入。</w:t>
            </w:r>
          </w:p>
        </w:tc>
        <w:tc>
          <w:tcPr>
            <w:tcW w:w="779" w:type="dxa"/>
            <w:tcBorders>
              <w:top w:val="single" w:color="auto" w:sz="4" w:space="0"/>
              <w:left w:val="single" w:color="auto" w:sz="4" w:space="0"/>
              <w:bottom w:val="single" w:color="auto" w:sz="4" w:space="0"/>
              <w:right w:val="single" w:color="auto" w:sz="4" w:space="0"/>
            </w:tcBorders>
            <w:noWrap w:val="0"/>
            <w:vAlign w:val="center"/>
          </w:tcPr>
          <w:p w14:paraId="6750158C">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rPr>
            </w:pPr>
          </w:p>
        </w:tc>
      </w:tr>
    </w:tbl>
    <w:p w14:paraId="4866EB52">
      <w:pPr>
        <w:spacing w:line="360" w:lineRule="auto"/>
        <w:ind w:firstLine="422" w:firstLineChars="175"/>
        <w:jc w:val="left"/>
        <w:rPr>
          <w:rFonts w:hint="eastAsia" w:ascii="宋体" w:hAnsi="宋体" w:eastAsia="宋体" w:cs="宋体"/>
          <w:b/>
          <w:color w:val="auto"/>
          <w:sz w:val="24"/>
          <w:highlight w:val="none"/>
        </w:rPr>
      </w:pPr>
    </w:p>
    <w:p w14:paraId="32D1001A">
      <w:pPr>
        <w:spacing w:line="360" w:lineRule="auto"/>
        <w:ind w:firstLine="422" w:firstLineChars="175"/>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关于中小企业：</w:t>
      </w:r>
    </w:p>
    <w:p w14:paraId="23EECAB5">
      <w:pPr>
        <w:spacing w:line="360" w:lineRule="auto"/>
        <w:ind w:firstLine="422" w:firstLineChars="175"/>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在政府采购活动中，供应商提供的货物、工程或者服务符合下列情形的，享受本办法(</w:t>
      </w:r>
      <w:r>
        <w:rPr>
          <w:rFonts w:hint="eastAsia" w:ascii="宋体" w:hAnsi="宋体" w:eastAsia="宋体" w:cs="宋体"/>
          <w:color w:val="auto"/>
          <w:sz w:val="24"/>
          <w:highlight w:val="none"/>
        </w:rPr>
        <w:t>《财政部 工业和信息化部关于印发&lt;政府采购促进中小企业发展管理办法&gt;的通知》（财库〔2020〕46号）</w:t>
      </w:r>
      <w:r>
        <w:rPr>
          <w:rFonts w:hint="eastAsia" w:ascii="宋体" w:hAnsi="宋体" w:eastAsia="宋体" w:cs="宋体"/>
          <w:b/>
          <w:bCs/>
          <w:color w:val="auto"/>
          <w:sz w:val="24"/>
          <w:highlight w:val="none"/>
        </w:rPr>
        <w:t>)</w:t>
      </w:r>
      <w:r>
        <w:rPr>
          <w:rFonts w:hint="eastAsia" w:ascii="宋体" w:hAnsi="宋体" w:eastAsia="宋体" w:cs="宋体"/>
          <w:b/>
          <w:color w:val="auto"/>
          <w:sz w:val="24"/>
          <w:highlight w:val="none"/>
        </w:rPr>
        <w:t>规定的中小企业扶持政策：</w:t>
      </w:r>
    </w:p>
    <w:p w14:paraId="665881DB">
      <w:pPr>
        <w:spacing w:line="360" w:lineRule="auto"/>
        <w:ind w:firstLine="422" w:firstLineChars="175"/>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（一）在货物采购项目中，货物由中小企业制造，即货物由中小企业生产且使用该中小企业商号或者注册商标；</w:t>
      </w:r>
    </w:p>
    <w:p w14:paraId="4B02F33F">
      <w:pPr>
        <w:spacing w:line="360" w:lineRule="auto"/>
        <w:ind w:firstLine="422" w:firstLineChars="175"/>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（二）在工程采购项目中，工程由中小企业承建，即工程施工单位为中小企业；</w:t>
      </w:r>
    </w:p>
    <w:p w14:paraId="35D0A7CE">
      <w:pPr>
        <w:tabs>
          <w:tab w:val="left" w:pos="6387"/>
        </w:tabs>
        <w:spacing w:line="360" w:lineRule="auto"/>
        <w:ind w:firstLine="422" w:firstLineChars="175"/>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（三）在服务采购项目中，服务由中小企业承接，即提供服务的人员为中小企业依照《中华人民共和国劳动合同法》订立劳动合同的从业人员。</w:t>
      </w:r>
    </w:p>
    <w:p w14:paraId="5974C133">
      <w:pPr>
        <w:spacing w:line="360" w:lineRule="auto"/>
        <w:ind w:firstLine="422" w:firstLineChars="175"/>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在货物采购项目中，供应商提供的货物既有中小企业制造货物，也有大型企业制造货物的，不享受本办法规定的中小企业扶持政策。</w:t>
      </w:r>
    </w:p>
    <w:p w14:paraId="4D3DD599">
      <w:pPr>
        <w:spacing w:line="360" w:lineRule="auto"/>
        <w:ind w:firstLine="422" w:firstLineChars="175"/>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以联合体形式参加政府采购活动，联合体各方均为中小企业的，联合体视同中小企业。其中，联合体各方均为小微企业的，联合体视同小微企业。</w:t>
      </w:r>
    </w:p>
    <w:p w14:paraId="3BB6A81E">
      <w:pPr>
        <w:spacing w:line="360" w:lineRule="auto"/>
        <w:ind w:firstLine="422" w:firstLineChars="175"/>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中小企业划型标准详见《工业和信息化部、国家统计局、国家发展和改革委员会、财政部关于印发中小企业划型标准规定的通知》（工信部联企业〔2011〕300号）。</w:t>
      </w:r>
    </w:p>
    <w:p w14:paraId="431D3FB4">
      <w:pPr>
        <w:rPr>
          <w:rFonts w:hint="eastAsia" w:ascii="宋体" w:hAnsi="宋体" w:eastAsia="宋体" w:cs="宋体"/>
          <w:color w:val="auto"/>
          <w:sz w:val="32"/>
          <w:szCs w:val="32"/>
          <w:highlight w:val="none"/>
        </w:rPr>
      </w:pPr>
    </w:p>
    <w:sectPr>
      <w:headerReference r:id="rId7" w:type="first"/>
      <w:footerReference r:id="rId10" w:type="first"/>
      <w:headerReference r:id="rId6" w:type="default"/>
      <w:footerReference r:id="rId8" w:type="default"/>
      <w:footerReference r:id="rId9" w:type="even"/>
      <w:pgSz w:w="11905" w:h="16838"/>
      <w:pgMar w:top="1440" w:right="1080" w:bottom="1440" w:left="1080" w:header="850" w:footer="850" w:gutter="0"/>
      <w:pgNumType w:fmt="decimal" w:start="1"/>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魏碑体">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幼圆">
    <w:altName w:val="宋体"/>
    <w:panose1 w:val="0201050906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 w:name="MingLiU">
    <w:panose1 w:val="02020509000000000000"/>
    <w:charset w:val="88"/>
    <w:family w:val="auto"/>
    <w:pitch w:val="default"/>
    <w:sig w:usb0="A00002FF" w:usb1="28CFFCFA" w:usb2="00000016" w:usb3="00000000" w:csb0="00100001" w:csb1="00000000"/>
  </w:font>
  <w:font w:name="Arial Unicode MS">
    <w:altName w:val="宋体"/>
    <w:panose1 w:val="020B0604020202020204"/>
    <w:charset w:val="86"/>
    <w:family w:val="auto"/>
    <w:pitch w:val="default"/>
    <w:sig w:usb0="00000000" w:usb1="00000000" w:usb2="0000003F" w:usb3="00000000" w:csb0="603F01FF" w:csb1="FFFF0000"/>
  </w:font>
  <w:font w:name=".a..DD..">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ˎ̥">
    <w:altName w:val="Times New Roman"/>
    <w:panose1 w:val="00000000000000000000"/>
    <w:charset w:val="01"/>
    <w:family w:val="auto"/>
    <w:pitch w:val="default"/>
    <w:sig w:usb0="00000000" w:usb1="00000000" w:usb2="00000000" w:usb3="00000000" w:csb0="00040001" w:csb1="00000000"/>
  </w:font>
  <w:font w:name="Arial Black">
    <w:panose1 w:val="020B0A04020102020204"/>
    <w:charset w:val="00"/>
    <w:family w:val="auto"/>
    <w:pitch w:val="default"/>
    <w:sig w:usb0="00000287" w:usb1="00000000" w:usb2="00000000" w:usb3="00000000" w:csb0="2000009F" w:csb1="DFD70000"/>
  </w:font>
  <w:font w:name="文鼎粗黑">
    <w:altName w:val="黑体"/>
    <w:panose1 w:val="00000000000000000000"/>
    <w:charset w:val="86"/>
    <w:family w:val="auto"/>
    <w:pitch w:val="default"/>
    <w:sig w:usb0="00000000" w:usb1="00000000" w:usb2="00000010" w:usb3="00000000" w:csb0="00040000" w:csb1="00000000"/>
  </w:font>
  <w:font w:name="Tms Rmn">
    <w:altName w:val="Times New Roman"/>
    <w:panose1 w:val="02020603040505020304"/>
    <w:charset w:val="00"/>
    <w:family w:val="auto"/>
    <w:pitch w:val="default"/>
    <w:sig w:usb0="00000000" w:usb1="00000000" w:usb2="00000000" w:usb3="00000000" w:csb0="00000001" w:csb1="00000000"/>
  </w:font>
  <w:font w:name="华文新魏">
    <w:altName w:val="宋体"/>
    <w:panose1 w:val="02010800040101010101"/>
    <w:charset w:val="86"/>
    <w:family w:val="auto"/>
    <w:pitch w:val="default"/>
    <w:sig w:usb0="00000000" w:usb1="00000000" w:usb2="00000000" w:usb3="00000000" w:csb0="00040000" w:csb1="00000000"/>
  </w:font>
  <w:font w:name="Times">
    <w:altName w:val="Times New Roman"/>
    <w:panose1 w:val="02020603050405020304"/>
    <w:charset w:val="00"/>
    <w:family w:val="auto"/>
    <w:pitch w:val="default"/>
    <w:sig w:usb0="00000000" w:usb1="00000000" w:usb2="00000009" w:usb3="00000000" w:csb0="000001FF" w:csb1="00000000"/>
  </w:font>
  <w:font w:name="Angsana New">
    <w:panose1 w:val="02020603050405020304"/>
    <w:charset w:val="00"/>
    <w:family w:val="auto"/>
    <w:pitch w:val="default"/>
    <w:sig w:usb0="81000003" w:usb1="00000000" w:usb2="00000000" w:usb3="00000000" w:csb0="00010001" w:csb1="00000000"/>
  </w:font>
  <w:font w:name="楷体">
    <w:panose1 w:val="02010609060101010101"/>
    <w:charset w:val="86"/>
    <w:family w:val="auto"/>
    <w:pitch w:val="default"/>
    <w:sig w:usb0="800002BF" w:usb1="38CF7CFA" w:usb2="00000016" w:usb3="00000000" w:csb0="00040001" w:csb1="00000000"/>
  </w:font>
  <w:font w:name="仿宋体">
    <w:altName w:val="新宋体"/>
    <w:panose1 w:val="00000000000000000000"/>
    <w:charset w:val="86"/>
    <w:family w:val="auto"/>
    <w:pitch w:val="default"/>
    <w:sig w:usb0="00000000" w:usb1="00000000" w:usb2="00000010" w:usb3="00000000" w:csb0="00040001" w:csb1="00000000"/>
  </w:font>
  <w:font w:name="新宋体">
    <w:panose1 w:val="02010609030101010101"/>
    <w:charset w:val="86"/>
    <w:family w:val="auto"/>
    <w:pitch w:val="default"/>
    <w:sig w:usb0="00000003" w:usb1="288F0000" w:usb2="0000000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CED85">
    <w:pPr>
      <w:pStyle w:val="3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25D68">
    <w:pPr>
      <w:pStyle w:val="3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D50AC">
    <w:pPr>
      <w:pStyle w:val="39"/>
      <w:ind w:right="360"/>
    </w:pPr>
    <w:r>
      <w:rPr>
        <w:sz w:val="18"/>
      </w:rPr>
      <w:pict>
        <v:shape id="_x0000_s4100" o:spid="_x0000_s410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15E2BD9C">
                <w:pPr>
                  <w:pStyle w:val="39"/>
                </w:pPr>
                <w:r>
                  <w:fldChar w:fldCharType="begin"/>
                </w:r>
                <w:r>
                  <w:instrText xml:space="preserve"> PAGE  \* MERGEFORMAT </w:instrText>
                </w:r>
                <w:r>
                  <w:fldChar w:fldCharType="separate"/>
                </w:r>
                <w: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85D80">
    <w:pPr>
      <w:pStyle w:val="39"/>
      <w:framePr w:wrap="around" w:vAnchor="text" w:hAnchor="margin" w:xAlign="right" w:y="1"/>
      <w:rPr>
        <w:rStyle w:val="64"/>
      </w:rPr>
    </w:pPr>
    <w:r>
      <w:fldChar w:fldCharType="begin"/>
    </w:r>
    <w:r>
      <w:rPr>
        <w:rStyle w:val="64"/>
      </w:rPr>
      <w:instrText xml:space="preserve">PAGE  </w:instrText>
    </w:r>
    <w:r>
      <w:fldChar w:fldCharType="separate"/>
    </w:r>
    <w:r>
      <w:rPr>
        <w:rStyle w:val="64"/>
      </w:rPr>
      <w:t>40</w:t>
    </w:r>
    <w:r>
      <w:fldChar w:fldCharType="end"/>
    </w:r>
  </w:p>
  <w:p w14:paraId="2B9F43D7">
    <w:pPr>
      <w:pStyle w:val="3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11DA3">
    <w:pPr>
      <w:pStyle w:val="39"/>
    </w:pPr>
    <w:r>
      <w:rPr>
        <w:rFonts w:ascii="Times New Roman" w:hAnsi="Times New Roman" w:eastAsia="宋体" w:cs="Times New Roman"/>
        <w:kern w:val="0"/>
        <w:sz w:val="18"/>
        <w:szCs w:val="18"/>
        <w:lang w:val="en-US" w:eastAsia="zh-CN" w:bidi="ar-SA"/>
      </w:rPr>
      <w:pict>
        <v:rect id="文本框 2" o:spid="_x0000_s4097"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166BBBD0">
                <w:pPr>
                  <w:pStyle w:val="3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31F22">
    <w:pPr>
      <w:pStyle w:val="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60B71">
    <w:pPr>
      <w:pStyle w:val="4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C804E">
    <w:pPr>
      <w:pStyle w:val="4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A0829F"/>
    <w:multiLevelType w:val="singleLevel"/>
    <w:tmpl w:val="9FA0829F"/>
    <w:lvl w:ilvl="0" w:tentative="0">
      <w:start w:val="2"/>
      <w:numFmt w:val="decimal"/>
      <w:suff w:val="nothing"/>
      <w:lvlText w:val="（%1）"/>
      <w:lvlJc w:val="left"/>
    </w:lvl>
  </w:abstractNum>
  <w:abstractNum w:abstractNumId="1">
    <w:nsid w:val="EF944495"/>
    <w:multiLevelType w:val="singleLevel"/>
    <w:tmpl w:val="EF944495"/>
    <w:lvl w:ilvl="0" w:tentative="0">
      <w:start w:val="3"/>
      <w:numFmt w:val="chineseCounting"/>
      <w:suff w:val="nothing"/>
      <w:lvlText w:val="%1、"/>
      <w:lvlJc w:val="left"/>
      <w:rPr>
        <w:rFonts w:hint="eastAsia"/>
      </w:rPr>
    </w:lvl>
  </w:abstractNum>
  <w:abstractNum w:abstractNumId="2">
    <w:nsid w:val="17AEF7CE"/>
    <w:multiLevelType w:val="singleLevel"/>
    <w:tmpl w:val="17AEF7CE"/>
    <w:lvl w:ilvl="0" w:tentative="0">
      <w:start w:val="1"/>
      <w:numFmt w:val="decimal"/>
      <w:lvlText w:val="(%1)"/>
      <w:lvlJc w:val="left"/>
      <w:pPr>
        <w:ind w:left="425" w:hanging="425"/>
      </w:pPr>
      <w:rPr>
        <w:rFonts w:hint="default"/>
      </w:rPr>
    </w:lvl>
  </w:abstractNum>
  <w:abstractNum w:abstractNumId="3">
    <w:nsid w:val="5A214F4A"/>
    <w:multiLevelType w:val="singleLevel"/>
    <w:tmpl w:val="5A214F4A"/>
    <w:lvl w:ilvl="0" w:tentative="0">
      <w:start w:val="1"/>
      <w:numFmt w:val="chineseCounting"/>
      <w:suff w:val="space"/>
      <w:lvlText w:val="第%1章"/>
      <w:lvlJc w:val="left"/>
      <w:rPr>
        <w:rFonts w:hint="eastAsia"/>
      </w:r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金政浩">
    <w15:presenceInfo w15:providerId="None" w15:userId="金政浩"/>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0"/>
  <w:defaultTabStop w:val="420"/>
  <w:drawingGridHorizontalSpacing w:val="210"/>
  <w:drawingGridVerticalSpacing w:val="99999990"/>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ZDkxNGY1ZmY5ZTVmNWVjMTU2NDhiYmZhOTg3N2I5MGMifQ=="/>
  </w:docVars>
  <w:rsids>
    <w:rsidRoot w:val="00583F61"/>
    <w:rsid w:val="00002525"/>
    <w:rsid w:val="0000262F"/>
    <w:rsid w:val="00003660"/>
    <w:rsid w:val="00003DE5"/>
    <w:rsid w:val="000042D0"/>
    <w:rsid w:val="00004FCD"/>
    <w:rsid w:val="000060DE"/>
    <w:rsid w:val="00006A5C"/>
    <w:rsid w:val="00006B79"/>
    <w:rsid w:val="000102F5"/>
    <w:rsid w:val="000113A5"/>
    <w:rsid w:val="00020451"/>
    <w:rsid w:val="00020981"/>
    <w:rsid w:val="00021217"/>
    <w:rsid w:val="000216B7"/>
    <w:rsid w:val="000220E8"/>
    <w:rsid w:val="000228B6"/>
    <w:rsid w:val="000272BA"/>
    <w:rsid w:val="00027C77"/>
    <w:rsid w:val="00030AC6"/>
    <w:rsid w:val="000319D4"/>
    <w:rsid w:val="000326C7"/>
    <w:rsid w:val="00033CF5"/>
    <w:rsid w:val="00035EA9"/>
    <w:rsid w:val="00036722"/>
    <w:rsid w:val="00037F8C"/>
    <w:rsid w:val="00040698"/>
    <w:rsid w:val="00040E70"/>
    <w:rsid w:val="0004120F"/>
    <w:rsid w:val="00050C06"/>
    <w:rsid w:val="00057DCF"/>
    <w:rsid w:val="000603EF"/>
    <w:rsid w:val="00067701"/>
    <w:rsid w:val="00070133"/>
    <w:rsid w:val="00071648"/>
    <w:rsid w:val="0007185B"/>
    <w:rsid w:val="00071BE9"/>
    <w:rsid w:val="00072290"/>
    <w:rsid w:val="00073ABF"/>
    <w:rsid w:val="00076890"/>
    <w:rsid w:val="00082D10"/>
    <w:rsid w:val="00087EBA"/>
    <w:rsid w:val="0009267C"/>
    <w:rsid w:val="000A07FC"/>
    <w:rsid w:val="000A295D"/>
    <w:rsid w:val="000B0BD7"/>
    <w:rsid w:val="000B5574"/>
    <w:rsid w:val="000B5C17"/>
    <w:rsid w:val="000B6BEB"/>
    <w:rsid w:val="000B7050"/>
    <w:rsid w:val="000C06A2"/>
    <w:rsid w:val="000C6152"/>
    <w:rsid w:val="000C6FB8"/>
    <w:rsid w:val="000D2E74"/>
    <w:rsid w:val="000D5E5E"/>
    <w:rsid w:val="000D778C"/>
    <w:rsid w:val="000E2DCC"/>
    <w:rsid w:val="000E6B38"/>
    <w:rsid w:val="000E72BD"/>
    <w:rsid w:val="000F0D13"/>
    <w:rsid w:val="000F1C67"/>
    <w:rsid w:val="000F2BF1"/>
    <w:rsid w:val="001000E4"/>
    <w:rsid w:val="0010149F"/>
    <w:rsid w:val="00102FDB"/>
    <w:rsid w:val="00103108"/>
    <w:rsid w:val="00103B3F"/>
    <w:rsid w:val="00110F6E"/>
    <w:rsid w:val="00112A68"/>
    <w:rsid w:val="00113A82"/>
    <w:rsid w:val="00114A98"/>
    <w:rsid w:val="001151E1"/>
    <w:rsid w:val="0011570C"/>
    <w:rsid w:val="00115AEE"/>
    <w:rsid w:val="00116415"/>
    <w:rsid w:val="00116C10"/>
    <w:rsid w:val="00121D0F"/>
    <w:rsid w:val="001221DF"/>
    <w:rsid w:val="0012239A"/>
    <w:rsid w:val="001235E7"/>
    <w:rsid w:val="00132588"/>
    <w:rsid w:val="00133646"/>
    <w:rsid w:val="0013387F"/>
    <w:rsid w:val="00133FDC"/>
    <w:rsid w:val="0013470C"/>
    <w:rsid w:val="00135A5C"/>
    <w:rsid w:val="00137B3E"/>
    <w:rsid w:val="00143377"/>
    <w:rsid w:val="001473D1"/>
    <w:rsid w:val="00153701"/>
    <w:rsid w:val="00154E89"/>
    <w:rsid w:val="0015550A"/>
    <w:rsid w:val="00155A57"/>
    <w:rsid w:val="0015767E"/>
    <w:rsid w:val="00157EEC"/>
    <w:rsid w:val="001611E4"/>
    <w:rsid w:val="00161F68"/>
    <w:rsid w:val="00163081"/>
    <w:rsid w:val="00163B52"/>
    <w:rsid w:val="00163F34"/>
    <w:rsid w:val="00164445"/>
    <w:rsid w:val="00164F48"/>
    <w:rsid w:val="001765A4"/>
    <w:rsid w:val="00176EBF"/>
    <w:rsid w:val="00181429"/>
    <w:rsid w:val="001818B1"/>
    <w:rsid w:val="00181957"/>
    <w:rsid w:val="0018380E"/>
    <w:rsid w:val="00197309"/>
    <w:rsid w:val="00197DF7"/>
    <w:rsid w:val="001A1384"/>
    <w:rsid w:val="001A4E09"/>
    <w:rsid w:val="001A5149"/>
    <w:rsid w:val="001A6641"/>
    <w:rsid w:val="001A6827"/>
    <w:rsid w:val="001A72F4"/>
    <w:rsid w:val="001B0206"/>
    <w:rsid w:val="001B07AB"/>
    <w:rsid w:val="001B372B"/>
    <w:rsid w:val="001B3823"/>
    <w:rsid w:val="001B5BEB"/>
    <w:rsid w:val="001B691F"/>
    <w:rsid w:val="001C1DE8"/>
    <w:rsid w:val="001D2310"/>
    <w:rsid w:val="001D6909"/>
    <w:rsid w:val="001D6AA4"/>
    <w:rsid w:val="001E13FB"/>
    <w:rsid w:val="001E26CD"/>
    <w:rsid w:val="001F0B2F"/>
    <w:rsid w:val="001F1398"/>
    <w:rsid w:val="001F1DE5"/>
    <w:rsid w:val="001F2230"/>
    <w:rsid w:val="001F2EBF"/>
    <w:rsid w:val="001F376D"/>
    <w:rsid w:val="001F4D4F"/>
    <w:rsid w:val="001F649C"/>
    <w:rsid w:val="002012F9"/>
    <w:rsid w:val="00201C4D"/>
    <w:rsid w:val="00202CBC"/>
    <w:rsid w:val="00203DBE"/>
    <w:rsid w:val="00203F5A"/>
    <w:rsid w:val="00205DAA"/>
    <w:rsid w:val="002060B0"/>
    <w:rsid w:val="00207E29"/>
    <w:rsid w:val="0021045A"/>
    <w:rsid w:val="00212FA6"/>
    <w:rsid w:val="002178B9"/>
    <w:rsid w:val="00220BB4"/>
    <w:rsid w:val="00220CB1"/>
    <w:rsid w:val="00222A6A"/>
    <w:rsid w:val="002250CA"/>
    <w:rsid w:val="002327FC"/>
    <w:rsid w:val="002345B9"/>
    <w:rsid w:val="002407A5"/>
    <w:rsid w:val="00243DB8"/>
    <w:rsid w:val="002452DA"/>
    <w:rsid w:val="002507CD"/>
    <w:rsid w:val="002508B3"/>
    <w:rsid w:val="00253CFC"/>
    <w:rsid w:val="002552C0"/>
    <w:rsid w:val="002609A3"/>
    <w:rsid w:val="00263DBA"/>
    <w:rsid w:val="00266A59"/>
    <w:rsid w:val="00271082"/>
    <w:rsid w:val="0027243E"/>
    <w:rsid w:val="00276348"/>
    <w:rsid w:val="002777F3"/>
    <w:rsid w:val="00277E42"/>
    <w:rsid w:val="00280AAB"/>
    <w:rsid w:val="00282662"/>
    <w:rsid w:val="002846FD"/>
    <w:rsid w:val="00286D80"/>
    <w:rsid w:val="00287C36"/>
    <w:rsid w:val="002908ED"/>
    <w:rsid w:val="002972D2"/>
    <w:rsid w:val="002A45D8"/>
    <w:rsid w:val="002B0FA7"/>
    <w:rsid w:val="002B1AEC"/>
    <w:rsid w:val="002B2195"/>
    <w:rsid w:val="002B328B"/>
    <w:rsid w:val="002B3D18"/>
    <w:rsid w:val="002B67EC"/>
    <w:rsid w:val="002C1CB3"/>
    <w:rsid w:val="002C252B"/>
    <w:rsid w:val="002C2B2E"/>
    <w:rsid w:val="002C2E69"/>
    <w:rsid w:val="002C3521"/>
    <w:rsid w:val="002C403D"/>
    <w:rsid w:val="002C4B97"/>
    <w:rsid w:val="002C6E6E"/>
    <w:rsid w:val="002D3951"/>
    <w:rsid w:val="002D5C6D"/>
    <w:rsid w:val="002D7EC2"/>
    <w:rsid w:val="002E05D1"/>
    <w:rsid w:val="002E13FF"/>
    <w:rsid w:val="002E69CB"/>
    <w:rsid w:val="002F344E"/>
    <w:rsid w:val="002F5114"/>
    <w:rsid w:val="00300A9F"/>
    <w:rsid w:val="0030126A"/>
    <w:rsid w:val="00301DF6"/>
    <w:rsid w:val="00304ED3"/>
    <w:rsid w:val="00304F25"/>
    <w:rsid w:val="0030631F"/>
    <w:rsid w:val="00306FEB"/>
    <w:rsid w:val="00311796"/>
    <w:rsid w:val="00311A9F"/>
    <w:rsid w:val="0031285E"/>
    <w:rsid w:val="00312BB2"/>
    <w:rsid w:val="00313303"/>
    <w:rsid w:val="003136E9"/>
    <w:rsid w:val="00313D5A"/>
    <w:rsid w:val="003141CE"/>
    <w:rsid w:val="00314E54"/>
    <w:rsid w:val="003208C7"/>
    <w:rsid w:val="00322E03"/>
    <w:rsid w:val="003247DF"/>
    <w:rsid w:val="0033395A"/>
    <w:rsid w:val="00334DC8"/>
    <w:rsid w:val="003365D5"/>
    <w:rsid w:val="00340214"/>
    <w:rsid w:val="00341B42"/>
    <w:rsid w:val="00343B48"/>
    <w:rsid w:val="00346785"/>
    <w:rsid w:val="00355A5D"/>
    <w:rsid w:val="00356269"/>
    <w:rsid w:val="003579E7"/>
    <w:rsid w:val="00363ECB"/>
    <w:rsid w:val="00366A5D"/>
    <w:rsid w:val="00371697"/>
    <w:rsid w:val="003730EC"/>
    <w:rsid w:val="003733CE"/>
    <w:rsid w:val="00377196"/>
    <w:rsid w:val="00377FDA"/>
    <w:rsid w:val="00380949"/>
    <w:rsid w:val="00380A1F"/>
    <w:rsid w:val="00381FDF"/>
    <w:rsid w:val="00387D6B"/>
    <w:rsid w:val="00387EFD"/>
    <w:rsid w:val="00391EE9"/>
    <w:rsid w:val="003A0C65"/>
    <w:rsid w:val="003A3ECC"/>
    <w:rsid w:val="003A677D"/>
    <w:rsid w:val="003C0AEC"/>
    <w:rsid w:val="003C2AF2"/>
    <w:rsid w:val="003C5797"/>
    <w:rsid w:val="003C713B"/>
    <w:rsid w:val="003C7C5D"/>
    <w:rsid w:val="003D35DA"/>
    <w:rsid w:val="003D76A8"/>
    <w:rsid w:val="003E303C"/>
    <w:rsid w:val="003E34A7"/>
    <w:rsid w:val="003E575C"/>
    <w:rsid w:val="003E72B5"/>
    <w:rsid w:val="003E7E27"/>
    <w:rsid w:val="003F6838"/>
    <w:rsid w:val="00403FA9"/>
    <w:rsid w:val="00415861"/>
    <w:rsid w:val="00416565"/>
    <w:rsid w:val="00416D4C"/>
    <w:rsid w:val="004203AD"/>
    <w:rsid w:val="00420F1C"/>
    <w:rsid w:val="004218AD"/>
    <w:rsid w:val="0042709B"/>
    <w:rsid w:val="00427C96"/>
    <w:rsid w:val="00431877"/>
    <w:rsid w:val="0043215A"/>
    <w:rsid w:val="0043289D"/>
    <w:rsid w:val="00436246"/>
    <w:rsid w:val="00443273"/>
    <w:rsid w:val="004436CF"/>
    <w:rsid w:val="004441F0"/>
    <w:rsid w:val="004451E5"/>
    <w:rsid w:val="00445982"/>
    <w:rsid w:val="00451BD3"/>
    <w:rsid w:val="0045242E"/>
    <w:rsid w:val="004528A7"/>
    <w:rsid w:val="00457A43"/>
    <w:rsid w:val="00457EBE"/>
    <w:rsid w:val="004619E4"/>
    <w:rsid w:val="00464E16"/>
    <w:rsid w:val="00470803"/>
    <w:rsid w:val="004719BA"/>
    <w:rsid w:val="00472616"/>
    <w:rsid w:val="00472DEC"/>
    <w:rsid w:val="0047433B"/>
    <w:rsid w:val="00475E8C"/>
    <w:rsid w:val="004765E3"/>
    <w:rsid w:val="004835EE"/>
    <w:rsid w:val="00483659"/>
    <w:rsid w:val="0048561B"/>
    <w:rsid w:val="00485756"/>
    <w:rsid w:val="00486508"/>
    <w:rsid w:val="0048713A"/>
    <w:rsid w:val="00491D61"/>
    <w:rsid w:val="00492FA2"/>
    <w:rsid w:val="004A41E4"/>
    <w:rsid w:val="004A4965"/>
    <w:rsid w:val="004A5647"/>
    <w:rsid w:val="004A58E9"/>
    <w:rsid w:val="004B2C99"/>
    <w:rsid w:val="004B4664"/>
    <w:rsid w:val="004B4709"/>
    <w:rsid w:val="004B4F2E"/>
    <w:rsid w:val="004B4F39"/>
    <w:rsid w:val="004B5C25"/>
    <w:rsid w:val="004C53F7"/>
    <w:rsid w:val="004C6312"/>
    <w:rsid w:val="004C7C28"/>
    <w:rsid w:val="004D123C"/>
    <w:rsid w:val="004D2D35"/>
    <w:rsid w:val="004D346A"/>
    <w:rsid w:val="004D3AD2"/>
    <w:rsid w:val="004D7C1C"/>
    <w:rsid w:val="004D7DA1"/>
    <w:rsid w:val="004E2B56"/>
    <w:rsid w:val="004E4D39"/>
    <w:rsid w:val="004E5930"/>
    <w:rsid w:val="004E5F55"/>
    <w:rsid w:val="004E746F"/>
    <w:rsid w:val="004E7AD2"/>
    <w:rsid w:val="004F0413"/>
    <w:rsid w:val="004F1CD9"/>
    <w:rsid w:val="004F32F1"/>
    <w:rsid w:val="004F4FF4"/>
    <w:rsid w:val="004F7392"/>
    <w:rsid w:val="004F7B2F"/>
    <w:rsid w:val="00500E75"/>
    <w:rsid w:val="00502E7D"/>
    <w:rsid w:val="0050529B"/>
    <w:rsid w:val="005143A3"/>
    <w:rsid w:val="00516147"/>
    <w:rsid w:val="005163A6"/>
    <w:rsid w:val="00516BD7"/>
    <w:rsid w:val="00520D7F"/>
    <w:rsid w:val="00521BDB"/>
    <w:rsid w:val="0052310A"/>
    <w:rsid w:val="00526815"/>
    <w:rsid w:val="0053110E"/>
    <w:rsid w:val="0053350A"/>
    <w:rsid w:val="0053424B"/>
    <w:rsid w:val="00535F25"/>
    <w:rsid w:val="0053655B"/>
    <w:rsid w:val="00541B8B"/>
    <w:rsid w:val="0054371E"/>
    <w:rsid w:val="00547CCF"/>
    <w:rsid w:val="00555999"/>
    <w:rsid w:val="00556447"/>
    <w:rsid w:val="00556A53"/>
    <w:rsid w:val="005636DF"/>
    <w:rsid w:val="00564D9F"/>
    <w:rsid w:val="0056537E"/>
    <w:rsid w:val="00571EDF"/>
    <w:rsid w:val="00573F48"/>
    <w:rsid w:val="00581988"/>
    <w:rsid w:val="0058202B"/>
    <w:rsid w:val="00583B07"/>
    <w:rsid w:val="00583F61"/>
    <w:rsid w:val="00584A04"/>
    <w:rsid w:val="00585013"/>
    <w:rsid w:val="00586860"/>
    <w:rsid w:val="00586986"/>
    <w:rsid w:val="005870F8"/>
    <w:rsid w:val="005877EF"/>
    <w:rsid w:val="005901B9"/>
    <w:rsid w:val="00590215"/>
    <w:rsid w:val="0059033F"/>
    <w:rsid w:val="00593B21"/>
    <w:rsid w:val="005958CC"/>
    <w:rsid w:val="005A1062"/>
    <w:rsid w:val="005A136C"/>
    <w:rsid w:val="005A1F6A"/>
    <w:rsid w:val="005A2355"/>
    <w:rsid w:val="005A252A"/>
    <w:rsid w:val="005A2D97"/>
    <w:rsid w:val="005A3EB3"/>
    <w:rsid w:val="005A7E43"/>
    <w:rsid w:val="005B6DA5"/>
    <w:rsid w:val="005C17CE"/>
    <w:rsid w:val="005C2ADF"/>
    <w:rsid w:val="005C3BCB"/>
    <w:rsid w:val="005C407E"/>
    <w:rsid w:val="005C657A"/>
    <w:rsid w:val="005C660B"/>
    <w:rsid w:val="005C6B2D"/>
    <w:rsid w:val="005C7074"/>
    <w:rsid w:val="005D0C67"/>
    <w:rsid w:val="005D18C2"/>
    <w:rsid w:val="005D37BC"/>
    <w:rsid w:val="005D429C"/>
    <w:rsid w:val="005D584E"/>
    <w:rsid w:val="005E19C8"/>
    <w:rsid w:val="005E371D"/>
    <w:rsid w:val="005E37BD"/>
    <w:rsid w:val="005E4E34"/>
    <w:rsid w:val="005E7DAF"/>
    <w:rsid w:val="005F2EC4"/>
    <w:rsid w:val="005F4EF4"/>
    <w:rsid w:val="005F63D6"/>
    <w:rsid w:val="005F7F0B"/>
    <w:rsid w:val="00600912"/>
    <w:rsid w:val="00600FDC"/>
    <w:rsid w:val="006021FE"/>
    <w:rsid w:val="00604BCB"/>
    <w:rsid w:val="00607720"/>
    <w:rsid w:val="0061468D"/>
    <w:rsid w:val="006170C6"/>
    <w:rsid w:val="006225C8"/>
    <w:rsid w:val="00623281"/>
    <w:rsid w:val="00626E6D"/>
    <w:rsid w:val="00632C21"/>
    <w:rsid w:val="006332CE"/>
    <w:rsid w:val="00634916"/>
    <w:rsid w:val="006423F3"/>
    <w:rsid w:val="00642C33"/>
    <w:rsid w:val="0064337A"/>
    <w:rsid w:val="00645C9B"/>
    <w:rsid w:val="006542E3"/>
    <w:rsid w:val="00654559"/>
    <w:rsid w:val="00655784"/>
    <w:rsid w:val="0065653B"/>
    <w:rsid w:val="00662AA8"/>
    <w:rsid w:val="0066474C"/>
    <w:rsid w:val="00664FB4"/>
    <w:rsid w:val="0067189D"/>
    <w:rsid w:val="00671AD1"/>
    <w:rsid w:val="0067238D"/>
    <w:rsid w:val="006731E4"/>
    <w:rsid w:val="0068120F"/>
    <w:rsid w:val="0068372E"/>
    <w:rsid w:val="00684D4D"/>
    <w:rsid w:val="00692A16"/>
    <w:rsid w:val="0069326E"/>
    <w:rsid w:val="006943A9"/>
    <w:rsid w:val="006950BD"/>
    <w:rsid w:val="00696359"/>
    <w:rsid w:val="00696990"/>
    <w:rsid w:val="00697ACF"/>
    <w:rsid w:val="006A178F"/>
    <w:rsid w:val="006A4422"/>
    <w:rsid w:val="006A4876"/>
    <w:rsid w:val="006A6163"/>
    <w:rsid w:val="006A6179"/>
    <w:rsid w:val="006A75B2"/>
    <w:rsid w:val="006B0776"/>
    <w:rsid w:val="006B0B2C"/>
    <w:rsid w:val="006B238B"/>
    <w:rsid w:val="006B3CD1"/>
    <w:rsid w:val="006B5753"/>
    <w:rsid w:val="006C24D4"/>
    <w:rsid w:val="006C7279"/>
    <w:rsid w:val="006D27FB"/>
    <w:rsid w:val="006D4943"/>
    <w:rsid w:val="006D5191"/>
    <w:rsid w:val="006D5BEE"/>
    <w:rsid w:val="006E14E3"/>
    <w:rsid w:val="006E4572"/>
    <w:rsid w:val="006E579F"/>
    <w:rsid w:val="006E6213"/>
    <w:rsid w:val="006E6C15"/>
    <w:rsid w:val="006E6D7C"/>
    <w:rsid w:val="006F0D15"/>
    <w:rsid w:val="006F119C"/>
    <w:rsid w:val="006F31A5"/>
    <w:rsid w:val="006F3257"/>
    <w:rsid w:val="006F36EE"/>
    <w:rsid w:val="006F523A"/>
    <w:rsid w:val="00700E7C"/>
    <w:rsid w:val="00703BD4"/>
    <w:rsid w:val="007056F5"/>
    <w:rsid w:val="00706A57"/>
    <w:rsid w:val="0070732A"/>
    <w:rsid w:val="00711F9D"/>
    <w:rsid w:val="00713CC5"/>
    <w:rsid w:val="00714AF9"/>
    <w:rsid w:val="00717139"/>
    <w:rsid w:val="00723803"/>
    <w:rsid w:val="007244DE"/>
    <w:rsid w:val="00727FE8"/>
    <w:rsid w:val="00731B24"/>
    <w:rsid w:val="00732541"/>
    <w:rsid w:val="0073506F"/>
    <w:rsid w:val="00735E4A"/>
    <w:rsid w:val="00736828"/>
    <w:rsid w:val="00740D83"/>
    <w:rsid w:val="007414B3"/>
    <w:rsid w:val="007451A4"/>
    <w:rsid w:val="00746BE3"/>
    <w:rsid w:val="007479AB"/>
    <w:rsid w:val="007510CC"/>
    <w:rsid w:val="007543E8"/>
    <w:rsid w:val="00760FDE"/>
    <w:rsid w:val="00761269"/>
    <w:rsid w:val="007618AE"/>
    <w:rsid w:val="007631A9"/>
    <w:rsid w:val="00763C0E"/>
    <w:rsid w:val="0076608B"/>
    <w:rsid w:val="007663DF"/>
    <w:rsid w:val="00770E00"/>
    <w:rsid w:val="007745BC"/>
    <w:rsid w:val="00774D74"/>
    <w:rsid w:val="00777260"/>
    <w:rsid w:val="00782360"/>
    <w:rsid w:val="00782F60"/>
    <w:rsid w:val="00783844"/>
    <w:rsid w:val="007869C8"/>
    <w:rsid w:val="00787597"/>
    <w:rsid w:val="00790DAA"/>
    <w:rsid w:val="00794E25"/>
    <w:rsid w:val="00795595"/>
    <w:rsid w:val="00795C6A"/>
    <w:rsid w:val="007977B7"/>
    <w:rsid w:val="00797D3E"/>
    <w:rsid w:val="007A1E24"/>
    <w:rsid w:val="007A246D"/>
    <w:rsid w:val="007A6200"/>
    <w:rsid w:val="007B0808"/>
    <w:rsid w:val="007B1FAA"/>
    <w:rsid w:val="007B30E5"/>
    <w:rsid w:val="007B3C39"/>
    <w:rsid w:val="007C2D01"/>
    <w:rsid w:val="007C2D98"/>
    <w:rsid w:val="007C56BA"/>
    <w:rsid w:val="007C6DF5"/>
    <w:rsid w:val="007D3BD5"/>
    <w:rsid w:val="007D3E1A"/>
    <w:rsid w:val="007E182F"/>
    <w:rsid w:val="007E20AC"/>
    <w:rsid w:val="007E4DCC"/>
    <w:rsid w:val="007E4EF3"/>
    <w:rsid w:val="007E65FD"/>
    <w:rsid w:val="007E69BA"/>
    <w:rsid w:val="007E6E11"/>
    <w:rsid w:val="007E7CC0"/>
    <w:rsid w:val="007F327F"/>
    <w:rsid w:val="007F3DFE"/>
    <w:rsid w:val="008032FF"/>
    <w:rsid w:val="0080590F"/>
    <w:rsid w:val="008068FE"/>
    <w:rsid w:val="00807294"/>
    <w:rsid w:val="008142B7"/>
    <w:rsid w:val="00817BBD"/>
    <w:rsid w:val="00822BC9"/>
    <w:rsid w:val="00823227"/>
    <w:rsid w:val="00823A63"/>
    <w:rsid w:val="008245B4"/>
    <w:rsid w:val="008271B7"/>
    <w:rsid w:val="00831459"/>
    <w:rsid w:val="00832479"/>
    <w:rsid w:val="00835C70"/>
    <w:rsid w:val="00837572"/>
    <w:rsid w:val="008425AE"/>
    <w:rsid w:val="00843475"/>
    <w:rsid w:val="00843F8A"/>
    <w:rsid w:val="008523A0"/>
    <w:rsid w:val="00853745"/>
    <w:rsid w:val="008552B8"/>
    <w:rsid w:val="00860A0C"/>
    <w:rsid w:val="008632EE"/>
    <w:rsid w:val="008641FA"/>
    <w:rsid w:val="00866A00"/>
    <w:rsid w:val="00867C6D"/>
    <w:rsid w:val="00872E23"/>
    <w:rsid w:val="00876813"/>
    <w:rsid w:val="00880BA7"/>
    <w:rsid w:val="00882342"/>
    <w:rsid w:val="00883D36"/>
    <w:rsid w:val="00885B53"/>
    <w:rsid w:val="00885D9B"/>
    <w:rsid w:val="00886A1D"/>
    <w:rsid w:val="00886AD0"/>
    <w:rsid w:val="008873F6"/>
    <w:rsid w:val="00892F32"/>
    <w:rsid w:val="00893102"/>
    <w:rsid w:val="00893941"/>
    <w:rsid w:val="00894099"/>
    <w:rsid w:val="00894BA6"/>
    <w:rsid w:val="008954DC"/>
    <w:rsid w:val="008A1A6F"/>
    <w:rsid w:val="008A1FB8"/>
    <w:rsid w:val="008A35AF"/>
    <w:rsid w:val="008A37C3"/>
    <w:rsid w:val="008A74ED"/>
    <w:rsid w:val="008A7552"/>
    <w:rsid w:val="008B1443"/>
    <w:rsid w:val="008B3780"/>
    <w:rsid w:val="008B59A5"/>
    <w:rsid w:val="008B6308"/>
    <w:rsid w:val="008C03BF"/>
    <w:rsid w:val="008C0896"/>
    <w:rsid w:val="008C0AA7"/>
    <w:rsid w:val="008C16BB"/>
    <w:rsid w:val="008C53B1"/>
    <w:rsid w:val="008C62AC"/>
    <w:rsid w:val="008C6D70"/>
    <w:rsid w:val="008D1846"/>
    <w:rsid w:val="008D3EB0"/>
    <w:rsid w:val="008D7C27"/>
    <w:rsid w:val="008D7ECF"/>
    <w:rsid w:val="008E4A61"/>
    <w:rsid w:val="008F216B"/>
    <w:rsid w:val="008F29B0"/>
    <w:rsid w:val="008F41C5"/>
    <w:rsid w:val="008F54EA"/>
    <w:rsid w:val="0090297A"/>
    <w:rsid w:val="00906D50"/>
    <w:rsid w:val="00910A62"/>
    <w:rsid w:val="0091230C"/>
    <w:rsid w:val="00912A7E"/>
    <w:rsid w:val="00912EF9"/>
    <w:rsid w:val="0091309D"/>
    <w:rsid w:val="00914E8C"/>
    <w:rsid w:val="00915029"/>
    <w:rsid w:val="00915F38"/>
    <w:rsid w:val="0091606C"/>
    <w:rsid w:val="00916DFD"/>
    <w:rsid w:val="00920183"/>
    <w:rsid w:val="00921468"/>
    <w:rsid w:val="009226F7"/>
    <w:rsid w:val="009230C0"/>
    <w:rsid w:val="00924D64"/>
    <w:rsid w:val="009275B6"/>
    <w:rsid w:val="0093321D"/>
    <w:rsid w:val="00935298"/>
    <w:rsid w:val="0093678D"/>
    <w:rsid w:val="00936A36"/>
    <w:rsid w:val="00937319"/>
    <w:rsid w:val="00940201"/>
    <w:rsid w:val="009419F7"/>
    <w:rsid w:val="00942376"/>
    <w:rsid w:val="00942BF5"/>
    <w:rsid w:val="00952189"/>
    <w:rsid w:val="00954C0A"/>
    <w:rsid w:val="0095538D"/>
    <w:rsid w:val="00970E4E"/>
    <w:rsid w:val="00972C97"/>
    <w:rsid w:val="00973FD0"/>
    <w:rsid w:val="00974991"/>
    <w:rsid w:val="00977CC4"/>
    <w:rsid w:val="009822D3"/>
    <w:rsid w:val="00983315"/>
    <w:rsid w:val="00986DA9"/>
    <w:rsid w:val="00991844"/>
    <w:rsid w:val="00991E80"/>
    <w:rsid w:val="00993136"/>
    <w:rsid w:val="009934DA"/>
    <w:rsid w:val="009950E9"/>
    <w:rsid w:val="009A01C7"/>
    <w:rsid w:val="009A267B"/>
    <w:rsid w:val="009A2948"/>
    <w:rsid w:val="009A5E72"/>
    <w:rsid w:val="009A755D"/>
    <w:rsid w:val="009B0830"/>
    <w:rsid w:val="009B0FAD"/>
    <w:rsid w:val="009B225A"/>
    <w:rsid w:val="009C0081"/>
    <w:rsid w:val="009C0448"/>
    <w:rsid w:val="009C1691"/>
    <w:rsid w:val="009C286A"/>
    <w:rsid w:val="009C2988"/>
    <w:rsid w:val="009C4BB3"/>
    <w:rsid w:val="009D00CD"/>
    <w:rsid w:val="009D265D"/>
    <w:rsid w:val="009D2F30"/>
    <w:rsid w:val="009D6F5F"/>
    <w:rsid w:val="009D7D01"/>
    <w:rsid w:val="009E352C"/>
    <w:rsid w:val="009F033B"/>
    <w:rsid w:val="00A00381"/>
    <w:rsid w:val="00A0194F"/>
    <w:rsid w:val="00A02919"/>
    <w:rsid w:val="00A02FEF"/>
    <w:rsid w:val="00A05939"/>
    <w:rsid w:val="00A102C9"/>
    <w:rsid w:val="00A11488"/>
    <w:rsid w:val="00A11B31"/>
    <w:rsid w:val="00A14E11"/>
    <w:rsid w:val="00A16125"/>
    <w:rsid w:val="00A2098A"/>
    <w:rsid w:val="00A2666A"/>
    <w:rsid w:val="00A2796E"/>
    <w:rsid w:val="00A30DDB"/>
    <w:rsid w:val="00A322CB"/>
    <w:rsid w:val="00A3600E"/>
    <w:rsid w:val="00A36B5B"/>
    <w:rsid w:val="00A459EA"/>
    <w:rsid w:val="00A46F4A"/>
    <w:rsid w:val="00A54E20"/>
    <w:rsid w:val="00A61836"/>
    <w:rsid w:val="00A61EA2"/>
    <w:rsid w:val="00A72350"/>
    <w:rsid w:val="00A76683"/>
    <w:rsid w:val="00A7787F"/>
    <w:rsid w:val="00A77FF6"/>
    <w:rsid w:val="00A802B9"/>
    <w:rsid w:val="00A80329"/>
    <w:rsid w:val="00A81ADD"/>
    <w:rsid w:val="00A82B93"/>
    <w:rsid w:val="00A854C5"/>
    <w:rsid w:val="00A90042"/>
    <w:rsid w:val="00A934AE"/>
    <w:rsid w:val="00A94E82"/>
    <w:rsid w:val="00A952F8"/>
    <w:rsid w:val="00A95B0D"/>
    <w:rsid w:val="00A9789E"/>
    <w:rsid w:val="00A978FA"/>
    <w:rsid w:val="00AA22CB"/>
    <w:rsid w:val="00AA363F"/>
    <w:rsid w:val="00AA419F"/>
    <w:rsid w:val="00AA5CBD"/>
    <w:rsid w:val="00AA7997"/>
    <w:rsid w:val="00AB0CDC"/>
    <w:rsid w:val="00AB19CC"/>
    <w:rsid w:val="00AB3212"/>
    <w:rsid w:val="00AB4B0A"/>
    <w:rsid w:val="00AC315D"/>
    <w:rsid w:val="00AC4A37"/>
    <w:rsid w:val="00AC709E"/>
    <w:rsid w:val="00AC79E6"/>
    <w:rsid w:val="00AD12FB"/>
    <w:rsid w:val="00AD4A18"/>
    <w:rsid w:val="00AD4EA6"/>
    <w:rsid w:val="00AE2E8B"/>
    <w:rsid w:val="00AE56E1"/>
    <w:rsid w:val="00AE5C6F"/>
    <w:rsid w:val="00AF118D"/>
    <w:rsid w:val="00AF353A"/>
    <w:rsid w:val="00AF5104"/>
    <w:rsid w:val="00AF6499"/>
    <w:rsid w:val="00AF7509"/>
    <w:rsid w:val="00B0104E"/>
    <w:rsid w:val="00B01487"/>
    <w:rsid w:val="00B029B0"/>
    <w:rsid w:val="00B0300F"/>
    <w:rsid w:val="00B04C47"/>
    <w:rsid w:val="00B07813"/>
    <w:rsid w:val="00B104E2"/>
    <w:rsid w:val="00B1099B"/>
    <w:rsid w:val="00B118CF"/>
    <w:rsid w:val="00B13C88"/>
    <w:rsid w:val="00B14C80"/>
    <w:rsid w:val="00B21A59"/>
    <w:rsid w:val="00B21AE8"/>
    <w:rsid w:val="00B21FEE"/>
    <w:rsid w:val="00B23D8C"/>
    <w:rsid w:val="00B24581"/>
    <w:rsid w:val="00B24AFF"/>
    <w:rsid w:val="00B2644D"/>
    <w:rsid w:val="00B26A61"/>
    <w:rsid w:val="00B30587"/>
    <w:rsid w:val="00B3508D"/>
    <w:rsid w:val="00B367D8"/>
    <w:rsid w:val="00B41D23"/>
    <w:rsid w:val="00B42897"/>
    <w:rsid w:val="00B45EBB"/>
    <w:rsid w:val="00B511A7"/>
    <w:rsid w:val="00B52D7C"/>
    <w:rsid w:val="00B56555"/>
    <w:rsid w:val="00B57E51"/>
    <w:rsid w:val="00B60142"/>
    <w:rsid w:val="00B618D4"/>
    <w:rsid w:val="00B71B3D"/>
    <w:rsid w:val="00B73EF5"/>
    <w:rsid w:val="00B74D6D"/>
    <w:rsid w:val="00B75E6C"/>
    <w:rsid w:val="00B778AF"/>
    <w:rsid w:val="00B77EA3"/>
    <w:rsid w:val="00B86789"/>
    <w:rsid w:val="00B87C43"/>
    <w:rsid w:val="00B91F53"/>
    <w:rsid w:val="00B93C04"/>
    <w:rsid w:val="00B95735"/>
    <w:rsid w:val="00BA072B"/>
    <w:rsid w:val="00BA7677"/>
    <w:rsid w:val="00BB017D"/>
    <w:rsid w:val="00BB0437"/>
    <w:rsid w:val="00BC32ED"/>
    <w:rsid w:val="00BD4A9C"/>
    <w:rsid w:val="00BD7C9E"/>
    <w:rsid w:val="00BD7FC2"/>
    <w:rsid w:val="00BE0F4D"/>
    <w:rsid w:val="00BE1986"/>
    <w:rsid w:val="00BE3721"/>
    <w:rsid w:val="00BE5C4D"/>
    <w:rsid w:val="00BE7DE1"/>
    <w:rsid w:val="00BF11C5"/>
    <w:rsid w:val="00BF2041"/>
    <w:rsid w:val="00BF3D1E"/>
    <w:rsid w:val="00BF77EF"/>
    <w:rsid w:val="00C00A24"/>
    <w:rsid w:val="00C011A1"/>
    <w:rsid w:val="00C02E39"/>
    <w:rsid w:val="00C03E9B"/>
    <w:rsid w:val="00C13539"/>
    <w:rsid w:val="00C1432E"/>
    <w:rsid w:val="00C14DA3"/>
    <w:rsid w:val="00C14E45"/>
    <w:rsid w:val="00C159DF"/>
    <w:rsid w:val="00C15A07"/>
    <w:rsid w:val="00C168DD"/>
    <w:rsid w:val="00C17191"/>
    <w:rsid w:val="00C177DD"/>
    <w:rsid w:val="00C17DBC"/>
    <w:rsid w:val="00C20292"/>
    <w:rsid w:val="00C20F1F"/>
    <w:rsid w:val="00C23A70"/>
    <w:rsid w:val="00C26F48"/>
    <w:rsid w:val="00C31080"/>
    <w:rsid w:val="00C323E8"/>
    <w:rsid w:val="00C32936"/>
    <w:rsid w:val="00C3372F"/>
    <w:rsid w:val="00C40665"/>
    <w:rsid w:val="00C40976"/>
    <w:rsid w:val="00C42B4C"/>
    <w:rsid w:val="00C42E97"/>
    <w:rsid w:val="00C4414A"/>
    <w:rsid w:val="00C44362"/>
    <w:rsid w:val="00C44EE4"/>
    <w:rsid w:val="00C457D4"/>
    <w:rsid w:val="00C52829"/>
    <w:rsid w:val="00C53104"/>
    <w:rsid w:val="00C54757"/>
    <w:rsid w:val="00C56C47"/>
    <w:rsid w:val="00C624C1"/>
    <w:rsid w:val="00C63AF7"/>
    <w:rsid w:val="00C64424"/>
    <w:rsid w:val="00C64DF0"/>
    <w:rsid w:val="00C64DFF"/>
    <w:rsid w:val="00C66771"/>
    <w:rsid w:val="00C67F3D"/>
    <w:rsid w:val="00C709D3"/>
    <w:rsid w:val="00C70C22"/>
    <w:rsid w:val="00C7513F"/>
    <w:rsid w:val="00C75CC6"/>
    <w:rsid w:val="00C80079"/>
    <w:rsid w:val="00C810D8"/>
    <w:rsid w:val="00C8162F"/>
    <w:rsid w:val="00C859FF"/>
    <w:rsid w:val="00C86930"/>
    <w:rsid w:val="00C87C6C"/>
    <w:rsid w:val="00C90D2F"/>
    <w:rsid w:val="00C95678"/>
    <w:rsid w:val="00C95867"/>
    <w:rsid w:val="00C95A68"/>
    <w:rsid w:val="00C96E1B"/>
    <w:rsid w:val="00CA2498"/>
    <w:rsid w:val="00CA3BAF"/>
    <w:rsid w:val="00CA6131"/>
    <w:rsid w:val="00CB2CC0"/>
    <w:rsid w:val="00CC3C15"/>
    <w:rsid w:val="00CC41B9"/>
    <w:rsid w:val="00CC4A2A"/>
    <w:rsid w:val="00CC550C"/>
    <w:rsid w:val="00CD240F"/>
    <w:rsid w:val="00CD2765"/>
    <w:rsid w:val="00CD2D74"/>
    <w:rsid w:val="00CD311F"/>
    <w:rsid w:val="00CE0E49"/>
    <w:rsid w:val="00CE200B"/>
    <w:rsid w:val="00CE30D5"/>
    <w:rsid w:val="00CE5DBF"/>
    <w:rsid w:val="00CE71FE"/>
    <w:rsid w:val="00CE7BD2"/>
    <w:rsid w:val="00CF1897"/>
    <w:rsid w:val="00CF28EB"/>
    <w:rsid w:val="00D03934"/>
    <w:rsid w:val="00D0603C"/>
    <w:rsid w:val="00D06604"/>
    <w:rsid w:val="00D06C33"/>
    <w:rsid w:val="00D07EEB"/>
    <w:rsid w:val="00D13BD5"/>
    <w:rsid w:val="00D140AE"/>
    <w:rsid w:val="00D153BF"/>
    <w:rsid w:val="00D16CC8"/>
    <w:rsid w:val="00D203F3"/>
    <w:rsid w:val="00D248B2"/>
    <w:rsid w:val="00D24A52"/>
    <w:rsid w:val="00D250C5"/>
    <w:rsid w:val="00D31663"/>
    <w:rsid w:val="00D32744"/>
    <w:rsid w:val="00D351F1"/>
    <w:rsid w:val="00D35F43"/>
    <w:rsid w:val="00D44213"/>
    <w:rsid w:val="00D45D35"/>
    <w:rsid w:val="00D47EF2"/>
    <w:rsid w:val="00D51EFC"/>
    <w:rsid w:val="00D53005"/>
    <w:rsid w:val="00D54ED6"/>
    <w:rsid w:val="00D560D4"/>
    <w:rsid w:val="00D61696"/>
    <w:rsid w:val="00D622DC"/>
    <w:rsid w:val="00D62D42"/>
    <w:rsid w:val="00D65B1A"/>
    <w:rsid w:val="00D703CA"/>
    <w:rsid w:val="00D71E2F"/>
    <w:rsid w:val="00D72E53"/>
    <w:rsid w:val="00D777B6"/>
    <w:rsid w:val="00D8125A"/>
    <w:rsid w:val="00D81FB2"/>
    <w:rsid w:val="00D90BFB"/>
    <w:rsid w:val="00D91EDA"/>
    <w:rsid w:val="00D93929"/>
    <w:rsid w:val="00D94C93"/>
    <w:rsid w:val="00D97F57"/>
    <w:rsid w:val="00DA1B68"/>
    <w:rsid w:val="00DA463C"/>
    <w:rsid w:val="00DA6F45"/>
    <w:rsid w:val="00DB196D"/>
    <w:rsid w:val="00DB3F48"/>
    <w:rsid w:val="00DB458F"/>
    <w:rsid w:val="00DB533B"/>
    <w:rsid w:val="00DB5850"/>
    <w:rsid w:val="00DC3450"/>
    <w:rsid w:val="00DC3EEC"/>
    <w:rsid w:val="00DC40C4"/>
    <w:rsid w:val="00DC6723"/>
    <w:rsid w:val="00DC7CD8"/>
    <w:rsid w:val="00DD1C2F"/>
    <w:rsid w:val="00DD1EC2"/>
    <w:rsid w:val="00DD44A0"/>
    <w:rsid w:val="00DE0963"/>
    <w:rsid w:val="00DE292F"/>
    <w:rsid w:val="00DE2FEB"/>
    <w:rsid w:val="00DE3635"/>
    <w:rsid w:val="00DE4553"/>
    <w:rsid w:val="00DE5855"/>
    <w:rsid w:val="00DE620E"/>
    <w:rsid w:val="00DE6BBE"/>
    <w:rsid w:val="00DE7227"/>
    <w:rsid w:val="00DE79EB"/>
    <w:rsid w:val="00DF0E1B"/>
    <w:rsid w:val="00DF257F"/>
    <w:rsid w:val="00DF45A4"/>
    <w:rsid w:val="00E005E6"/>
    <w:rsid w:val="00E00D0C"/>
    <w:rsid w:val="00E0286F"/>
    <w:rsid w:val="00E02ABC"/>
    <w:rsid w:val="00E03675"/>
    <w:rsid w:val="00E037B4"/>
    <w:rsid w:val="00E05CE0"/>
    <w:rsid w:val="00E07DBB"/>
    <w:rsid w:val="00E10CD3"/>
    <w:rsid w:val="00E1134A"/>
    <w:rsid w:val="00E11386"/>
    <w:rsid w:val="00E117D7"/>
    <w:rsid w:val="00E13AFB"/>
    <w:rsid w:val="00E14E2D"/>
    <w:rsid w:val="00E15B55"/>
    <w:rsid w:val="00E200CC"/>
    <w:rsid w:val="00E21526"/>
    <w:rsid w:val="00E23239"/>
    <w:rsid w:val="00E31C11"/>
    <w:rsid w:val="00E41314"/>
    <w:rsid w:val="00E43ACD"/>
    <w:rsid w:val="00E459B9"/>
    <w:rsid w:val="00E46F8F"/>
    <w:rsid w:val="00E4783C"/>
    <w:rsid w:val="00E51B23"/>
    <w:rsid w:val="00E5243F"/>
    <w:rsid w:val="00E5519B"/>
    <w:rsid w:val="00E57E47"/>
    <w:rsid w:val="00E6178A"/>
    <w:rsid w:val="00E61CA7"/>
    <w:rsid w:val="00E651D4"/>
    <w:rsid w:val="00E65306"/>
    <w:rsid w:val="00E6623C"/>
    <w:rsid w:val="00E762A3"/>
    <w:rsid w:val="00E82067"/>
    <w:rsid w:val="00E85E80"/>
    <w:rsid w:val="00E85EA9"/>
    <w:rsid w:val="00E866F4"/>
    <w:rsid w:val="00E86F63"/>
    <w:rsid w:val="00E87C92"/>
    <w:rsid w:val="00E90293"/>
    <w:rsid w:val="00E910F1"/>
    <w:rsid w:val="00E94624"/>
    <w:rsid w:val="00E96AEF"/>
    <w:rsid w:val="00E9790A"/>
    <w:rsid w:val="00EA0558"/>
    <w:rsid w:val="00EA0DDF"/>
    <w:rsid w:val="00EA11C7"/>
    <w:rsid w:val="00EA23F3"/>
    <w:rsid w:val="00EA2488"/>
    <w:rsid w:val="00EB070C"/>
    <w:rsid w:val="00EB16F5"/>
    <w:rsid w:val="00EC1974"/>
    <w:rsid w:val="00EC4E69"/>
    <w:rsid w:val="00EC61A5"/>
    <w:rsid w:val="00EE270A"/>
    <w:rsid w:val="00EE3CDB"/>
    <w:rsid w:val="00EE53A5"/>
    <w:rsid w:val="00EE6946"/>
    <w:rsid w:val="00EE72BD"/>
    <w:rsid w:val="00EE7561"/>
    <w:rsid w:val="00EF08DF"/>
    <w:rsid w:val="00EF0972"/>
    <w:rsid w:val="00EF150F"/>
    <w:rsid w:val="00EF6481"/>
    <w:rsid w:val="00EF66B9"/>
    <w:rsid w:val="00EF6FA6"/>
    <w:rsid w:val="00F05792"/>
    <w:rsid w:val="00F05B22"/>
    <w:rsid w:val="00F12911"/>
    <w:rsid w:val="00F157B0"/>
    <w:rsid w:val="00F17BB7"/>
    <w:rsid w:val="00F200B7"/>
    <w:rsid w:val="00F20FC8"/>
    <w:rsid w:val="00F22D98"/>
    <w:rsid w:val="00F236AB"/>
    <w:rsid w:val="00F23D19"/>
    <w:rsid w:val="00F262A3"/>
    <w:rsid w:val="00F33029"/>
    <w:rsid w:val="00F34E2F"/>
    <w:rsid w:val="00F36031"/>
    <w:rsid w:val="00F4072D"/>
    <w:rsid w:val="00F4221B"/>
    <w:rsid w:val="00F4304F"/>
    <w:rsid w:val="00F43B95"/>
    <w:rsid w:val="00F46CBE"/>
    <w:rsid w:val="00F51363"/>
    <w:rsid w:val="00F5333D"/>
    <w:rsid w:val="00F53DDE"/>
    <w:rsid w:val="00F54E65"/>
    <w:rsid w:val="00F56549"/>
    <w:rsid w:val="00F608BB"/>
    <w:rsid w:val="00F6197E"/>
    <w:rsid w:val="00F65447"/>
    <w:rsid w:val="00F658F5"/>
    <w:rsid w:val="00F67831"/>
    <w:rsid w:val="00F70A27"/>
    <w:rsid w:val="00F732D5"/>
    <w:rsid w:val="00F736FD"/>
    <w:rsid w:val="00F73E22"/>
    <w:rsid w:val="00F76E22"/>
    <w:rsid w:val="00F85E0E"/>
    <w:rsid w:val="00F863F2"/>
    <w:rsid w:val="00F86D36"/>
    <w:rsid w:val="00F9043F"/>
    <w:rsid w:val="00F916BA"/>
    <w:rsid w:val="00F95010"/>
    <w:rsid w:val="00FA1DAE"/>
    <w:rsid w:val="00FA2081"/>
    <w:rsid w:val="00FA20A1"/>
    <w:rsid w:val="00FA3D2F"/>
    <w:rsid w:val="00FA6094"/>
    <w:rsid w:val="00FA70E7"/>
    <w:rsid w:val="00FA72A5"/>
    <w:rsid w:val="00FB2C84"/>
    <w:rsid w:val="00FB5C65"/>
    <w:rsid w:val="00FB6F66"/>
    <w:rsid w:val="00FB7A62"/>
    <w:rsid w:val="00FC1ED2"/>
    <w:rsid w:val="00FC26B5"/>
    <w:rsid w:val="00FC760F"/>
    <w:rsid w:val="00FD144B"/>
    <w:rsid w:val="00FD30B3"/>
    <w:rsid w:val="00FD30FF"/>
    <w:rsid w:val="00FD599B"/>
    <w:rsid w:val="00FD7AFF"/>
    <w:rsid w:val="00FE06E7"/>
    <w:rsid w:val="00FE4D4E"/>
    <w:rsid w:val="00FE4F1C"/>
    <w:rsid w:val="00FE5134"/>
    <w:rsid w:val="00FE5206"/>
    <w:rsid w:val="00FE543B"/>
    <w:rsid w:val="00FF7BCC"/>
    <w:rsid w:val="010B094E"/>
    <w:rsid w:val="0125487A"/>
    <w:rsid w:val="01517A09"/>
    <w:rsid w:val="01752D51"/>
    <w:rsid w:val="017975A4"/>
    <w:rsid w:val="0186501F"/>
    <w:rsid w:val="018D5D32"/>
    <w:rsid w:val="01D83D73"/>
    <w:rsid w:val="01DD250A"/>
    <w:rsid w:val="01FC64FB"/>
    <w:rsid w:val="0238412F"/>
    <w:rsid w:val="024F018A"/>
    <w:rsid w:val="026929FF"/>
    <w:rsid w:val="026E4EC8"/>
    <w:rsid w:val="02741132"/>
    <w:rsid w:val="028019EA"/>
    <w:rsid w:val="02841FD6"/>
    <w:rsid w:val="02A8438E"/>
    <w:rsid w:val="02A97E39"/>
    <w:rsid w:val="02CF15B4"/>
    <w:rsid w:val="02F04CDF"/>
    <w:rsid w:val="030F46AB"/>
    <w:rsid w:val="036D0DF1"/>
    <w:rsid w:val="03760E31"/>
    <w:rsid w:val="03B150BB"/>
    <w:rsid w:val="03C25561"/>
    <w:rsid w:val="03E14AE1"/>
    <w:rsid w:val="03E728AA"/>
    <w:rsid w:val="03EB5794"/>
    <w:rsid w:val="03ED664A"/>
    <w:rsid w:val="040A123A"/>
    <w:rsid w:val="041E2B0D"/>
    <w:rsid w:val="043208F6"/>
    <w:rsid w:val="043764FF"/>
    <w:rsid w:val="043E3FAE"/>
    <w:rsid w:val="04741D01"/>
    <w:rsid w:val="0483554C"/>
    <w:rsid w:val="049004B8"/>
    <w:rsid w:val="049E0F81"/>
    <w:rsid w:val="04A6737E"/>
    <w:rsid w:val="04B54C82"/>
    <w:rsid w:val="04BA042B"/>
    <w:rsid w:val="04BD5452"/>
    <w:rsid w:val="04C4684B"/>
    <w:rsid w:val="04C73166"/>
    <w:rsid w:val="04DE1A2F"/>
    <w:rsid w:val="04E0758D"/>
    <w:rsid w:val="04E9536D"/>
    <w:rsid w:val="04F54E15"/>
    <w:rsid w:val="050D5D58"/>
    <w:rsid w:val="050F6E7F"/>
    <w:rsid w:val="051E0AE5"/>
    <w:rsid w:val="0539426F"/>
    <w:rsid w:val="05452235"/>
    <w:rsid w:val="054C5166"/>
    <w:rsid w:val="05541835"/>
    <w:rsid w:val="05597C7C"/>
    <w:rsid w:val="055B528B"/>
    <w:rsid w:val="05670FDF"/>
    <w:rsid w:val="057144B6"/>
    <w:rsid w:val="05737E86"/>
    <w:rsid w:val="0587526F"/>
    <w:rsid w:val="059402B1"/>
    <w:rsid w:val="05A44269"/>
    <w:rsid w:val="05A62BEE"/>
    <w:rsid w:val="05B11D69"/>
    <w:rsid w:val="05E973A2"/>
    <w:rsid w:val="05EC5E79"/>
    <w:rsid w:val="05F576F1"/>
    <w:rsid w:val="05FB4763"/>
    <w:rsid w:val="06117C05"/>
    <w:rsid w:val="061244FF"/>
    <w:rsid w:val="06152582"/>
    <w:rsid w:val="06152BE0"/>
    <w:rsid w:val="062055CC"/>
    <w:rsid w:val="062E7FE4"/>
    <w:rsid w:val="063D4774"/>
    <w:rsid w:val="064D6F2A"/>
    <w:rsid w:val="065E2CDF"/>
    <w:rsid w:val="066D5A52"/>
    <w:rsid w:val="066E3B5B"/>
    <w:rsid w:val="067C4962"/>
    <w:rsid w:val="069D2590"/>
    <w:rsid w:val="06A806AD"/>
    <w:rsid w:val="06B93AC2"/>
    <w:rsid w:val="06BA2743"/>
    <w:rsid w:val="06BE6CFC"/>
    <w:rsid w:val="06C232EF"/>
    <w:rsid w:val="06CD662A"/>
    <w:rsid w:val="06DC5A8E"/>
    <w:rsid w:val="06E63279"/>
    <w:rsid w:val="06F00366"/>
    <w:rsid w:val="06FB7859"/>
    <w:rsid w:val="070834D4"/>
    <w:rsid w:val="070B7325"/>
    <w:rsid w:val="070F65B7"/>
    <w:rsid w:val="07165E14"/>
    <w:rsid w:val="071A7D37"/>
    <w:rsid w:val="071F5CB8"/>
    <w:rsid w:val="072D57D8"/>
    <w:rsid w:val="072F5DE7"/>
    <w:rsid w:val="07347E2A"/>
    <w:rsid w:val="07590FFD"/>
    <w:rsid w:val="075C73CF"/>
    <w:rsid w:val="07662C4A"/>
    <w:rsid w:val="076B6BC4"/>
    <w:rsid w:val="07720AC5"/>
    <w:rsid w:val="079024B1"/>
    <w:rsid w:val="07910333"/>
    <w:rsid w:val="07A5554D"/>
    <w:rsid w:val="07BE5114"/>
    <w:rsid w:val="07DE7354"/>
    <w:rsid w:val="07E53D0A"/>
    <w:rsid w:val="07EC5CC2"/>
    <w:rsid w:val="07EE1D3D"/>
    <w:rsid w:val="07F12F62"/>
    <w:rsid w:val="08453A3C"/>
    <w:rsid w:val="085075CE"/>
    <w:rsid w:val="08557604"/>
    <w:rsid w:val="08742405"/>
    <w:rsid w:val="08765A6D"/>
    <w:rsid w:val="087D3F16"/>
    <w:rsid w:val="08851D75"/>
    <w:rsid w:val="08973473"/>
    <w:rsid w:val="089F427A"/>
    <w:rsid w:val="08A07814"/>
    <w:rsid w:val="08A50E61"/>
    <w:rsid w:val="08B71D4D"/>
    <w:rsid w:val="08BE01F7"/>
    <w:rsid w:val="08EF7014"/>
    <w:rsid w:val="08F02E75"/>
    <w:rsid w:val="08F17241"/>
    <w:rsid w:val="08FB7D09"/>
    <w:rsid w:val="091A69D1"/>
    <w:rsid w:val="091F1B26"/>
    <w:rsid w:val="092950EF"/>
    <w:rsid w:val="09383D53"/>
    <w:rsid w:val="093B5749"/>
    <w:rsid w:val="095255EA"/>
    <w:rsid w:val="095557D8"/>
    <w:rsid w:val="097C74D3"/>
    <w:rsid w:val="09822470"/>
    <w:rsid w:val="09840577"/>
    <w:rsid w:val="09915997"/>
    <w:rsid w:val="09A879BA"/>
    <w:rsid w:val="09AC453A"/>
    <w:rsid w:val="09AE4B56"/>
    <w:rsid w:val="09B430BC"/>
    <w:rsid w:val="09BE05E5"/>
    <w:rsid w:val="09D113EB"/>
    <w:rsid w:val="09EA02A2"/>
    <w:rsid w:val="09EC1535"/>
    <w:rsid w:val="09F33C67"/>
    <w:rsid w:val="09FF2321"/>
    <w:rsid w:val="0A097DAF"/>
    <w:rsid w:val="0A134F1F"/>
    <w:rsid w:val="0A171B56"/>
    <w:rsid w:val="0A1A72AB"/>
    <w:rsid w:val="0A4D33CC"/>
    <w:rsid w:val="0A4E24EB"/>
    <w:rsid w:val="0A5A6246"/>
    <w:rsid w:val="0A642C4E"/>
    <w:rsid w:val="0A681C77"/>
    <w:rsid w:val="0A6D3A51"/>
    <w:rsid w:val="0A7C3F14"/>
    <w:rsid w:val="0A7F4E1A"/>
    <w:rsid w:val="0A825631"/>
    <w:rsid w:val="0A864007"/>
    <w:rsid w:val="0A8835CA"/>
    <w:rsid w:val="0AA5663D"/>
    <w:rsid w:val="0AB80957"/>
    <w:rsid w:val="0ACA5A6E"/>
    <w:rsid w:val="0AD76DE6"/>
    <w:rsid w:val="0AD82DCC"/>
    <w:rsid w:val="0AE558C6"/>
    <w:rsid w:val="0B080BFA"/>
    <w:rsid w:val="0B111681"/>
    <w:rsid w:val="0B2F43C1"/>
    <w:rsid w:val="0B412D99"/>
    <w:rsid w:val="0B5908F0"/>
    <w:rsid w:val="0B5915E4"/>
    <w:rsid w:val="0B8767DF"/>
    <w:rsid w:val="0B9F16EF"/>
    <w:rsid w:val="0BA46C65"/>
    <w:rsid w:val="0BA52CC8"/>
    <w:rsid w:val="0BAB6B6A"/>
    <w:rsid w:val="0BAE2E65"/>
    <w:rsid w:val="0BB42A98"/>
    <w:rsid w:val="0BDB2ECD"/>
    <w:rsid w:val="0BED00BE"/>
    <w:rsid w:val="0BFC7550"/>
    <w:rsid w:val="0BFD0CEA"/>
    <w:rsid w:val="0C0E78C8"/>
    <w:rsid w:val="0C0F5E5F"/>
    <w:rsid w:val="0C1252B8"/>
    <w:rsid w:val="0C2129FF"/>
    <w:rsid w:val="0C25261E"/>
    <w:rsid w:val="0C26667F"/>
    <w:rsid w:val="0C4D324A"/>
    <w:rsid w:val="0C4E4374"/>
    <w:rsid w:val="0C5D15DD"/>
    <w:rsid w:val="0C6253F3"/>
    <w:rsid w:val="0CA8253E"/>
    <w:rsid w:val="0CE25513"/>
    <w:rsid w:val="0CE36163"/>
    <w:rsid w:val="0CE407A5"/>
    <w:rsid w:val="0CE83127"/>
    <w:rsid w:val="0CE95BE6"/>
    <w:rsid w:val="0CF05C95"/>
    <w:rsid w:val="0CF3194A"/>
    <w:rsid w:val="0D0479CE"/>
    <w:rsid w:val="0D055E72"/>
    <w:rsid w:val="0D0E3587"/>
    <w:rsid w:val="0D0F69E0"/>
    <w:rsid w:val="0D117D19"/>
    <w:rsid w:val="0D3421EA"/>
    <w:rsid w:val="0D3607D1"/>
    <w:rsid w:val="0D37771C"/>
    <w:rsid w:val="0D4760ED"/>
    <w:rsid w:val="0D711699"/>
    <w:rsid w:val="0D737D94"/>
    <w:rsid w:val="0D9244FD"/>
    <w:rsid w:val="0D97788C"/>
    <w:rsid w:val="0DB51D20"/>
    <w:rsid w:val="0DC42C76"/>
    <w:rsid w:val="0DDD6667"/>
    <w:rsid w:val="0DEF4E3A"/>
    <w:rsid w:val="0DF358A2"/>
    <w:rsid w:val="0DF81EF2"/>
    <w:rsid w:val="0DF92A65"/>
    <w:rsid w:val="0E061020"/>
    <w:rsid w:val="0E1938C1"/>
    <w:rsid w:val="0E3C6DED"/>
    <w:rsid w:val="0E485BEC"/>
    <w:rsid w:val="0E654CA2"/>
    <w:rsid w:val="0E7F34BF"/>
    <w:rsid w:val="0E9C0DC4"/>
    <w:rsid w:val="0EB04559"/>
    <w:rsid w:val="0EC37AEF"/>
    <w:rsid w:val="0EC451B5"/>
    <w:rsid w:val="0EE439FF"/>
    <w:rsid w:val="0EFD3824"/>
    <w:rsid w:val="0F101A57"/>
    <w:rsid w:val="0F191FB1"/>
    <w:rsid w:val="0F1A6774"/>
    <w:rsid w:val="0F1B0671"/>
    <w:rsid w:val="0F295CA3"/>
    <w:rsid w:val="0F4F1795"/>
    <w:rsid w:val="0F510323"/>
    <w:rsid w:val="0F523595"/>
    <w:rsid w:val="0F544B1D"/>
    <w:rsid w:val="0F590A0D"/>
    <w:rsid w:val="0FA3463C"/>
    <w:rsid w:val="0FBE10B7"/>
    <w:rsid w:val="0FBE6745"/>
    <w:rsid w:val="0FD325B2"/>
    <w:rsid w:val="0FDD0C5B"/>
    <w:rsid w:val="0FE73532"/>
    <w:rsid w:val="0FF0600C"/>
    <w:rsid w:val="0FF90BC3"/>
    <w:rsid w:val="101314AD"/>
    <w:rsid w:val="103C2486"/>
    <w:rsid w:val="103D2787"/>
    <w:rsid w:val="103D3755"/>
    <w:rsid w:val="103E3E4E"/>
    <w:rsid w:val="10567B7E"/>
    <w:rsid w:val="107923F7"/>
    <w:rsid w:val="10D543A2"/>
    <w:rsid w:val="112B2EE8"/>
    <w:rsid w:val="11320CF3"/>
    <w:rsid w:val="113B2C94"/>
    <w:rsid w:val="11412247"/>
    <w:rsid w:val="115637F9"/>
    <w:rsid w:val="1166076F"/>
    <w:rsid w:val="11953524"/>
    <w:rsid w:val="11AA6F50"/>
    <w:rsid w:val="11B07D78"/>
    <w:rsid w:val="11C806B4"/>
    <w:rsid w:val="11CC1E74"/>
    <w:rsid w:val="11D8225A"/>
    <w:rsid w:val="12346D0A"/>
    <w:rsid w:val="12482CF7"/>
    <w:rsid w:val="1256649A"/>
    <w:rsid w:val="1269031D"/>
    <w:rsid w:val="12AB7D9F"/>
    <w:rsid w:val="12AC07C0"/>
    <w:rsid w:val="12B10C97"/>
    <w:rsid w:val="12C669CB"/>
    <w:rsid w:val="12C76B5C"/>
    <w:rsid w:val="12CB4AEE"/>
    <w:rsid w:val="12D0036B"/>
    <w:rsid w:val="12D65EAF"/>
    <w:rsid w:val="12D720AC"/>
    <w:rsid w:val="12E30D70"/>
    <w:rsid w:val="12E36F14"/>
    <w:rsid w:val="12EF3A60"/>
    <w:rsid w:val="12EF3D4D"/>
    <w:rsid w:val="12F36B75"/>
    <w:rsid w:val="12F65C89"/>
    <w:rsid w:val="13036626"/>
    <w:rsid w:val="13111895"/>
    <w:rsid w:val="13151215"/>
    <w:rsid w:val="132C3866"/>
    <w:rsid w:val="133824D0"/>
    <w:rsid w:val="133A4434"/>
    <w:rsid w:val="13527376"/>
    <w:rsid w:val="135350C1"/>
    <w:rsid w:val="138D02A9"/>
    <w:rsid w:val="138F7FD3"/>
    <w:rsid w:val="13B015C5"/>
    <w:rsid w:val="13D9057D"/>
    <w:rsid w:val="13F34EC9"/>
    <w:rsid w:val="142121F7"/>
    <w:rsid w:val="142B356F"/>
    <w:rsid w:val="142F4C5E"/>
    <w:rsid w:val="14373CDC"/>
    <w:rsid w:val="1438619F"/>
    <w:rsid w:val="143C195C"/>
    <w:rsid w:val="14456D00"/>
    <w:rsid w:val="144E0F24"/>
    <w:rsid w:val="1468750F"/>
    <w:rsid w:val="1473219D"/>
    <w:rsid w:val="1499024E"/>
    <w:rsid w:val="14B71FE1"/>
    <w:rsid w:val="14CA5AF5"/>
    <w:rsid w:val="14D019B6"/>
    <w:rsid w:val="14E1485C"/>
    <w:rsid w:val="14EB57EE"/>
    <w:rsid w:val="14F6713B"/>
    <w:rsid w:val="14FE488C"/>
    <w:rsid w:val="15141C55"/>
    <w:rsid w:val="151F3C76"/>
    <w:rsid w:val="153B160D"/>
    <w:rsid w:val="15476157"/>
    <w:rsid w:val="15533BEE"/>
    <w:rsid w:val="1562305B"/>
    <w:rsid w:val="156A6B04"/>
    <w:rsid w:val="15730235"/>
    <w:rsid w:val="15773139"/>
    <w:rsid w:val="157D344D"/>
    <w:rsid w:val="159A2F06"/>
    <w:rsid w:val="15BB362B"/>
    <w:rsid w:val="15BC4236"/>
    <w:rsid w:val="15C725B9"/>
    <w:rsid w:val="15D66938"/>
    <w:rsid w:val="15DE5797"/>
    <w:rsid w:val="16045F7E"/>
    <w:rsid w:val="16084D64"/>
    <w:rsid w:val="160A084B"/>
    <w:rsid w:val="161A52FA"/>
    <w:rsid w:val="16235F5C"/>
    <w:rsid w:val="165D19A0"/>
    <w:rsid w:val="166C6FB9"/>
    <w:rsid w:val="16785A5D"/>
    <w:rsid w:val="167D0BD0"/>
    <w:rsid w:val="1684425A"/>
    <w:rsid w:val="168542EA"/>
    <w:rsid w:val="1689195E"/>
    <w:rsid w:val="169B13F4"/>
    <w:rsid w:val="16A60845"/>
    <w:rsid w:val="16A64E9A"/>
    <w:rsid w:val="16AE2F47"/>
    <w:rsid w:val="16AF2614"/>
    <w:rsid w:val="16B91467"/>
    <w:rsid w:val="16C12D24"/>
    <w:rsid w:val="16E9446C"/>
    <w:rsid w:val="16EC4A13"/>
    <w:rsid w:val="16F101FB"/>
    <w:rsid w:val="16F11E78"/>
    <w:rsid w:val="16F508B4"/>
    <w:rsid w:val="17016E68"/>
    <w:rsid w:val="1704759E"/>
    <w:rsid w:val="170727EC"/>
    <w:rsid w:val="17084916"/>
    <w:rsid w:val="171846A3"/>
    <w:rsid w:val="17190FB7"/>
    <w:rsid w:val="171F1CC4"/>
    <w:rsid w:val="172443F6"/>
    <w:rsid w:val="172E3C78"/>
    <w:rsid w:val="174F548C"/>
    <w:rsid w:val="17714DEB"/>
    <w:rsid w:val="1780598B"/>
    <w:rsid w:val="179C6093"/>
    <w:rsid w:val="17AC2445"/>
    <w:rsid w:val="17B0374E"/>
    <w:rsid w:val="17CD21B9"/>
    <w:rsid w:val="17F365EC"/>
    <w:rsid w:val="18180C30"/>
    <w:rsid w:val="181A4948"/>
    <w:rsid w:val="182146AB"/>
    <w:rsid w:val="1830215E"/>
    <w:rsid w:val="184E58BA"/>
    <w:rsid w:val="186C1E67"/>
    <w:rsid w:val="188B7F5E"/>
    <w:rsid w:val="1890769A"/>
    <w:rsid w:val="18AB78F1"/>
    <w:rsid w:val="18B134BA"/>
    <w:rsid w:val="18D90E21"/>
    <w:rsid w:val="18DF7C4C"/>
    <w:rsid w:val="18F5554D"/>
    <w:rsid w:val="18F8077E"/>
    <w:rsid w:val="18FF43AA"/>
    <w:rsid w:val="19164AD0"/>
    <w:rsid w:val="191C1AE0"/>
    <w:rsid w:val="19401E1F"/>
    <w:rsid w:val="195046DF"/>
    <w:rsid w:val="19590507"/>
    <w:rsid w:val="195C1E1A"/>
    <w:rsid w:val="195F0788"/>
    <w:rsid w:val="196205D9"/>
    <w:rsid w:val="196A7B32"/>
    <w:rsid w:val="196B6C52"/>
    <w:rsid w:val="197432A1"/>
    <w:rsid w:val="197874D5"/>
    <w:rsid w:val="198A16DD"/>
    <w:rsid w:val="19A4516F"/>
    <w:rsid w:val="19A97CAF"/>
    <w:rsid w:val="19AB3D81"/>
    <w:rsid w:val="19BB4090"/>
    <w:rsid w:val="19DA1AF8"/>
    <w:rsid w:val="19DD598F"/>
    <w:rsid w:val="19EA21ED"/>
    <w:rsid w:val="19F61EEA"/>
    <w:rsid w:val="1A2E6FA4"/>
    <w:rsid w:val="1A3124AF"/>
    <w:rsid w:val="1A3416C3"/>
    <w:rsid w:val="1A3B0898"/>
    <w:rsid w:val="1A431508"/>
    <w:rsid w:val="1A583C65"/>
    <w:rsid w:val="1A5A6471"/>
    <w:rsid w:val="1A645005"/>
    <w:rsid w:val="1A656C7F"/>
    <w:rsid w:val="1A683242"/>
    <w:rsid w:val="1A6D24F4"/>
    <w:rsid w:val="1A773844"/>
    <w:rsid w:val="1A7B5067"/>
    <w:rsid w:val="1ACE1C68"/>
    <w:rsid w:val="1B0724B6"/>
    <w:rsid w:val="1B49611E"/>
    <w:rsid w:val="1B5E2F00"/>
    <w:rsid w:val="1B940B1A"/>
    <w:rsid w:val="1B9674E0"/>
    <w:rsid w:val="1BA737F4"/>
    <w:rsid w:val="1BB83431"/>
    <w:rsid w:val="1BBF48B9"/>
    <w:rsid w:val="1BC07463"/>
    <w:rsid w:val="1BD51290"/>
    <w:rsid w:val="1BFC0F15"/>
    <w:rsid w:val="1C261E70"/>
    <w:rsid w:val="1C4529B6"/>
    <w:rsid w:val="1C4D5DA7"/>
    <w:rsid w:val="1C647970"/>
    <w:rsid w:val="1C7851C9"/>
    <w:rsid w:val="1CA13151"/>
    <w:rsid w:val="1CC2057A"/>
    <w:rsid w:val="1CC30D89"/>
    <w:rsid w:val="1CCD2967"/>
    <w:rsid w:val="1CDA105D"/>
    <w:rsid w:val="1CE0228A"/>
    <w:rsid w:val="1CE06EC6"/>
    <w:rsid w:val="1D0815C2"/>
    <w:rsid w:val="1D1723F1"/>
    <w:rsid w:val="1D1B1917"/>
    <w:rsid w:val="1D1D6D80"/>
    <w:rsid w:val="1D4414F9"/>
    <w:rsid w:val="1D466EE5"/>
    <w:rsid w:val="1D72420E"/>
    <w:rsid w:val="1D740A3B"/>
    <w:rsid w:val="1D772A03"/>
    <w:rsid w:val="1D815388"/>
    <w:rsid w:val="1D843A64"/>
    <w:rsid w:val="1D9319BB"/>
    <w:rsid w:val="1DA676EA"/>
    <w:rsid w:val="1DAB4D3C"/>
    <w:rsid w:val="1DB53DAB"/>
    <w:rsid w:val="1DC163B2"/>
    <w:rsid w:val="1DCB3B09"/>
    <w:rsid w:val="1DCC1260"/>
    <w:rsid w:val="1DEE56AA"/>
    <w:rsid w:val="1E0418FF"/>
    <w:rsid w:val="1E3002EA"/>
    <w:rsid w:val="1E437BF1"/>
    <w:rsid w:val="1E504BCC"/>
    <w:rsid w:val="1E5D1696"/>
    <w:rsid w:val="1E843339"/>
    <w:rsid w:val="1E9E575F"/>
    <w:rsid w:val="1EA25C26"/>
    <w:rsid w:val="1EA4144C"/>
    <w:rsid w:val="1EAF7B09"/>
    <w:rsid w:val="1EC34FA5"/>
    <w:rsid w:val="1EEC2070"/>
    <w:rsid w:val="1F0F61B1"/>
    <w:rsid w:val="1F451DB1"/>
    <w:rsid w:val="1F6B6BD0"/>
    <w:rsid w:val="1F76782A"/>
    <w:rsid w:val="1F7D6E36"/>
    <w:rsid w:val="1F9B7A43"/>
    <w:rsid w:val="1FA657A4"/>
    <w:rsid w:val="1FB44D91"/>
    <w:rsid w:val="1FD87A69"/>
    <w:rsid w:val="1FF6216E"/>
    <w:rsid w:val="1FFF6AB0"/>
    <w:rsid w:val="20026D25"/>
    <w:rsid w:val="200A5F5B"/>
    <w:rsid w:val="2012468D"/>
    <w:rsid w:val="202950DD"/>
    <w:rsid w:val="202F5850"/>
    <w:rsid w:val="2036600B"/>
    <w:rsid w:val="203776CF"/>
    <w:rsid w:val="203C4B95"/>
    <w:rsid w:val="2052507E"/>
    <w:rsid w:val="2068176D"/>
    <w:rsid w:val="20752580"/>
    <w:rsid w:val="20945297"/>
    <w:rsid w:val="20947745"/>
    <w:rsid w:val="20AE364B"/>
    <w:rsid w:val="20B02CF6"/>
    <w:rsid w:val="20BE7DC0"/>
    <w:rsid w:val="20C374F5"/>
    <w:rsid w:val="20C42750"/>
    <w:rsid w:val="20E06466"/>
    <w:rsid w:val="20EC2E5A"/>
    <w:rsid w:val="20F25187"/>
    <w:rsid w:val="21976E18"/>
    <w:rsid w:val="21996223"/>
    <w:rsid w:val="219B1576"/>
    <w:rsid w:val="21BA361F"/>
    <w:rsid w:val="21E25983"/>
    <w:rsid w:val="22353B2B"/>
    <w:rsid w:val="2236402A"/>
    <w:rsid w:val="22506269"/>
    <w:rsid w:val="2252759B"/>
    <w:rsid w:val="22585514"/>
    <w:rsid w:val="22660355"/>
    <w:rsid w:val="22667E7F"/>
    <w:rsid w:val="227F5922"/>
    <w:rsid w:val="22A50B4E"/>
    <w:rsid w:val="22A61BB2"/>
    <w:rsid w:val="22AF7492"/>
    <w:rsid w:val="22B26E48"/>
    <w:rsid w:val="22B84838"/>
    <w:rsid w:val="22D15707"/>
    <w:rsid w:val="22D57870"/>
    <w:rsid w:val="22DF0B7A"/>
    <w:rsid w:val="22E15033"/>
    <w:rsid w:val="230424F2"/>
    <w:rsid w:val="23095363"/>
    <w:rsid w:val="231879A1"/>
    <w:rsid w:val="231D44C6"/>
    <w:rsid w:val="231D6ABC"/>
    <w:rsid w:val="23312902"/>
    <w:rsid w:val="235503DE"/>
    <w:rsid w:val="23586A43"/>
    <w:rsid w:val="235F1A87"/>
    <w:rsid w:val="23617917"/>
    <w:rsid w:val="2369472E"/>
    <w:rsid w:val="23750218"/>
    <w:rsid w:val="237F39B4"/>
    <w:rsid w:val="23816C24"/>
    <w:rsid w:val="2383009A"/>
    <w:rsid w:val="238C44F3"/>
    <w:rsid w:val="23A52A88"/>
    <w:rsid w:val="23B50828"/>
    <w:rsid w:val="23B66052"/>
    <w:rsid w:val="23C47BBC"/>
    <w:rsid w:val="23E56FBD"/>
    <w:rsid w:val="23F12C7E"/>
    <w:rsid w:val="23FA3D9C"/>
    <w:rsid w:val="23FE1B33"/>
    <w:rsid w:val="240241AC"/>
    <w:rsid w:val="240F0804"/>
    <w:rsid w:val="24161681"/>
    <w:rsid w:val="24276D1F"/>
    <w:rsid w:val="24305A24"/>
    <w:rsid w:val="243802F2"/>
    <w:rsid w:val="246152AD"/>
    <w:rsid w:val="247862BE"/>
    <w:rsid w:val="2483481C"/>
    <w:rsid w:val="248C2374"/>
    <w:rsid w:val="248F2E41"/>
    <w:rsid w:val="249623ED"/>
    <w:rsid w:val="24AB6F5D"/>
    <w:rsid w:val="24B95D74"/>
    <w:rsid w:val="24CB1FC2"/>
    <w:rsid w:val="24D71651"/>
    <w:rsid w:val="24E1532B"/>
    <w:rsid w:val="24E81E75"/>
    <w:rsid w:val="24EB0BA1"/>
    <w:rsid w:val="250531F5"/>
    <w:rsid w:val="251115A9"/>
    <w:rsid w:val="25273933"/>
    <w:rsid w:val="254C40BE"/>
    <w:rsid w:val="254C7CC6"/>
    <w:rsid w:val="256E4FB1"/>
    <w:rsid w:val="25796D6B"/>
    <w:rsid w:val="25831B1D"/>
    <w:rsid w:val="25891B8B"/>
    <w:rsid w:val="25A522CA"/>
    <w:rsid w:val="25BA46F2"/>
    <w:rsid w:val="25C97CB6"/>
    <w:rsid w:val="25CE24B8"/>
    <w:rsid w:val="25D512F0"/>
    <w:rsid w:val="25D62BC3"/>
    <w:rsid w:val="25E0184B"/>
    <w:rsid w:val="260A5246"/>
    <w:rsid w:val="261634B1"/>
    <w:rsid w:val="261772D2"/>
    <w:rsid w:val="263C5AD1"/>
    <w:rsid w:val="26625B2A"/>
    <w:rsid w:val="2699628B"/>
    <w:rsid w:val="26A73B9A"/>
    <w:rsid w:val="26A76454"/>
    <w:rsid w:val="26BF473B"/>
    <w:rsid w:val="26E62026"/>
    <w:rsid w:val="26E9143A"/>
    <w:rsid w:val="270C77C3"/>
    <w:rsid w:val="270E46D8"/>
    <w:rsid w:val="27113DD8"/>
    <w:rsid w:val="27233C28"/>
    <w:rsid w:val="272D51EB"/>
    <w:rsid w:val="272E770A"/>
    <w:rsid w:val="273334E2"/>
    <w:rsid w:val="273B5392"/>
    <w:rsid w:val="27473394"/>
    <w:rsid w:val="275A4618"/>
    <w:rsid w:val="27665F87"/>
    <w:rsid w:val="276A6ED3"/>
    <w:rsid w:val="276D4C1D"/>
    <w:rsid w:val="276D6E72"/>
    <w:rsid w:val="278456D2"/>
    <w:rsid w:val="27877ADC"/>
    <w:rsid w:val="27A47458"/>
    <w:rsid w:val="27A72F5C"/>
    <w:rsid w:val="27C54CE8"/>
    <w:rsid w:val="27D86C64"/>
    <w:rsid w:val="27DB78CF"/>
    <w:rsid w:val="27E92D9F"/>
    <w:rsid w:val="27F15009"/>
    <w:rsid w:val="28113C89"/>
    <w:rsid w:val="28237372"/>
    <w:rsid w:val="28242E66"/>
    <w:rsid w:val="282C0647"/>
    <w:rsid w:val="28383D84"/>
    <w:rsid w:val="284A0FF1"/>
    <w:rsid w:val="284F5C9D"/>
    <w:rsid w:val="286E230C"/>
    <w:rsid w:val="289A4FE8"/>
    <w:rsid w:val="28A0063A"/>
    <w:rsid w:val="28AD2D25"/>
    <w:rsid w:val="28CD6359"/>
    <w:rsid w:val="28D23530"/>
    <w:rsid w:val="28D3381B"/>
    <w:rsid w:val="28EE1ED8"/>
    <w:rsid w:val="28F62399"/>
    <w:rsid w:val="29070822"/>
    <w:rsid w:val="291F3BBE"/>
    <w:rsid w:val="292A4F65"/>
    <w:rsid w:val="29357993"/>
    <w:rsid w:val="29377B4C"/>
    <w:rsid w:val="294352D5"/>
    <w:rsid w:val="294671E7"/>
    <w:rsid w:val="294B0B89"/>
    <w:rsid w:val="294D20D6"/>
    <w:rsid w:val="29666EBB"/>
    <w:rsid w:val="29803AAF"/>
    <w:rsid w:val="298967CF"/>
    <w:rsid w:val="29935FC6"/>
    <w:rsid w:val="29A31F36"/>
    <w:rsid w:val="29A3234A"/>
    <w:rsid w:val="29C16A0B"/>
    <w:rsid w:val="29C40BA4"/>
    <w:rsid w:val="29C64D0A"/>
    <w:rsid w:val="29CF350A"/>
    <w:rsid w:val="29CF71B8"/>
    <w:rsid w:val="29D92421"/>
    <w:rsid w:val="29DE5016"/>
    <w:rsid w:val="29F033E4"/>
    <w:rsid w:val="29F259AC"/>
    <w:rsid w:val="29F5564C"/>
    <w:rsid w:val="2A144E02"/>
    <w:rsid w:val="2A1C4B4E"/>
    <w:rsid w:val="2A324BF4"/>
    <w:rsid w:val="2A332DAF"/>
    <w:rsid w:val="2A430CF4"/>
    <w:rsid w:val="2A5D493E"/>
    <w:rsid w:val="2A621B97"/>
    <w:rsid w:val="2A716B84"/>
    <w:rsid w:val="2A8147D1"/>
    <w:rsid w:val="2A845136"/>
    <w:rsid w:val="2A946151"/>
    <w:rsid w:val="2AA33154"/>
    <w:rsid w:val="2AAA0D81"/>
    <w:rsid w:val="2AB40232"/>
    <w:rsid w:val="2AB82200"/>
    <w:rsid w:val="2ACA1530"/>
    <w:rsid w:val="2AD0397B"/>
    <w:rsid w:val="2ADE2D18"/>
    <w:rsid w:val="2AE47841"/>
    <w:rsid w:val="2AFD155A"/>
    <w:rsid w:val="2B143CA5"/>
    <w:rsid w:val="2B1E4750"/>
    <w:rsid w:val="2B4455D3"/>
    <w:rsid w:val="2B663D76"/>
    <w:rsid w:val="2BA96387"/>
    <w:rsid w:val="2BB64B2C"/>
    <w:rsid w:val="2BD943DA"/>
    <w:rsid w:val="2BE40D53"/>
    <w:rsid w:val="2BE41156"/>
    <w:rsid w:val="2BF35741"/>
    <w:rsid w:val="2BF36CEB"/>
    <w:rsid w:val="2BF459EB"/>
    <w:rsid w:val="2C0F3BEA"/>
    <w:rsid w:val="2C1E763E"/>
    <w:rsid w:val="2C2004CD"/>
    <w:rsid w:val="2C2D4594"/>
    <w:rsid w:val="2C401128"/>
    <w:rsid w:val="2C536C69"/>
    <w:rsid w:val="2C610E54"/>
    <w:rsid w:val="2C617A4D"/>
    <w:rsid w:val="2C647274"/>
    <w:rsid w:val="2C647D47"/>
    <w:rsid w:val="2C770F4E"/>
    <w:rsid w:val="2C806FB5"/>
    <w:rsid w:val="2C89532C"/>
    <w:rsid w:val="2C8B6C1C"/>
    <w:rsid w:val="2CA15D0A"/>
    <w:rsid w:val="2CC43F63"/>
    <w:rsid w:val="2CC6499F"/>
    <w:rsid w:val="2CDD594E"/>
    <w:rsid w:val="2CED0D73"/>
    <w:rsid w:val="2D044988"/>
    <w:rsid w:val="2D1170D9"/>
    <w:rsid w:val="2D290BD2"/>
    <w:rsid w:val="2D306BEE"/>
    <w:rsid w:val="2D31356F"/>
    <w:rsid w:val="2D4A4B7C"/>
    <w:rsid w:val="2D54655C"/>
    <w:rsid w:val="2D684A45"/>
    <w:rsid w:val="2D722C6C"/>
    <w:rsid w:val="2D7302C8"/>
    <w:rsid w:val="2D730A34"/>
    <w:rsid w:val="2D8F594D"/>
    <w:rsid w:val="2D976D39"/>
    <w:rsid w:val="2DB37CAA"/>
    <w:rsid w:val="2DC652D0"/>
    <w:rsid w:val="2DCE7A85"/>
    <w:rsid w:val="2DFB3CAB"/>
    <w:rsid w:val="2E147FD1"/>
    <w:rsid w:val="2E16715E"/>
    <w:rsid w:val="2E1A4AD3"/>
    <w:rsid w:val="2E1F05B0"/>
    <w:rsid w:val="2E273A99"/>
    <w:rsid w:val="2E3B4CF8"/>
    <w:rsid w:val="2E4153AF"/>
    <w:rsid w:val="2E691CF2"/>
    <w:rsid w:val="2E800178"/>
    <w:rsid w:val="2E84761D"/>
    <w:rsid w:val="2E8F7DDB"/>
    <w:rsid w:val="2E924775"/>
    <w:rsid w:val="2ED37C9F"/>
    <w:rsid w:val="2ED65A68"/>
    <w:rsid w:val="2EEA70B4"/>
    <w:rsid w:val="2EEB11AA"/>
    <w:rsid w:val="2EEE548D"/>
    <w:rsid w:val="2F1E0131"/>
    <w:rsid w:val="2F4630E2"/>
    <w:rsid w:val="2F4C667E"/>
    <w:rsid w:val="2F5B2C2F"/>
    <w:rsid w:val="2F615964"/>
    <w:rsid w:val="2F64436A"/>
    <w:rsid w:val="2F7373E2"/>
    <w:rsid w:val="2F8E5AC2"/>
    <w:rsid w:val="2FA913F8"/>
    <w:rsid w:val="2FC04228"/>
    <w:rsid w:val="2FE10D9E"/>
    <w:rsid w:val="300D4BEB"/>
    <w:rsid w:val="301D5FE0"/>
    <w:rsid w:val="301D65B1"/>
    <w:rsid w:val="30281BE6"/>
    <w:rsid w:val="30316E1F"/>
    <w:rsid w:val="303A0A37"/>
    <w:rsid w:val="30455437"/>
    <w:rsid w:val="308B33F1"/>
    <w:rsid w:val="308D4FA9"/>
    <w:rsid w:val="30AA6088"/>
    <w:rsid w:val="30C66F42"/>
    <w:rsid w:val="30DB4233"/>
    <w:rsid w:val="30DC5FCD"/>
    <w:rsid w:val="30DD697B"/>
    <w:rsid w:val="30ED531C"/>
    <w:rsid w:val="30F92FDC"/>
    <w:rsid w:val="310155A8"/>
    <w:rsid w:val="310E0A71"/>
    <w:rsid w:val="314F6D01"/>
    <w:rsid w:val="31531F0D"/>
    <w:rsid w:val="31551B99"/>
    <w:rsid w:val="315A38DE"/>
    <w:rsid w:val="3173454C"/>
    <w:rsid w:val="31793F5A"/>
    <w:rsid w:val="3183138F"/>
    <w:rsid w:val="31A04156"/>
    <w:rsid w:val="31B87C3E"/>
    <w:rsid w:val="31D124A1"/>
    <w:rsid w:val="31E7385C"/>
    <w:rsid w:val="31F1423A"/>
    <w:rsid w:val="320B5C3E"/>
    <w:rsid w:val="32226E24"/>
    <w:rsid w:val="322C0A36"/>
    <w:rsid w:val="32336A69"/>
    <w:rsid w:val="323E3A9D"/>
    <w:rsid w:val="326B1EA1"/>
    <w:rsid w:val="32713DBA"/>
    <w:rsid w:val="327318E0"/>
    <w:rsid w:val="3278758D"/>
    <w:rsid w:val="328658D8"/>
    <w:rsid w:val="32A26665"/>
    <w:rsid w:val="32BD404A"/>
    <w:rsid w:val="32C70757"/>
    <w:rsid w:val="32CF2F49"/>
    <w:rsid w:val="32D9740C"/>
    <w:rsid w:val="32E728E9"/>
    <w:rsid w:val="33034EE7"/>
    <w:rsid w:val="331617B9"/>
    <w:rsid w:val="332961A8"/>
    <w:rsid w:val="332A7F49"/>
    <w:rsid w:val="33342C15"/>
    <w:rsid w:val="3385049D"/>
    <w:rsid w:val="338D6A86"/>
    <w:rsid w:val="3392113B"/>
    <w:rsid w:val="3398768C"/>
    <w:rsid w:val="339F69F1"/>
    <w:rsid w:val="33A2061F"/>
    <w:rsid w:val="33A46D1A"/>
    <w:rsid w:val="33F864BD"/>
    <w:rsid w:val="34194D04"/>
    <w:rsid w:val="3423251B"/>
    <w:rsid w:val="34267400"/>
    <w:rsid w:val="34285604"/>
    <w:rsid w:val="342E1A49"/>
    <w:rsid w:val="34385149"/>
    <w:rsid w:val="3472744B"/>
    <w:rsid w:val="3477488D"/>
    <w:rsid w:val="348651BC"/>
    <w:rsid w:val="348F514A"/>
    <w:rsid w:val="349973D4"/>
    <w:rsid w:val="349B1F71"/>
    <w:rsid w:val="34B9529E"/>
    <w:rsid w:val="34C20E8B"/>
    <w:rsid w:val="34DA5D37"/>
    <w:rsid w:val="34E04320"/>
    <w:rsid w:val="34ED4990"/>
    <w:rsid w:val="34EF5757"/>
    <w:rsid w:val="34F734AB"/>
    <w:rsid w:val="35001896"/>
    <w:rsid w:val="350F39AD"/>
    <w:rsid w:val="352B3990"/>
    <w:rsid w:val="35350C30"/>
    <w:rsid w:val="353D7839"/>
    <w:rsid w:val="358C5895"/>
    <w:rsid w:val="358D4D9C"/>
    <w:rsid w:val="359D1294"/>
    <w:rsid w:val="35B115CC"/>
    <w:rsid w:val="35C07A3B"/>
    <w:rsid w:val="35CA6E49"/>
    <w:rsid w:val="35E770B1"/>
    <w:rsid w:val="35EB0304"/>
    <w:rsid w:val="35ED5576"/>
    <w:rsid w:val="35F55D16"/>
    <w:rsid w:val="35F828B8"/>
    <w:rsid w:val="35FE61D5"/>
    <w:rsid w:val="3627010F"/>
    <w:rsid w:val="36345037"/>
    <w:rsid w:val="3649353D"/>
    <w:rsid w:val="36640E31"/>
    <w:rsid w:val="366C112C"/>
    <w:rsid w:val="368E5759"/>
    <w:rsid w:val="36CC1F48"/>
    <w:rsid w:val="36CC5153"/>
    <w:rsid w:val="36DD6FCC"/>
    <w:rsid w:val="36E339F0"/>
    <w:rsid w:val="37161AEC"/>
    <w:rsid w:val="37164D93"/>
    <w:rsid w:val="37284BBF"/>
    <w:rsid w:val="37416721"/>
    <w:rsid w:val="377D441E"/>
    <w:rsid w:val="37903540"/>
    <w:rsid w:val="37956E5D"/>
    <w:rsid w:val="3799683C"/>
    <w:rsid w:val="37AB7D73"/>
    <w:rsid w:val="37B95722"/>
    <w:rsid w:val="37B963EB"/>
    <w:rsid w:val="37C5042C"/>
    <w:rsid w:val="37CE3B6E"/>
    <w:rsid w:val="37D76DB8"/>
    <w:rsid w:val="37E340D5"/>
    <w:rsid w:val="3810380F"/>
    <w:rsid w:val="38195A74"/>
    <w:rsid w:val="38254924"/>
    <w:rsid w:val="38272192"/>
    <w:rsid w:val="382C6761"/>
    <w:rsid w:val="382F584F"/>
    <w:rsid w:val="38321C52"/>
    <w:rsid w:val="383770A5"/>
    <w:rsid w:val="38377EC9"/>
    <w:rsid w:val="383A6932"/>
    <w:rsid w:val="38401E0E"/>
    <w:rsid w:val="384115AE"/>
    <w:rsid w:val="38881491"/>
    <w:rsid w:val="38902F63"/>
    <w:rsid w:val="38937799"/>
    <w:rsid w:val="38AA741B"/>
    <w:rsid w:val="38AC53F9"/>
    <w:rsid w:val="38AE33D1"/>
    <w:rsid w:val="38BA1CED"/>
    <w:rsid w:val="38C2712E"/>
    <w:rsid w:val="38C5405E"/>
    <w:rsid w:val="38C933D0"/>
    <w:rsid w:val="38E938C8"/>
    <w:rsid w:val="38EC76F5"/>
    <w:rsid w:val="38FE3E72"/>
    <w:rsid w:val="39201FB2"/>
    <w:rsid w:val="39213319"/>
    <w:rsid w:val="392B5375"/>
    <w:rsid w:val="392C050A"/>
    <w:rsid w:val="394133C4"/>
    <w:rsid w:val="39701147"/>
    <w:rsid w:val="397C27FE"/>
    <w:rsid w:val="397E01CF"/>
    <w:rsid w:val="399A748B"/>
    <w:rsid w:val="39D16CA3"/>
    <w:rsid w:val="39DC5AE0"/>
    <w:rsid w:val="39E00AD9"/>
    <w:rsid w:val="39E560E0"/>
    <w:rsid w:val="39EC017E"/>
    <w:rsid w:val="39ED5667"/>
    <w:rsid w:val="3A1734BB"/>
    <w:rsid w:val="3A1E0E3E"/>
    <w:rsid w:val="3A212A07"/>
    <w:rsid w:val="3A284A93"/>
    <w:rsid w:val="3A345BC1"/>
    <w:rsid w:val="3A3703F9"/>
    <w:rsid w:val="3A3B439F"/>
    <w:rsid w:val="3A4F584E"/>
    <w:rsid w:val="3A6245F6"/>
    <w:rsid w:val="3A8C3226"/>
    <w:rsid w:val="3A9A6573"/>
    <w:rsid w:val="3A9E34A5"/>
    <w:rsid w:val="3AAC7BA4"/>
    <w:rsid w:val="3AD62023"/>
    <w:rsid w:val="3ADF3963"/>
    <w:rsid w:val="3B077806"/>
    <w:rsid w:val="3B0B4C7C"/>
    <w:rsid w:val="3B162788"/>
    <w:rsid w:val="3B1D4EED"/>
    <w:rsid w:val="3B331E4B"/>
    <w:rsid w:val="3B403014"/>
    <w:rsid w:val="3B4D6D7B"/>
    <w:rsid w:val="3B5D02E3"/>
    <w:rsid w:val="3B6B34A3"/>
    <w:rsid w:val="3B843B73"/>
    <w:rsid w:val="3B854432"/>
    <w:rsid w:val="3B9162A0"/>
    <w:rsid w:val="3B993A35"/>
    <w:rsid w:val="3BAF15F1"/>
    <w:rsid w:val="3BC25435"/>
    <w:rsid w:val="3BDA2F9B"/>
    <w:rsid w:val="3BEB75A9"/>
    <w:rsid w:val="3BED06D5"/>
    <w:rsid w:val="3BEE6339"/>
    <w:rsid w:val="3C0C59F6"/>
    <w:rsid w:val="3C940987"/>
    <w:rsid w:val="3CA578E5"/>
    <w:rsid w:val="3CB839AD"/>
    <w:rsid w:val="3CCC20E4"/>
    <w:rsid w:val="3CE352C3"/>
    <w:rsid w:val="3CF20922"/>
    <w:rsid w:val="3D0467C1"/>
    <w:rsid w:val="3D1D7BCE"/>
    <w:rsid w:val="3D3420FE"/>
    <w:rsid w:val="3D5736B0"/>
    <w:rsid w:val="3D5A63B2"/>
    <w:rsid w:val="3D646729"/>
    <w:rsid w:val="3D762525"/>
    <w:rsid w:val="3D98059B"/>
    <w:rsid w:val="3D9A10CD"/>
    <w:rsid w:val="3DA0171C"/>
    <w:rsid w:val="3DA11275"/>
    <w:rsid w:val="3DC40E6B"/>
    <w:rsid w:val="3DC4288E"/>
    <w:rsid w:val="3DC8523D"/>
    <w:rsid w:val="3DF56AFB"/>
    <w:rsid w:val="3DFA733B"/>
    <w:rsid w:val="3E107561"/>
    <w:rsid w:val="3E175077"/>
    <w:rsid w:val="3E406B77"/>
    <w:rsid w:val="3E667BAE"/>
    <w:rsid w:val="3E667CEF"/>
    <w:rsid w:val="3E735C27"/>
    <w:rsid w:val="3E820AA3"/>
    <w:rsid w:val="3E8A08D1"/>
    <w:rsid w:val="3E912FD0"/>
    <w:rsid w:val="3E921944"/>
    <w:rsid w:val="3EAC23FC"/>
    <w:rsid w:val="3EC520A6"/>
    <w:rsid w:val="3ED50B71"/>
    <w:rsid w:val="3ED87990"/>
    <w:rsid w:val="3EDF7AAE"/>
    <w:rsid w:val="3EF2171B"/>
    <w:rsid w:val="3EFE757A"/>
    <w:rsid w:val="3F04196D"/>
    <w:rsid w:val="3F0F62E6"/>
    <w:rsid w:val="3F3F09D6"/>
    <w:rsid w:val="3F455DAB"/>
    <w:rsid w:val="3F5035B4"/>
    <w:rsid w:val="3F5E797C"/>
    <w:rsid w:val="3F656331"/>
    <w:rsid w:val="3F6B312E"/>
    <w:rsid w:val="3F8F3554"/>
    <w:rsid w:val="3FA42830"/>
    <w:rsid w:val="3FC848D1"/>
    <w:rsid w:val="3FC9355F"/>
    <w:rsid w:val="401331FB"/>
    <w:rsid w:val="40214373"/>
    <w:rsid w:val="403D5417"/>
    <w:rsid w:val="4048145A"/>
    <w:rsid w:val="4056520F"/>
    <w:rsid w:val="40657AAF"/>
    <w:rsid w:val="40961229"/>
    <w:rsid w:val="409B353C"/>
    <w:rsid w:val="40B145C5"/>
    <w:rsid w:val="40D6427A"/>
    <w:rsid w:val="40D67608"/>
    <w:rsid w:val="40E25C04"/>
    <w:rsid w:val="40EC08D9"/>
    <w:rsid w:val="41047709"/>
    <w:rsid w:val="410B27A3"/>
    <w:rsid w:val="411D2F85"/>
    <w:rsid w:val="41217695"/>
    <w:rsid w:val="41222AEF"/>
    <w:rsid w:val="4125037C"/>
    <w:rsid w:val="41472380"/>
    <w:rsid w:val="41495E5F"/>
    <w:rsid w:val="415354D1"/>
    <w:rsid w:val="415E238E"/>
    <w:rsid w:val="415F132D"/>
    <w:rsid w:val="417D7319"/>
    <w:rsid w:val="418F2040"/>
    <w:rsid w:val="41907C62"/>
    <w:rsid w:val="41914258"/>
    <w:rsid w:val="41930D1A"/>
    <w:rsid w:val="419659A8"/>
    <w:rsid w:val="419F3290"/>
    <w:rsid w:val="41AC23A7"/>
    <w:rsid w:val="41AC50F2"/>
    <w:rsid w:val="41B407D4"/>
    <w:rsid w:val="41EA5032"/>
    <w:rsid w:val="41FC0930"/>
    <w:rsid w:val="4224788C"/>
    <w:rsid w:val="424C1040"/>
    <w:rsid w:val="42633015"/>
    <w:rsid w:val="426D7AAD"/>
    <w:rsid w:val="428340F1"/>
    <w:rsid w:val="428B3283"/>
    <w:rsid w:val="42B235C1"/>
    <w:rsid w:val="42B2702B"/>
    <w:rsid w:val="42C91608"/>
    <w:rsid w:val="42E16C65"/>
    <w:rsid w:val="42EB1C44"/>
    <w:rsid w:val="42F06ADE"/>
    <w:rsid w:val="431260BD"/>
    <w:rsid w:val="431542ED"/>
    <w:rsid w:val="43164A43"/>
    <w:rsid w:val="433F5A39"/>
    <w:rsid w:val="434315B8"/>
    <w:rsid w:val="43494EF6"/>
    <w:rsid w:val="434A0065"/>
    <w:rsid w:val="43513D34"/>
    <w:rsid w:val="439C20E3"/>
    <w:rsid w:val="43BC486B"/>
    <w:rsid w:val="43CD546A"/>
    <w:rsid w:val="43D668DB"/>
    <w:rsid w:val="43D94BB8"/>
    <w:rsid w:val="440C0A16"/>
    <w:rsid w:val="441D082F"/>
    <w:rsid w:val="44203E0F"/>
    <w:rsid w:val="44366F2B"/>
    <w:rsid w:val="444C2577"/>
    <w:rsid w:val="444F301C"/>
    <w:rsid w:val="44547298"/>
    <w:rsid w:val="44565C8E"/>
    <w:rsid w:val="445B63FE"/>
    <w:rsid w:val="446B3DCC"/>
    <w:rsid w:val="44871F8A"/>
    <w:rsid w:val="44A50E49"/>
    <w:rsid w:val="44D24AA0"/>
    <w:rsid w:val="44EB1D8C"/>
    <w:rsid w:val="44F1566E"/>
    <w:rsid w:val="44F514B9"/>
    <w:rsid w:val="45004359"/>
    <w:rsid w:val="450771EF"/>
    <w:rsid w:val="456564B5"/>
    <w:rsid w:val="457A5EF9"/>
    <w:rsid w:val="45857D69"/>
    <w:rsid w:val="45A07A7C"/>
    <w:rsid w:val="45A72138"/>
    <w:rsid w:val="45A96964"/>
    <w:rsid w:val="45B1236E"/>
    <w:rsid w:val="45BA1E5C"/>
    <w:rsid w:val="45BE62AB"/>
    <w:rsid w:val="45CF348D"/>
    <w:rsid w:val="460133E9"/>
    <w:rsid w:val="460D47A5"/>
    <w:rsid w:val="46120C85"/>
    <w:rsid w:val="46162057"/>
    <w:rsid w:val="46185B74"/>
    <w:rsid w:val="46216337"/>
    <w:rsid w:val="46274C08"/>
    <w:rsid w:val="46347F8E"/>
    <w:rsid w:val="463F6118"/>
    <w:rsid w:val="46433B6F"/>
    <w:rsid w:val="46443112"/>
    <w:rsid w:val="46682FAF"/>
    <w:rsid w:val="466C454D"/>
    <w:rsid w:val="46744C93"/>
    <w:rsid w:val="468C73DC"/>
    <w:rsid w:val="469F4D11"/>
    <w:rsid w:val="46A34031"/>
    <w:rsid w:val="46AD5C3C"/>
    <w:rsid w:val="46B26DDF"/>
    <w:rsid w:val="46BF3842"/>
    <w:rsid w:val="46DF448E"/>
    <w:rsid w:val="46E51508"/>
    <w:rsid w:val="46F31815"/>
    <w:rsid w:val="46F4409F"/>
    <w:rsid w:val="46FD1D53"/>
    <w:rsid w:val="471B55E6"/>
    <w:rsid w:val="47251654"/>
    <w:rsid w:val="47625BB2"/>
    <w:rsid w:val="477B3309"/>
    <w:rsid w:val="477F1A13"/>
    <w:rsid w:val="47851F39"/>
    <w:rsid w:val="4787031C"/>
    <w:rsid w:val="4797639E"/>
    <w:rsid w:val="479957DE"/>
    <w:rsid w:val="479E63DA"/>
    <w:rsid w:val="47AE05AA"/>
    <w:rsid w:val="47C17A67"/>
    <w:rsid w:val="47C94621"/>
    <w:rsid w:val="47DA6D05"/>
    <w:rsid w:val="47EA7B5F"/>
    <w:rsid w:val="47EF4992"/>
    <w:rsid w:val="47FF43FC"/>
    <w:rsid w:val="481B2F2D"/>
    <w:rsid w:val="48424EB2"/>
    <w:rsid w:val="485E035D"/>
    <w:rsid w:val="48696CAD"/>
    <w:rsid w:val="48723746"/>
    <w:rsid w:val="48747902"/>
    <w:rsid w:val="48752CC8"/>
    <w:rsid w:val="48772623"/>
    <w:rsid w:val="488C3D84"/>
    <w:rsid w:val="48C76FF8"/>
    <w:rsid w:val="48DA74C7"/>
    <w:rsid w:val="48EA102A"/>
    <w:rsid w:val="48EF034D"/>
    <w:rsid w:val="4903609A"/>
    <w:rsid w:val="493422EA"/>
    <w:rsid w:val="49375BF6"/>
    <w:rsid w:val="497702DA"/>
    <w:rsid w:val="497B5296"/>
    <w:rsid w:val="49904267"/>
    <w:rsid w:val="49957E5C"/>
    <w:rsid w:val="499D09B0"/>
    <w:rsid w:val="49A83E14"/>
    <w:rsid w:val="49AF6973"/>
    <w:rsid w:val="49E00F83"/>
    <w:rsid w:val="49E4625C"/>
    <w:rsid w:val="4A0D0944"/>
    <w:rsid w:val="4A34018E"/>
    <w:rsid w:val="4A49293F"/>
    <w:rsid w:val="4A4F5C51"/>
    <w:rsid w:val="4A500C79"/>
    <w:rsid w:val="4A68765F"/>
    <w:rsid w:val="4A7F608A"/>
    <w:rsid w:val="4A8225F4"/>
    <w:rsid w:val="4AB6279A"/>
    <w:rsid w:val="4AD8448B"/>
    <w:rsid w:val="4AE15FB4"/>
    <w:rsid w:val="4AF14422"/>
    <w:rsid w:val="4AF7197E"/>
    <w:rsid w:val="4B0F063B"/>
    <w:rsid w:val="4B12384D"/>
    <w:rsid w:val="4B1367B9"/>
    <w:rsid w:val="4B1B3D46"/>
    <w:rsid w:val="4B2F6B91"/>
    <w:rsid w:val="4B713524"/>
    <w:rsid w:val="4B7B1C5A"/>
    <w:rsid w:val="4B855455"/>
    <w:rsid w:val="4B9A2643"/>
    <w:rsid w:val="4BA22401"/>
    <w:rsid w:val="4BB27468"/>
    <w:rsid w:val="4BBA3C11"/>
    <w:rsid w:val="4BBF56BF"/>
    <w:rsid w:val="4BC05D9B"/>
    <w:rsid w:val="4BC23EAE"/>
    <w:rsid w:val="4BD06FD6"/>
    <w:rsid w:val="4BDE3F50"/>
    <w:rsid w:val="4BE60E22"/>
    <w:rsid w:val="4BF1750D"/>
    <w:rsid w:val="4C166B59"/>
    <w:rsid w:val="4C2E5F34"/>
    <w:rsid w:val="4C39659B"/>
    <w:rsid w:val="4C4D5604"/>
    <w:rsid w:val="4C58104F"/>
    <w:rsid w:val="4C626096"/>
    <w:rsid w:val="4C632C63"/>
    <w:rsid w:val="4C8663D7"/>
    <w:rsid w:val="4C880639"/>
    <w:rsid w:val="4C967FA7"/>
    <w:rsid w:val="4C9A533B"/>
    <w:rsid w:val="4CAE16A0"/>
    <w:rsid w:val="4CB65819"/>
    <w:rsid w:val="4CCB3956"/>
    <w:rsid w:val="4CCD08FB"/>
    <w:rsid w:val="4CD174D7"/>
    <w:rsid w:val="4CD35610"/>
    <w:rsid w:val="4CD64FA3"/>
    <w:rsid w:val="4CF51268"/>
    <w:rsid w:val="4CFA5820"/>
    <w:rsid w:val="4D261811"/>
    <w:rsid w:val="4D2A61CB"/>
    <w:rsid w:val="4D2F15C4"/>
    <w:rsid w:val="4D3E4B82"/>
    <w:rsid w:val="4D3E4CAB"/>
    <w:rsid w:val="4D643AAE"/>
    <w:rsid w:val="4D643DA5"/>
    <w:rsid w:val="4D66461C"/>
    <w:rsid w:val="4D9D4D14"/>
    <w:rsid w:val="4DFA25B1"/>
    <w:rsid w:val="4E1D742B"/>
    <w:rsid w:val="4E3A0125"/>
    <w:rsid w:val="4E49359F"/>
    <w:rsid w:val="4E4A05ED"/>
    <w:rsid w:val="4E9B34C9"/>
    <w:rsid w:val="4E9C4752"/>
    <w:rsid w:val="4EA0597F"/>
    <w:rsid w:val="4EA401A1"/>
    <w:rsid w:val="4EB73A02"/>
    <w:rsid w:val="4EC004B7"/>
    <w:rsid w:val="4ED65A3A"/>
    <w:rsid w:val="4ED85C94"/>
    <w:rsid w:val="4F0C7CF7"/>
    <w:rsid w:val="4F0E3064"/>
    <w:rsid w:val="4F0F3ED3"/>
    <w:rsid w:val="4F32611D"/>
    <w:rsid w:val="4F4E01B3"/>
    <w:rsid w:val="4F810427"/>
    <w:rsid w:val="4F966257"/>
    <w:rsid w:val="4FB52290"/>
    <w:rsid w:val="4FB758F2"/>
    <w:rsid w:val="4FCC1D4D"/>
    <w:rsid w:val="4FD43E44"/>
    <w:rsid w:val="4FED176A"/>
    <w:rsid w:val="4FF31C53"/>
    <w:rsid w:val="4FF921A2"/>
    <w:rsid w:val="50011C06"/>
    <w:rsid w:val="50050F20"/>
    <w:rsid w:val="500833C6"/>
    <w:rsid w:val="5014646B"/>
    <w:rsid w:val="501A7335"/>
    <w:rsid w:val="50237389"/>
    <w:rsid w:val="5024701E"/>
    <w:rsid w:val="5036031C"/>
    <w:rsid w:val="505C637E"/>
    <w:rsid w:val="505E63D8"/>
    <w:rsid w:val="507037CC"/>
    <w:rsid w:val="507C2B30"/>
    <w:rsid w:val="507F18C4"/>
    <w:rsid w:val="50990518"/>
    <w:rsid w:val="50B777E1"/>
    <w:rsid w:val="50E65A2D"/>
    <w:rsid w:val="50EC0CEE"/>
    <w:rsid w:val="50EE45CA"/>
    <w:rsid w:val="50FD6F29"/>
    <w:rsid w:val="510F7046"/>
    <w:rsid w:val="5112409D"/>
    <w:rsid w:val="511453A1"/>
    <w:rsid w:val="511C2C10"/>
    <w:rsid w:val="512344AA"/>
    <w:rsid w:val="51617920"/>
    <w:rsid w:val="51640797"/>
    <w:rsid w:val="5186431B"/>
    <w:rsid w:val="51986D9F"/>
    <w:rsid w:val="51B95546"/>
    <w:rsid w:val="521376F9"/>
    <w:rsid w:val="52281C2F"/>
    <w:rsid w:val="522D6505"/>
    <w:rsid w:val="523205D6"/>
    <w:rsid w:val="52413C16"/>
    <w:rsid w:val="5243753B"/>
    <w:rsid w:val="5244194E"/>
    <w:rsid w:val="5245158C"/>
    <w:rsid w:val="525A6C7D"/>
    <w:rsid w:val="52694994"/>
    <w:rsid w:val="528E19D1"/>
    <w:rsid w:val="52AA023A"/>
    <w:rsid w:val="52B67727"/>
    <w:rsid w:val="52CE28BC"/>
    <w:rsid w:val="52D11F6C"/>
    <w:rsid w:val="52E86FCB"/>
    <w:rsid w:val="52F456D2"/>
    <w:rsid w:val="53033C72"/>
    <w:rsid w:val="530B1DCC"/>
    <w:rsid w:val="530D53EB"/>
    <w:rsid w:val="535F1705"/>
    <w:rsid w:val="53690196"/>
    <w:rsid w:val="53840791"/>
    <w:rsid w:val="538E2EE8"/>
    <w:rsid w:val="538E7FD3"/>
    <w:rsid w:val="53A42E0A"/>
    <w:rsid w:val="53AA1FDC"/>
    <w:rsid w:val="53D72180"/>
    <w:rsid w:val="53E91B3E"/>
    <w:rsid w:val="5407387C"/>
    <w:rsid w:val="54113878"/>
    <w:rsid w:val="54372E53"/>
    <w:rsid w:val="54411EB4"/>
    <w:rsid w:val="54635661"/>
    <w:rsid w:val="54A74053"/>
    <w:rsid w:val="54AF7181"/>
    <w:rsid w:val="54B26B6B"/>
    <w:rsid w:val="54C61C25"/>
    <w:rsid w:val="54CA53C2"/>
    <w:rsid w:val="54CB246C"/>
    <w:rsid w:val="54CD3E02"/>
    <w:rsid w:val="54D200D4"/>
    <w:rsid w:val="54F11CBF"/>
    <w:rsid w:val="55104D51"/>
    <w:rsid w:val="552208E3"/>
    <w:rsid w:val="552619D7"/>
    <w:rsid w:val="55462A3D"/>
    <w:rsid w:val="554F3876"/>
    <w:rsid w:val="55615B36"/>
    <w:rsid w:val="557A4C99"/>
    <w:rsid w:val="557F2904"/>
    <w:rsid w:val="55A97869"/>
    <w:rsid w:val="55B20452"/>
    <w:rsid w:val="55B91FF5"/>
    <w:rsid w:val="55CC31D4"/>
    <w:rsid w:val="55E13750"/>
    <w:rsid w:val="55E9132B"/>
    <w:rsid w:val="55FE1201"/>
    <w:rsid w:val="560C43D2"/>
    <w:rsid w:val="56186637"/>
    <w:rsid w:val="561C7810"/>
    <w:rsid w:val="562B215A"/>
    <w:rsid w:val="562D0E76"/>
    <w:rsid w:val="562F3BF3"/>
    <w:rsid w:val="566B1F8E"/>
    <w:rsid w:val="56781690"/>
    <w:rsid w:val="56930229"/>
    <w:rsid w:val="569836D6"/>
    <w:rsid w:val="56A22DED"/>
    <w:rsid w:val="56BB016B"/>
    <w:rsid w:val="56CE4BFD"/>
    <w:rsid w:val="56D82184"/>
    <w:rsid w:val="56DF1F45"/>
    <w:rsid w:val="56E72F91"/>
    <w:rsid w:val="56F74190"/>
    <w:rsid w:val="57040EEB"/>
    <w:rsid w:val="571647C5"/>
    <w:rsid w:val="571D0320"/>
    <w:rsid w:val="57746489"/>
    <w:rsid w:val="577F481A"/>
    <w:rsid w:val="578111A0"/>
    <w:rsid w:val="579F151F"/>
    <w:rsid w:val="57AA1C33"/>
    <w:rsid w:val="57AA4CE5"/>
    <w:rsid w:val="57AB7D0B"/>
    <w:rsid w:val="57CE1608"/>
    <w:rsid w:val="57ED2758"/>
    <w:rsid w:val="58050F29"/>
    <w:rsid w:val="582628F7"/>
    <w:rsid w:val="58434D92"/>
    <w:rsid w:val="58622F88"/>
    <w:rsid w:val="5865099B"/>
    <w:rsid w:val="58780E10"/>
    <w:rsid w:val="5895761A"/>
    <w:rsid w:val="58A4787A"/>
    <w:rsid w:val="58AC0A95"/>
    <w:rsid w:val="58AF31F3"/>
    <w:rsid w:val="58B31658"/>
    <w:rsid w:val="58BB5C34"/>
    <w:rsid w:val="58C051D0"/>
    <w:rsid w:val="58D33D79"/>
    <w:rsid w:val="58EB2793"/>
    <w:rsid w:val="58F11142"/>
    <w:rsid w:val="58F874BB"/>
    <w:rsid w:val="59014C2E"/>
    <w:rsid w:val="591207B3"/>
    <w:rsid w:val="59135CD0"/>
    <w:rsid w:val="59160DEC"/>
    <w:rsid w:val="59192B20"/>
    <w:rsid w:val="59197977"/>
    <w:rsid w:val="591A55A7"/>
    <w:rsid w:val="591E56A4"/>
    <w:rsid w:val="59212569"/>
    <w:rsid w:val="593B0C8A"/>
    <w:rsid w:val="59475C44"/>
    <w:rsid w:val="59585A32"/>
    <w:rsid w:val="595F0C2D"/>
    <w:rsid w:val="597F201A"/>
    <w:rsid w:val="59943C05"/>
    <w:rsid w:val="59986F7A"/>
    <w:rsid w:val="599A1A25"/>
    <w:rsid w:val="59A03EDE"/>
    <w:rsid w:val="59A07AC0"/>
    <w:rsid w:val="59E61814"/>
    <w:rsid w:val="59E81625"/>
    <w:rsid w:val="5A266078"/>
    <w:rsid w:val="5A293E39"/>
    <w:rsid w:val="5A385532"/>
    <w:rsid w:val="5A4F4825"/>
    <w:rsid w:val="5A590379"/>
    <w:rsid w:val="5A63269F"/>
    <w:rsid w:val="5A661F13"/>
    <w:rsid w:val="5A6E5882"/>
    <w:rsid w:val="5A8B713C"/>
    <w:rsid w:val="5A9A3135"/>
    <w:rsid w:val="5A9D4D05"/>
    <w:rsid w:val="5AA339B1"/>
    <w:rsid w:val="5AD64ECD"/>
    <w:rsid w:val="5AF7219E"/>
    <w:rsid w:val="5B030D07"/>
    <w:rsid w:val="5B092BBB"/>
    <w:rsid w:val="5B3D5E56"/>
    <w:rsid w:val="5B3F2256"/>
    <w:rsid w:val="5B5252C7"/>
    <w:rsid w:val="5B5848CE"/>
    <w:rsid w:val="5B6D494B"/>
    <w:rsid w:val="5B7B496E"/>
    <w:rsid w:val="5B86667A"/>
    <w:rsid w:val="5B913D4A"/>
    <w:rsid w:val="5B937A18"/>
    <w:rsid w:val="5B9E3A7E"/>
    <w:rsid w:val="5BB70D72"/>
    <w:rsid w:val="5BB943D0"/>
    <w:rsid w:val="5BC16D25"/>
    <w:rsid w:val="5BCE0BBE"/>
    <w:rsid w:val="5BF84988"/>
    <w:rsid w:val="5C2B16E2"/>
    <w:rsid w:val="5C301B0D"/>
    <w:rsid w:val="5C440275"/>
    <w:rsid w:val="5C745B1B"/>
    <w:rsid w:val="5CC1261E"/>
    <w:rsid w:val="5CDF6B87"/>
    <w:rsid w:val="5CE67DEB"/>
    <w:rsid w:val="5CEA5E21"/>
    <w:rsid w:val="5D00424E"/>
    <w:rsid w:val="5D082CA8"/>
    <w:rsid w:val="5D15168E"/>
    <w:rsid w:val="5D180872"/>
    <w:rsid w:val="5D3B1D9D"/>
    <w:rsid w:val="5D4445EC"/>
    <w:rsid w:val="5D525074"/>
    <w:rsid w:val="5D55084D"/>
    <w:rsid w:val="5D6767C6"/>
    <w:rsid w:val="5D693750"/>
    <w:rsid w:val="5DA84284"/>
    <w:rsid w:val="5DB004C1"/>
    <w:rsid w:val="5DB83271"/>
    <w:rsid w:val="5DB96925"/>
    <w:rsid w:val="5DED7038"/>
    <w:rsid w:val="5DEE0EB9"/>
    <w:rsid w:val="5E0660C6"/>
    <w:rsid w:val="5E095650"/>
    <w:rsid w:val="5E236F88"/>
    <w:rsid w:val="5E2D275A"/>
    <w:rsid w:val="5E5011F1"/>
    <w:rsid w:val="5E5B1502"/>
    <w:rsid w:val="5E695F12"/>
    <w:rsid w:val="5E6A4DE2"/>
    <w:rsid w:val="5E6A7CED"/>
    <w:rsid w:val="5E742035"/>
    <w:rsid w:val="5E77529C"/>
    <w:rsid w:val="5E7B041E"/>
    <w:rsid w:val="5E7E36E2"/>
    <w:rsid w:val="5E82401C"/>
    <w:rsid w:val="5E871DB4"/>
    <w:rsid w:val="5E8A398A"/>
    <w:rsid w:val="5E8F5718"/>
    <w:rsid w:val="5E906ED0"/>
    <w:rsid w:val="5EA47C3A"/>
    <w:rsid w:val="5EB91A43"/>
    <w:rsid w:val="5EBE11D5"/>
    <w:rsid w:val="5EC06B0A"/>
    <w:rsid w:val="5ED432A4"/>
    <w:rsid w:val="5ED87604"/>
    <w:rsid w:val="5EEE3070"/>
    <w:rsid w:val="5F0F3CA2"/>
    <w:rsid w:val="5F2723A4"/>
    <w:rsid w:val="5F452AF3"/>
    <w:rsid w:val="5F476C8D"/>
    <w:rsid w:val="5F597CB5"/>
    <w:rsid w:val="5F614BE5"/>
    <w:rsid w:val="5F841BF9"/>
    <w:rsid w:val="5FA57823"/>
    <w:rsid w:val="5FB713A2"/>
    <w:rsid w:val="5FC03972"/>
    <w:rsid w:val="5FC70A32"/>
    <w:rsid w:val="5FD35251"/>
    <w:rsid w:val="5FE523B4"/>
    <w:rsid w:val="5FE94798"/>
    <w:rsid w:val="5FF45B68"/>
    <w:rsid w:val="601E63C8"/>
    <w:rsid w:val="60276841"/>
    <w:rsid w:val="603A11F0"/>
    <w:rsid w:val="603E5A45"/>
    <w:rsid w:val="60456C21"/>
    <w:rsid w:val="60684388"/>
    <w:rsid w:val="606F0754"/>
    <w:rsid w:val="606F1FC1"/>
    <w:rsid w:val="607E3555"/>
    <w:rsid w:val="608E44B7"/>
    <w:rsid w:val="609F0817"/>
    <w:rsid w:val="60A719A3"/>
    <w:rsid w:val="60AD04D0"/>
    <w:rsid w:val="60BC4BD3"/>
    <w:rsid w:val="60BE192C"/>
    <w:rsid w:val="60D05C4E"/>
    <w:rsid w:val="60D42EF4"/>
    <w:rsid w:val="60D6069A"/>
    <w:rsid w:val="60DD4F76"/>
    <w:rsid w:val="60E01D5A"/>
    <w:rsid w:val="60EB1859"/>
    <w:rsid w:val="60F749AA"/>
    <w:rsid w:val="60F7639D"/>
    <w:rsid w:val="60FE4448"/>
    <w:rsid w:val="61005EB0"/>
    <w:rsid w:val="61073BA1"/>
    <w:rsid w:val="61074905"/>
    <w:rsid w:val="611F397F"/>
    <w:rsid w:val="61245D3A"/>
    <w:rsid w:val="612B681D"/>
    <w:rsid w:val="614134D2"/>
    <w:rsid w:val="615B2B13"/>
    <w:rsid w:val="61700EFA"/>
    <w:rsid w:val="6174318C"/>
    <w:rsid w:val="617C3FB0"/>
    <w:rsid w:val="618A2AE1"/>
    <w:rsid w:val="618C4F52"/>
    <w:rsid w:val="61AE3BD1"/>
    <w:rsid w:val="61C603DC"/>
    <w:rsid w:val="61CA7D58"/>
    <w:rsid w:val="61D84114"/>
    <w:rsid w:val="61EB4661"/>
    <w:rsid w:val="62334F52"/>
    <w:rsid w:val="62446C80"/>
    <w:rsid w:val="624A5567"/>
    <w:rsid w:val="62883972"/>
    <w:rsid w:val="62A91509"/>
    <w:rsid w:val="62B94580"/>
    <w:rsid w:val="62E266F6"/>
    <w:rsid w:val="62E57C5A"/>
    <w:rsid w:val="62FB188C"/>
    <w:rsid w:val="63062796"/>
    <w:rsid w:val="630C0C08"/>
    <w:rsid w:val="631665E6"/>
    <w:rsid w:val="632905BE"/>
    <w:rsid w:val="63340102"/>
    <w:rsid w:val="634C6D64"/>
    <w:rsid w:val="635778CE"/>
    <w:rsid w:val="636546C4"/>
    <w:rsid w:val="63741BF9"/>
    <w:rsid w:val="63754CCA"/>
    <w:rsid w:val="638A734F"/>
    <w:rsid w:val="639179A2"/>
    <w:rsid w:val="639C71A5"/>
    <w:rsid w:val="63C27357"/>
    <w:rsid w:val="63CE4BE9"/>
    <w:rsid w:val="63D22032"/>
    <w:rsid w:val="63D6116A"/>
    <w:rsid w:val="63E07F9B"/>
    <w:rsid w:val="63E86A03"/>
    <w:rsid w:val="63F42678"/>
    <w:rsid w:val="63F54659"/>
    <w:rsid w:val="63F947C1"/>
    <w:rsid w:val="64057BEC"/>
    <w:rsid w:val="640C18FE"/>
    <w:rsid w:val="64163688"/>
    <w:rsid w:val="64357CD7"/>
    <w:rsid w:val="64374EF8"/>
    <w:rsid w:val="64474AEE"/>
    <w:rsid w:val="64527253"/>
    <w:rsid w:val="64601085"/>
    <w:rsid w:val="646329F7"/>
    <w:rsid w:val="64636AD3"/>
    <w:rsid w:val="64642EBF"/>
    <w:rsid w:val="64687BF8"/>
    <w:rsid w:val="648E2C7C"/>
    <w:rsid w:val="649429C1"/>
    <w:rsid w:val="64A30A66"/>
    <w:rsid w:val="64B94393"/>
    <w:rsid w:val="64B96D49"/>
    <w:rsid w:val="64BC3FC5"/>
    <w:rsid w:val="64BD7BE4"/>
    <w:rsid w:val="64D3455A"/>
    <w:rsid w:val="64E500E3"/>
    <w:rsid w:val="64E751BB"/>
    <w:rsid w:val="650B05E6"/>
    <w:rsid w:val="65225348"/>
    <w:rsid w:val="652C1B75"/>
    <w:rsid w:val="652D2CC2"/>
    <w:rsid w:val="65332215"/>
    <w:rsid w:val="65411BD5"/>
    <w:rsid w:val="654366C6"/>
    <w:rsid w:val="656960F3"/>
    <w:rsid w:val="65707E5D"/>
    <w:rsid w:val="65807D8D"/>
    <w:rsid w:val="65851C45"/>
    <w:rsid w:val="658713A2"/>
    <w:rsid w:val="658D290D"/>
    <w:rsid w:val="65A312C8"/>
    <w:rsid w:val="65BC23A4"/>
    <w:rsid w:val="65C81BBA"/>
    <w:rsid w:val="65D142EB"/>
    <w:rsid w:val="65D624EA"/>
    <w:rsid w:val="65ED2582"/>
    <w:rsid w:val="65FC0B92"/>
    <w:rsid w:val="66103C92"/>
    <w:rsid w:val="6621494F"/>
    <w:rsid w:val="662226BE"/>
    <w:rsid w:val="664107D0"/>
    <w:rsid w:val="665738F6"/>
    <w:rsid w:val="66782E16"/>
    <w:rsid w:val="668429AB"/>
    <w:rsid w:val="66882E9B"/>
    <w:rsid w:val="66AC6DC1"/>
    <w:rsid w:val="66B33504"/>
    <w:rsid w:val="66B44865"/>
    <w:rsid w:val="66B83C92"/>
    <w:rsid w:val="66E0375F"/>
    <w:rsid w:val="66EB1F1E"/>
    <w:rsid w:val="66F20CAA"/>
    <w:rsid w:val="66FD0D69"/>
    <w:rsid w:val="67040B74"/>
    <w:rsid w:val="67131B7D"/>
    <w:rsid w:val="67133A19"/>
    <w:rsid w:val="673C004F"/>
    <w:rsid w:val="673C08CB"/>
    <w:rsid w:val="67520B66"/>
    <w:rsid w:val="67576376"/>
    <w:rsid w:val="676174A8"/>
    <w:rsid w:val="6776651F"/>
    <w:rsid w:val="67862545"/>
    <w:rsid w:val="67B0451E"/>
    <w:rsid w:val="67F72431"/>
    <w:rsid w:val="67FB726E"/>
    <w:rsid w:val="680E6333"/>
    <w:rsid w:val="68190577"/>
    <w:rsid w:val="681C4C4B"/>
    <w:rsid w:val="682A4360"/>
    <w:rsid w:val="683048BC"/>
    <w:rsid w:val="683D7490"/>
    <w:rsid w:val="68790FAE"/>
    <w:rsid w:val="687F68C4"/>
    <w:rsid w:val="688B085B"/>
    <w:rsid w:val="688C3295"/>
    <w:rsid w:val="689175CE"/>
    <w:rsid w:val="689E7138"/>
    <w:rsid w:val="68A560D7"/>
    <w:rsid w:val="68AB7C29"/>
    <w:rsid w:val="68AC67AA"/>
    <w:rsid w:val="68AE118D"/>
    <w:rsid w:val="68B27DFC"/>
    <w:rsid w:val="68CA206B"/>
    <w:rsid w:val="68D404A2"/>
    <w:rsid w:val="68EB6311"/>
    <w:rsid w:val="68F203FD"/>
    <w:rsid w:val="691702F9"/>
    <w:rsid w:val="69206469"/>
    <w:rsid w:val="693D5000"/>
    <w:rsid w:val="696516D2"/>
    <w:rsid w:val="696A42AA"/>
    <w:rsid w:val="696C7B34"/>
    <w:rsid w:val="699053D3"/>
    <w:rsid w:val="69944454"/>
    <w:rsid w:val="69AE0A96"/>
    <w:rsid w:val="69B25A3A"/>
    <w:rsid w:val="69B82AF8"/>
    <w:rsid w:val="69C00A49"/>
    <w:rsid w:val="69C61DD4"/>
    <w:rsid w:val="69C72C35"/>
    <w:rsid w:val="69D125E1"/>
    <w:rsid w:val="69D21512"/>
    <w:rsid w:val="69D4610A"/>
    <w:rsid w:val="69E67502"/>
    <w:rsid w:val="6A0A3C46"/>
    <w:rsid w:val="6A2C45C5"/>
    <w:rsid w:val="6A337BF3"/>
    <w:rsid w:val="6A460807"/>
    <w:rsid w:val="6A562D89"/>
    <w:rsid w:val="6A5973AD"/>
    <w:rsid w:val="6AB634A4"/>
    <w:rsid w:val="6AF146AC"/>
    <w:rsid w:val="6AF24CE7"/>
    <w:rsid w:val="6B065E03"/>
    <w:rsid w:val="6B0F5701"/>
    <w:rsid w:val="6B115A56"/>
    <w:rsid w:val="6B342E6D"/>
    <w:rsid w:val="6B4627C0"/>
    <w:rsid w:val="6B5716CC"/>
    <w:rsid w:val="6B633799"/>
    <w:rsid w:val="6B64121C"/>
    <w:rsid w:val="6B647C2F"/>
    <w:rsid w:val="6B770D5D"/>
    <w:rsid w:val="6B773232"/>
    <w:rsid w:val="6B7E743A"/>
    <w:rsid w:val="6B80102A"/>
    <w:rsid w:val="6B873E81"/>
    <w:rsid w:val="6B9B7315"/>
    <w:rsid w:val="6BC623F9"/>
    <w:rsid w:val="6BCA3551"/>
    <w:rsid w:val="6BD4041C"/>
    <w:rsid w:val="6BDA4D0B"/>
    <w:rsid w:val="6BEC5E51"/>
    <w:rsid w:val="6C111553"/>
    <w:rsid w:val="6C1425D1"/>
    <w:rsid w:val="6C1C442B"/>
    <w:rsid w:val="6C2B23BB"/>
    <w:rsid w:val="6C4046ED"/>
    <w:rsid w:val="6C4100DF"/>
    <w:rsid w:val="6C4F65AD"/>
    <w:rsid w:val="6C701F58"/>
    <w:rsid w:val="6C796D14"/>
    <w:rsid w:val="6C8E25EB"/>
    <w:rsid w:val="6C9E192F"/>
    <w:rsid w:val="6CA32051"/>
    <w:rsid w:val="6CA6347D"/>
    <w:rsid w:val="6CAA49E7"/>
    <w:rsid w:val="6CAC714F"/>
    <w:rsid w:val="6CAF7517"/>
    <w:rsid w:val="6CBE7235"/>
    <w:rsid w:val="6CCD3441"/>
    <w:rsid w:val="6CF473C1"/>
    <w:rsid w:val="6D095C70"/>
    <w:rsid w:val="6D0D2DA3"/>
    <w:rsid w:val="6D195FAB"/>
    <w:rsid w:val="6D3E1E91"/>
    <w:rsid w:val="6D4C3405"/>
    <w:rsid w:val="6D605E36"/>
    <w:rsid w:val="6D6A5877"/>
    <w:rsid w:val="6D6B0293"/>
    <w:rsid w:val="6D71797C"/>
    <w:rsid w:val="6D8613FD"/>
    <w:rsid w:val="6D8E2973"/>
    <w:rsid w:val="6D8F53CA"/>
    <w:rsid w:val="6D9D5E35"/>
    <w:rsid w:val="6DA1296C"/>
    <w:rsid w:val="6DA749FD"/>
    <w:rsid w:val="6DAC652F"/>
    <w:rsid w:val="6DB27660"/>
    <w:rsid w:val="6DBA0C23"/>
    <w:rsid w:val="6DCC02D6"/>
    <w:rsid w:val="6DD91726"/>
    <w:rsid w:val="6DE63451"/>
    <w:rsid w:val="6DF06347"/>
    <w:rsid w:val="6DFE1D39"/>
    <w:rsid w:val="6E054F8E"/>
    <w:rsid w:val="6E2A25B6"/>
    <w:rsid w:val="6E2C5640"/>
    <w:rsid w:val="6E3157FE"/>
    <w:rsid w:val="6E3439A7"/>
    <w:rsid w:val="6E4C1202"/>
    <w:rsid w:val="6E4D7CAA"/>
    <w:rsid w:val="6E4F0A82"/>
    <w:rsid w:val="6E614F20"/>
    <w:rsid w:val="6E8A325F"/>
    <w:rsid w:val="6E9323E7"/>
    <w:rsid w:val="6E9403B3"/>
    <w:rsid w:val="6EB91009"/>
    <w:rsid w:val="6EC17941"/>
    <w:rsid w:val="6ED05AF2"/>
    <w:rsid w:val="6ED90EB8"/>
    <w:rsid w:val="6ED96BE5"/>
    <w:rsid w:val="6EE00B16"/>
    <w:rsid w:val="6EED7B5E"/>
    <w:rsid w:val="6F0110FF"/>
    <w:rsid w:val="6F092705"/>
    <w:rsid w:val="6F0F7908"/>
    <w:rsid w:val="6F133456"/>
    <w:rsid w:val="6F201E2F"/>
    <w:rsid w:val="6F2C48BA"/>
    <w:rsid w:val="6F542FC2"/>
    <w:rsid w:val="6F6E6421"/>
    <w:rsid w:val="6F8257FF"/>
    <w:rsid w:val="6F835138"/>
    <w:rsid w:val="6FA3523A"/>
    <w:rsid w:val="6FBB1A76"/>
    <w:rsid w:val="6FE37A15"/>
    <w:rsid w:val="6FEF78BA"/>
    <w:rsid w:val="700A3BDB"/>
    <w:rsid w:val="700C47ED"/>
    <w:rsid w:val="70213A33"/>
    <w:rsid w:val="702E6D96"/>
    <w:rsid w:val="703A7312"/>
    <w:rsid w:val="703C426A"/>
    <w:rsid w:val="704E56CD"/>
    <w:rsid w:val="70586D4C"/>
    <w:rsid w:val="70602093"/>
    <w:rsid w:val="70736794"/>
    <w:rsid w:val="7090349D"/>
    <w:rsid w:val="70924268"/>
    <w:rsid w:val="70984BC8"/>
    <w:rsid w:val="70B60FE6"/>
    <w:rsid w:val="70CA5D4E"/>
    <w:rsid w:val="70D56C2A"/>
    <w:rsid w:val="70DA4F31"/>
    <w:rsid w:val="70F76CAF"/>
    <w:rsid w:val="712676F2"/>
    <w:rsid w:val="713B3BF3"/>
    <w:rsid w:val="713C31D9"/>
    <w:rsid w:val="713E266D"/>
    <w:rsid w:val="714942AA"/>
    <w:rsid w:val="71512087"/>
    <w:rsid w:val="71542C73"/>
    <w:rsid w:val="71550A68"/>
    <w:rsid w:val="716303CF"/>
    <w:rsid w:val="716564C4"/>
    <w:rsid w:val="717A3AD5"/>
    <w:rsid w:val="717D3F41"/>
    <w:rsid w:val="7187112E"/>
    <w:rsid w:val="7188326A"/>
    <w:rsid w:val="718D3F98"/>
    <w:rsid w:val="719247E4"/>
    <w:rsid w:val="719E2AA8"/>
    <w:rsid w:val="71B620B3"/>
    <w:rsid w:val="71CD41B3"/>
    <w:rsid w:val="71E209E0"/>
    <w:rsid w:val="72014FE5"/>
    <w:rsid w:val="720D1F5A"/>
    <w:rsid w:val="721C2B4F"/>
    <w:rsid w:val="721E6F1B"/>
    <w:rsid w:val="72207884"/>
    <w:rsid w:val="72242572"/>
    <w:rsid w:val="723257FB"/>
    <w:rsid w:val="725B461B"/>
    <w:rsid w:val="72682BFD"/>
    <w:rsid w:val="726D3A84"/>
    <w:rsid w:val="72AE56B8"/>
    <w:rsid w:val="72E70371"/>
    <w:rsid w:val="72EC6871"/>
    <w:rsid w:val="72F90EAF"/>
    <w:rsid w:val="72FB1895"/>
    <w:rsid w:val="72FF231D"/>
    <w:rsid w:val="73150997"/>
    <w:rsid w:val="7316547C"/>
    <w:rsid w:val="73276E31"/>
    <w:rsid w:val="73356F0E"/>
    <w:rsid w:val="73363F9E"/>
    <w:rsid w:val="735A056A"/>
    <w:rsid w:val="73651863"/>
    <w:rsid w:val="736F1B58"/>
    <w:rsid w:val="73757817"/>
    <w:rsid w:val="73BC3944"/>
    <w:rsid w:val="73C86109"/>
    <w:rsid w:val="73D26CB2"/>
    <w:rsid w:val="73D86360"/>
    <w:rsid w:val="73DD77BE"/>
    <w:rsid w:val="73F443C3"/>
    <w:rsid w:val="74024C8F"/>
    <w:rsid w:val="74426413"/>
    <w:rsid w:val="74451D35"/>
    <w:rsid w:val="746234E8"/>
    <w:rsid w:val="74717FAD"/>
    <w:rsid w:val="747867A2"/>
    <w:rsid w:val="7479137C"/>
    <w:rsid w:val="74A959E9"/>
    <w:rsid w:val="74E157EF"/>
    <w:rsid w:val="75072079"/>
    <w:rsid w:val="750C1820"/>
    <w:rsid w:val="751B51E2"/>
    <w:rsid w:val="751D11F1"/>
    <w:rsid w:val="754755B0"/>
    <w:rsid w:val="754F723B"/>
    <w:rsid w:val="75750C36"/>
    <w:rsid w:val="759879A3"/>
    <w:rsid w:val="75A8505E"/>
    <w:rsid w:val="75AA6C6C"/>
    <w:rsid w:val="75B41312"/>
    <w:rsid w:val="75B52929"/>
    <w:rsid w:val="75BE30A7"/>
    <w:rsid w:val="75CF1A48"/>
    <w:rsid w:val="75E83D18"/>
    <w:rsid w:val="75EF5E81"/>
    <w:rsid w:val="75F86C8B"/>
    <w:rsid w:val="76072D30"/>
    <w:rsid w:val="76085D47"/>
    <w:rsid w:val="761E39C0"/>
    <w:rsid w:val="76222DAB"/>
    <w:rsid w:val="76420284"/>
    <w:rsid w:val="76426980"/>
    <w:rsid w:val="765005C7"/>
    <w:rsid w:val="765167CA"/>
    <w:rsid w:val="767633AA"/>
    <w:rsid w:val="76766F2E"/>
    <w:rsid w:val="767C66D2"/>
    <w:rsid w:val="768919E5"/>
    <w:rsid w:val="768B0C69"/>
    <w:rsid w:val="7690575B"/>
    <w:rsid w:val="769B01D8"/>
    <w:rsid w:val="76A4241F"/>
    <w:rsid w:val="76A86FB9"/>
    <w:rsid w:val="76C53BB5"/>
    <w:rsid w:val="76C56DBC"/>
    <w:rsid w:val="76D6052A"/>
    <w:rsid w:val="76EA5A29"/>
    <w:rsid w:val="77124528"/>
    <w:rsid w:val="77361223"/>
    <w:rsid w:val="775A361F"/>
    <w:rsid w:val="779D5AC2"/>
    <w:rsid w:val="77A03D41"/>
    <w:rsid w:val="77DF1034"/>
    <w:rsid w:val="77F20FC8"/>
    <w:rsid w:val="780A68B1"/>
    <w:rsid w:val="78225AC0"/>
    <w:rsid w:val="784A6D2E"/>
    <w:rsid w:val="784C3424"/>
    <w:rsid w:val="784F0D6C"/>
    <w:rsid w:val="78746ADB"/>
    <w:rsid w:val="78926EA9"/>
    <w:rsid w:val="78A422B0"/>
    <w:rsid w:val="78AD2707"/>
    <w:rsid w:val="78BD6AB7"/>
    <w:rsid w:val="78CA1C71"/>
    <w:rsid w:val="78CE1DF2"/>
    <w:rsid w:val="78CF11AC"/>
    <w:rsid w:val="78E832A7"/>
    <w:rsid w:val="78F256F2"/>
    <w:rsid w:val="790A0441"/>
    <w:rsid w:val="791C42B7"/>
    <w:rsid w:val="79303D9E"/>
    <w:rsid w:val="795D0587"/>
    <w:rsid w:val="79835B9A"/>
    <w:rsid w:val="799742AF"/>
    <w:rsid w:val="79986666"/>
    <w:rsid w:val="799B6432"/>
    <w:rsid w:val="799E7555"/>
    <w:rsid w:val="79CD540C"/>
    <w:rsid w:val="79DC0EA9"/>
    <w:rsid w:val="79E41E1A"/>
    <w:rsid w:val="7A1B386A"/>
    <w:rsid w:val="7A1E0002"/>
    <w:rsid w:val="7A2A0F00"/>
    <w:rsid w:val="7A2A7747"/>
    <w:rsid w:val="7A316B40"/>
    <w:rsid w:val="7A3C3923"/>
    <w:rsid w:val="7A4675B0"/>
    <w:rsid w:val="7A6F4903"/>
    <w:rsid w:val="7A6F776C"/>
    <w:rsid w:val="7A7B25E1"/>
    <w:rsid w:val="7A964E9F"/>
    <w:rsid w:val="7AA22FFA"/>
    <w:rsid w:val="7AA8137A"/>
    <w:rsid w:val="7ABD3582"/>
    <w:rsid w:val="7AD35AF8"/>
    <w:rsid w:val="7AD85A3A"/>
    <w:rsid w:val="7AE168D1"/>
    <w:rsid w:val="7AE3112C"/>
    <w:rsid w:val="7AF0015B"/>
    <w:rsid w:val="7AF5292D"/>
    <w:rsid w:val="7B063941"/>
    <w:rsid w:val="7B074467"/>
    <w:rsid w:val="7B116D74"/>
    <w:rsid w:val="7B271D12"/>
    <w:rsid w:val="7B284C07"/>
    <w:rsid w:val="7B2A1176"/>
    <w:rsid w:val="7B3C282E"/>
    <w:rsid w:val="7B5E3F9F"/>
    <w:rsid w:val="7B68000C"/>
    <w:rsid w:val="7B6911CF"/>
    <w:rsid w:val="7B6C19BC"/>
    <w:rsid w:val="7B9056E4"/>
    <w:rsid w:val="7BBF3C16"/>
    <w:rsid w:val="7BCF4E92"/>
    <w:rsid w:val="7BDA1C07"/>
    <w:rsid w:val="7BE66AC3"/>
    <w:rsid w:val="7BF95883"/>
    <w:rsid w:val="7C201BB7"/>
    <w:rsid w:val="7C4C46BE"/>
    <w:rsid w:val="7C5C5B2B"/>
    <w:rsid w:val="7C673048"/>
    <w:rsid w:val="7C926035"/>
    <w:rsid w:val="7C941DE2"/>
    <w:rsid w:val="7CA1128D"/>
    <w:rsid w:val="7CA665EE"/>
    <w:rsid w:val="7CBB7DD3"/>
    <w:rsid w:val="7CC06DBF"/>
    <w:rsid w:val="7CC62DE7"/>
    <w:rsid w:val="7CCB7ABB"/>
    <w:rsid w:val="7CF67993"/>
    <w:rsid w:val="7CFA342B"/>
    <w:rsid w:val="7D1943FF"/>
    <w:rsid w:val="7D1946A7"/>
    <w:rsid w:val="7D1C55E1"/>
    <w:rsid w:val="7D4940DA"/>
    <w:rsid w:val="7D5F66CB"/>
    <w:rsid w:val="7D623473"/>
    <w:rsid w:val="7D630B77"/>
    <w:rsid w:val="7D633FB4"/>
    <w:rsid w:val="7D661037"/>
    <w:rsid w:val="7D674EEF"/>
    <w:rsid w:val="7D715D15"/>
    <w:rsid w:val="7D8036DC"/>
    <w:rsid w:val="7D841A97"/>
    <w:rsid w:val="7D973CED"/>
    <w:rsid w:val="7DE91FA1"/>
    <w:rsid w:val="7E13063F"/>
    <w:rsid w:val="7E1620A0"/>
    <w:rsid w:val="7E1672EC"/>
    <w:rsid w:val="7E1B4A9A"/>
    <w:rsid w:val="7E236C24"/>
    <w:rsid w:val="7E332266"/>
    <w:rsid w:val="7E377990"/>
    <w:rsid w:val="7E3C32A3"/>
    <w:rsid w:val="7E5723A5"/>
    <w:rsid w:val="7E7E18A7"/>
    <w:rsid w:val="7E9376B2"/>
    <w:rsid w:val="7EA023D2"/>
    <w:rsid w:val="7EA11750"/>
    <w:rsid w:val="7EBD7FBB"/>
    <w:rsid w:val="7EF72A9A"/>
    <w:rsid w:val="7EFE1896"/>
    <w:rsid w:val="7F0D10FB"/>
    <w:rsid w:val="7F0D1D7E"/>
    <w:rsid w:val="7F0F1C74"/>
    <w:rsid w:val="7F397DA6"/>
    <w:rsid w:val="7F3F078E"/>
    <w:rsid w:val="7F4C4AA1"/>
    <w:rsid w:val="7F507707"/>
    <w:rsid w:val="7F507A8E"/>
    <w:rsid w:val="7F5369F5"/>
    <w:rsid w:val="7F661143"/>
    <w:rsid w:val="7F79005E"/>
    <w:rsid w:val="7FAB2A42"/>
    <w:rsid w:val="7FC67AED"/>
    <w:rsid w:val="7FD90E29"/>
    <w:rsid w:val="7FEB19C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iPriority="0" w:semiHidden="0" w:name="annotation text"/>
    <w:lsdException w:qFormat="1" w:uiPriority="99" w:semiHidden="0" w:name="header"/>
    <w:lsdException w:qFormat="1" w:uiPriority="0" w:semiHidden="0" w:name="footer"/>
    <w:lsdException w:uiPriority="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qFormat="1"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0" w:name="List 4"/>
    <w:lsdException w:uiPriority="0" w:name="List 5"/>
    <w:lsdException w:uiPriority="0" w:name="List Bullet 2"/>
    <w:lsdException w:qFormat="1" w:uiPriority="0" w:semiHidden="0" w:name="List Bullet 3"/>
    <w:lsdException w:qFormat="1" w:unhideWhenUsed="0" w:uiPriority="0" w:semiHidden="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qFormat="1" w:unhideWhenUsed="0" w:uiPriority="0" w:semiHidden="0" w:name="Closing"/>
    <w:lsdException w:uiPriority="0"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uiPriority="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qFormat="1" w:uiPriority="0" w:semiHidden="0" w:name="HTML Sample"/>
    <w:lsdException w:uiPriority="0" w:name="HTML Typewriter"/>
    <w:lsdException w:uiPriority="0" w:name="HTML Variable"/>
    <w:lsdException w:qFormat="1" w:uiPriority="99" w:semiHidden="0"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22"/>
    <w:qFormat/>
    <w:uiPriority w:val="0"/>
    <w:pPr>
      <w:keepNext/>
      <w:keepLines/>
      <w:widowControl/>
      <w:spacing w:before="340" w:after="330" w:line="576" w:lineRule="auto"/>
      <w:jc w:val="left"/>
      <w:outlineLvl w:val="0"/>
    </w:pPr>
    <w:rPr>
      <w:b/>
      <w:bCs/>
      <w:kern w:val="44"/>
      <w:sz w:val="44"/>
      <w:szCs w:val="44"/>
    </w:rPr>
  </w:style>
  <w:style w:type="paragraph" w:styleId="4">
    <w:name w:val="heading 2"/>
    <w:basedOn w:val="1"/>
    <w:next w:val="1"/>
    <w:link w:val="423"/>
    <w:qFormat/>
    <w:uiPriority w:val="0"/>
    <w:pPr>
      <w:keepNext/>
      <w:keepLines/>
      <w:spacing w:before="260" w:after="260" w:line="415" w:lineRule="auto"/>
      <w:outlineLvl w:val="1"/>
    </w:pPr>
    <w:rPr>
      <w:rFonts w:ascii="Arial" w:hAnsi="Arial" w:eastAsia="黑体"/>
      <w:b/>
      <w:bCs/>
      <w:kern w:val="0"/>
      <w:sz w:val="32"/>
      <w:szCs w:val="32"/>
    </w:rPr>
  </w:style>
  <w:style w:type="paragraph" w:styleId="5">
    <w:name w:val="heading 3"/>
    <w:basedOn w:val="1"/>
    <w:next w:val="1"/>
    <w:link w:val="424"/>
    <w:qFormat/>
    <w:uiPriority w:val="0"/>
    <w:pPr>
      <w:keepNext/>
      <w:keepLines/>
      <w:spacing w:before="260" w:after="260" w:line="415" w:lineRule="auto"/>
      <w:outlineLvl w:val="2"/>
    </w:pPr>
    <w:rPr>
      <w:b/>
      <w:bCs/>
      <w:kern w:val="0"/>
      <w:sz w:val="32"/>
      <w:szCs w:val="32"/>
    </w:rPr>
  </w:style>
  <w:style w:type="paragraph" w:styleId="6">
    <w:name w:val="heading 4"/>
    <w:basedOn w:val="1"/>
    <w:next w:val="1"/>
    <w:link w:val="425"/>
    <w:qFormat/>
    <w:uiPriority w:val="0"/>
    <w:pPr>
      <w:keepNext/>
      <w:keepLines/>
      <w:spacing w:before="280" w:after="290" w:line="374" w:lineRule="auto"/>
      <w:outlineLvl w:val="3"/>
    </w:pPr>
    <w:rPr>
      <w:rFonts w:ascii="Arial" w:hAnsi="Arial" w:eastAsia="黑体"/>
      <w:b/>
      <w:bCs/>
      <w:kern w:val="0"/>
      <w:sz w:val="28"/>
      <w:szCs w:val="28"/>
    </w:rPr>
  </w:style>
  <w:style w:type="paragraph" w:styleId="7">
    <w:name w:val="heading 5"/>
    <w:basedOn w:val="1"/>
    <w:next w:val="1"/>
    <w:link w:val="426"/>
    <w:qFormat/>
    <w:uiPriority w:val="0"/>
    <w:pPr>
      <w:keepNext/>
      <w:keepLines/>
      <w:spacing w:before="280" w:after="290" w:line="376" w:lineRule="auto"/>
      <w:outlineLvl w:val="4"/>
    </w:pPr>
    <w:rPr>
      <w:rFonts w:ascii="Calibri" w:hAnsi="Calibri"/>
      <w:b/>
      <w:bCs/>
      <w:sz w:val="28"/>
      <w:szCs w:val="28"/>
    </w:rPr>
  </w:style>
  <w:style w:type="paragraph" w:styleId="8">
    <w:name w:val="heading 6"/>
    <w:basedOn w:val="1"/>
    <w:next w:val="1"/>
    <w:link w:val="427"/>
    <w:qFormat/>
    <w:uiPriority w:val="0"/>
    <w:pPr>
      <w:keepNext/>
      <w:keepLines/>
      <w:widowControl/>
      <w:tabs>
        <w:tab w:val="left" w:pos="1320"/>
        <w:tab w:val="left" w:pos="1440"/>
        <w:tab w:val="left" w:pos="3480"/>
      </w:tabs>
      <w:spacing w:before="240" w:after="64" w:line="320" w:lineRule="auto"/>
      <w:ind w:left="3480" w:hanging="420"/>
      <w:jc w:val="left"/>
      <w:outlineLvl w:val="5"/>
    </w:pPr>
    <w:rPr>
      <w:rFonts w:ascii="Arial" w:hAnsi="Arial" w:eastAsia="黑体"/>
      <w:b/>
      <w:bCs/>
      <w:kern w:val="0"/>
      <w:sz w:val="24"/>
    </w:rPr>
  </w:style>
  <w:style w:type="paragraph" w:styleId="9">
    <w:name w:val="heading 7"/>
    <w:basedOn w:val="1"/>
    <w:next w:val="1"/>
    <w:link w:val="428"/>
    <w:qFormat/>
    <w:uiPriority w:val="0"/>
    <w:pPr>
      <w:keepNext/>
      <w:keepLines/>
      <w:widowControl/>
      <w:tabs>
        <w:tab w:val="left" w:pos="1320"/>
        <w:tab w:val="left" w:pos="2520"/>
        <w:tab w:val="left" w:pos="3900"/>
      </w:tabs>
      <w:spacing w:before="240" w:after="64" w:line="320" w:lineRule="auto"/>
      <w:ind w:left="3900" w:hanging="420"/>
      <w:jc w:val="left"/>
      <w:outlineLvl w:val="6"/>
    </w:pPr>
    <w:rPr>
      <w:b/>
      <w:bCs/>
      <w:kern w:val="0"/>
      <w:sz w:val="24"/>
    </w:rPr>
  </w:style>
  <w:style w:type="paragraph" w:styleId="10">
    <w:name w:val="heading 8"/>
    <w:basedOn w:val="1"/>
    <w:next w:val="1"/>
    <w:link w:val="429"/>
    <w:qFormat/>
    <w:uiPriority w:val="0"/>
    <w:pPr>
      <w:keepNext/>
      <w:keepLines/>
      <w:widowControl/>
      <w:tabs>
        <w:tab w:val="left" w:pos="1320"/>
        <w:tab w:val="left" w:pos="1440"/>
        <w:tab w:val="left" w:pos="4320"/>
      </w:tabs>
      <w:spacing w:before="240" w:after="64" w:line="320" w:lineRule="auto"/>
      <w:ind w:left="4320" w:hanging="420"/>
      <w:jc w:val="left"/>
      <w:outlineLvl w:val="7"/>
    </w:pPr>
    <w:rPr>
      <w:rFonts w:ascii="Arial" w:hAnsi="Arial" w:eastAsia="黑体"/>
      <w:kern w:val="0"/>
      <w:sz w:val="24"/>
    </w:rPr>
  </w:style>
  <w:style w:type="paragraph" w:styleId="11">
    <w:name w:val="heading 9"/>
    <w:basedOn w:val="1"/>
    <w:next w:val="1"/>
    <w:link w:val="430"/>
    <w:qFormat/>
    <w:uiPriority w:val="0"/>
    <w:pPr>
      <w:keepNext/>
      <w:keepLines/>
      <w:widowControl/>
      <w:tabs>
        <w:tab w:val="left" w:pos="1320"/>
        <w:tab w:val="left" w:pos="1584"/>
        <w:tab w:val="left" w:pos="4740"/>
      </w:tabs>
      <w:spacing w:before="240" w:after="64" w:line="320" w:lineRule="auto"/>
      <w:ind w:left="4740" w:hanging="420"/>
      <w:jc w:val="left"/>
      <w:outlineLvl w:val="8"/>
    </w:pPr>
    <w:rPr>
      <w:rFonts w:ascii="Arial" w:hAnsi="Arial" w:eastAsia="黑体"/>
      <w:kern w:val="0"/>
      <w:szCs w:val="21"/>
    </w:rPr>
  </w:style>
  <w:style w:type="character" w:default="1" w:styleId="62">
    <w:name w:val="Default Paragraph Font"/>
    <w:unhideWhenUsed/>
    <w:qFormat/>
    <w:uiPriority w:val="1"/>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Normal Indent"/>
    <w:basedOn w:val="1"/>
    <w:link w:val="432"/>
    <w:qFormat/>
    <w:uiPriority w:val="0"/>
    <w:pPr>
      <w:widowControl/>
      <w:ind w:firstLine="420"/>
      <w:jc w:val="left"/>
    </w:pPr>
    <w:rPr>
      <w:rFonts w:ascii="Calibri" w:hAnsi="Calibri" w:cs="黑体"/>
      <w:szCs w:val="22"/>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39"/>
    <w:pPr>
      <w:ind w:left="1260"/>
      <w:jc w:val="left"/>
    </w:pPr>
    <w:rPr>
      <w:sz w:val="18"/>
      <w:szCs w:val="18"/>
    </w:rPr>
  </w:style>
  <w:style w:type="paragraph" w:styleId="14">
    <w:name w:val="table of authorities"/>
    <w:basedOn w:val="1"/>
    <w:next w:val="1"/>
    <w:qFormat/>
    <w:uiPriority w:val="0"/>
    <w:pPr>
      <w:ind w:left="420" w:leftChars="200"/>
    </w:pPr>
    <w:rPr>
      <w:szCs w:val="20"/>
    </w:rPr>
  </w:style>
  <w:style w:type="paragraph" w:styleId="15">
    <w:name w:val="List Bullet 4"/>
    <w:basedOn w:val="1"/>
    <w:qFormat/>
    <w:uiPriority w:val="0"/>
    <w:pPr>
      <w:tabs>
        <w:tab w:val="left" w:pos="980"/>
      </w:tabs>
      <w:spacing w:beforeLines="50" w:afterLines="50" w:line="360" w:lineRule="auto"/>
      <w:ind w:left="980" w:hanging="420"/>
    </w:pPr>
    <w:rPr>
      <w:sz w:val="24"/>
    </w:rPr>
  </w:style>
  <w:style w:type="paragraph" w:styleId="16">
    <w:name w:val="List Number"/>
    <w:basedOn w:val="1"/>
    <w:qFormat/>
    <w:uiPriority w:val="0"/>
    <w:pPr>
      <w:tabs>
        <w:tab w:val="left" w:pos="360"/>
        <w:tab w:val="left" w:pos="567"/>
        <w:tab w:val="left" w:pos="840"/>
      </w:tabs>
      <w:ind w:left="567" w:hanging="567"/>
    </w:pPr>
    <w:rPr>
      <w:rFonts w:ascii="Calibri" w:hAnsi="Calibri"/>
      <w:sz w:val="28"/>
      <w:szCs w:val="22"/>
    </w:rPr>
  </w:style>
  <w:style w:type="paragraph" w:styleId="17">
    <w:name w:val="caption"/>
    <w:basedOn w:val="1"/>
    <w:next w:val="1"/>
    <w:qFormat/>
    <w:uiPriority w:val="0"/>
    <w:pPr>
      <w:spacing w:before="152" w:after="160"/>
    </w:pPr>
    <w:rPr>
      <w:rFonts w:ascii="Arial" w:hAnsi="Arial" w:eastAsia="黑体" w:cs="Arial"/>
      <w:sz w:val="20"/>
      <w:szCs w:val="20"/>
    </w:rPr>
  </w:style>
  <w:style w:type="paragraph" w:styleId="18">
    <w:name w:val="List Bullet"/>
    <w:basedOn w:val="1"/>
    <w:qFormat/>
    <w:uiPriority w:val="0"/>
    <w:pPr>
      <w:spacing w:beforeLines="50" w:afterLines="50" w:line="360" w:lineRule="auto"/>
      <w:ind w:firstLine="482" w:firstLineChars="200"/>
    </w:pPr>
    <w:rPr>
      <w:rFonts w:ascii="宋体" w:hAnsi="宋体"/>
      <w:b/>
      <w:kern w:val="0"/>
      <w:sz w:val="24"/>
    </w:rPr>
  </w:style>
  <w:style w:type="paragraph" w:styleId="19">
    <w:name w:val="envelope address"/>
    <w:basedOn w:val="1"/>
    <w:qFormat/>
    <w:uiPriority w:val="0"/>
    <w:pPr>
      <w:framePr w:w="7920" w:h="1980" w:hRule="exact" w:hSpace="180" w:wrap="around" w:vAnchor="margin" w:hAnchor="page" w:xAlign="center" w:yAlign="bottom"/>
      <w:adjustRightInd w:val="0"/>
      <w:spacing w:line="480" w:lineRule="atLeast"/>
      <w:ind w:left="2880"/>
      <w:textAlignment w:val="baseline"/>
    </w:pPr>
    <w:rPr>
      <w:rFonts w:eastAsia="魏碑体"/>
      <w:spacing w:val="10"/>
      <w:kern w:val="0"/>
      <w:sz w:val="32"/>
      <w:szCs w:val="20"/>
    </w:rPr>
  </w:style>
  <w:style w:type="paragraph" w:styleId="20">
    <w:name w:val="Document Map"/>
    <w:basedOn w:val="1"/>
    <w:link w:val="517"/>
    <w:qFormat/>
    <w:uiPriority w:val="0"/>
    <w:pPr>
      <w:shd w:val="clear" w:color="auto" w:fill="000080"/>
    </w:pPr>
  </w:style>
  <w:style w:type="paragraph" w:styleId="21">
    <w:name w:val="annotation text"/>
    <w:basedOn w:val="1"/>
    <w:link w:val="442"/>
    <w:unhideWhenUsed/>
    <w:qFormat/>
    <w:uiPriority w:val="0"/>
    <w:pPr>
      <w:jc w:val="left"/>
    </w:pPr>
  </w:style>
  <w:style w:type="paragraph" w:styleId="22">
    <w:name w:val="Salutation"/>
    <w:basedOn w:val="1"/>
    <w:next w:val="1"/>
    <w:link w:val="431"/>
    <w:qFormat/>
    <w:uiPriority w:val="0"/>
    <w:rPr>
      <w:kern w:val="0"/>
      <w:sz w:val="20"/>
    </w:rPr>
  </w:style>
  <w:style w:type="paragraph" w:styleId="23">
    <w:name w:val="Body Text 3"/>
    <w:basedOn w:val="1"/>
    <w:link w:val="518"/>
    <w:unhideWhenUsed/>
    <w:qFormat/>
    <w:uiPriority w:val="0"/>
    <w:pPr>
      <w:spacing w:beforeLines="50" w:afterLines="50" w:line="360" w:lineRule="auto"/>
    </w:pPr>
    <w:rPr>
      <w:kern w:val="0"/>
      <w:sz w:val="16"/>
      <w:szCs w:val="16"/>
    </w:rPr>
  </w:style>
  <w:style w:type="paragraph" w:styleId="24">
    <w:name w:val="Closing"/>
    <w:basedOn w:val="1"/>
    <w:link w:val="445"/>
    <w:qFormat/>
    <w:uiPriority w:val="0"/>
    <w:pPr>
      <w:ind w:left="100" w:leftChars="2100"/>
    </w:pPr>
    <w:rPr>
      <w:kern w:val="0"/>
      <w:sz w:val="20"/>
    </w:rPr>
  </w:style>
  <w:style w:type="paragraph" w:styleId="25">
    <w:name w:val="List Bullet 3"/>
    <w:basedOn w:val="1"/>
    <w:unhideWhenUsed/>
    <w:qFormat/>
    <w:uiPriority w:val="0"/>
    <w:pPr>
      <w:tabs>
        <w:tab w:val="left" w:pos="1200"/>
      </w:tabs>
      <w:ind w:left="1200" w:leftChars="400" w:hanging="360" w:hangingChars="200"/>
      <w:contextualSpacing/>
    </w:pPr>
    <w:rPr>
      <w:szCs w:val="20"/>
    </w:rPr>
  </w:style>
  <w:style w:type="paragraph" w:styleId="26">
    <w:name w:val="Body Text"/>
    <w:basedOn w:val="1"/>
    <w:next w:val="1"/>
    <w:link w:val="436"/>
    <w:qFormat/>
    <w:uiPriority w:val="0"/>
    <w:pPr>
      <w:widowControl/>
      <w:jc w:val="left"/>
    </w:pPr>
    <w:rPr>
      <w:kern w:val="0"/>
      <w:sz w:val="24"/>
      <w:szCs w:val="20"/>
    </w:rPr>
  </w:style>
  <w:style w:type="paragraph" w:styleId="27">
    <w:name w:val="Body Text Indent"/>
    <w:basedOn w:val="1"/>
    <w:next w:val="28"/>
    <w:link w:val="454"/>
    <w:qFormat/>
    <w:uiPriority w:val="99"/>
    <w:pPr>
      <w:spacing w:after="120"/>
      <w:ind w:left="420" w:leftChars="200"/>
    </w:pPr>
    <w:rPr>
      <w:kern w:val="0"/>
      <w:sz w:val="20"/>
    </w:rPr>
  </w:style>
  <w:style w:type="paragraph" w:styleId="28">
    <w:name w:val="envelope return"/>
    <w:basedOn w:val="1"/>
    <w:qFormat/>
    <w:uiPriority w:val="0"/>
    <w:pPr>
      <w:snapToGrid w:val="0"/>
    </w:pPr>
    <w:rPr>
      <w:rFonts w:ascii="Arial" w:hAnsi="Arial"/>
    </w:rPr>
  </w:style>
  <w:style w:type="paragraph" w:styleId="29">
    <w:name w:val="List 2"/>
    <w:basedOn w:val="1"/>
    <w:qFormat/>
    <w:uiPriority w:val="0"/>
    <w:pPr>
      <w:spacing w:beforeLines="50" w:afterLines="50" w:line="360" w:lineRule="auto"/>
      <w:ind w:left="100" w:leftChars="200" w:hanging="200" w:hangingChars="200"/>
    </w:pPr>
    <w:rPr>
      <w:sz w:val="24"/>
    </w:rPr>
  </w:style>
  <w:style w:type="paragraph" w:styleId="30">
    <w:name w:val="Block Text"/>
    <w:basedOn w:val="1"/>
    <w:qFormat/>
    <w:uiPriority w:val="0"/>
    <w:pPr>
      <w:autoSpaceDE w:val="0"/>
      <w:autoSpaceDN w:val="0"/>
      <w:adjustRightInd w:val="0"/>
      <w:spacing w:line="360" w:lineRule="atLeast"/>
      <w:ind w:left="1418" w:right="1800" w:rightChars="857" w:firstLine="540"/>
    </w:pPr>
    <w:rPr>
      <w:rFonts w:ascii="宋体"/>
      <w:color w:val="000000"/>
      <w:kern w:val="0"/>
      <w:sz w:val="24"/>
    </w:rPr>
  </w:style>
  <w:style w:type="paragraph" w:styleId="31">
    <w:name w:val="toc 5"/>
    <w:basedOn w:val="1"/>
    <w:next w:val="1"/>
    <w:qFormat/>
    <w:uiPriority w:val="39"/>
    <w:pPr>
      <w:ind w:left="840"/>
      <w:jc w:val="left"/>
    </w:pPr>
    <w:rPr>
      <w:sz w:val="18"/>
      <w:szCs w:val="18"/>
    </w:rPr>
  </w:style>
  <w:style w:type="paragraph" w:styleId="32">
    <w:name w:val="toc 3"/>
    <w:basedOn w:val="1"/>
    <w:next w:val="1"/>
    <w:qFormat/>
    <w:uiPriority w:val="39"/>
    <w:pPr>
      <w:ind w:left="420"/>
      <w:jc w:val="left"/>
    </w:pPr>
    <w:rPr>
      <w:i/>
      <w:iCs/>
      <w:sz w:val="20"/>
      <w:szCs w:val="20"/>
    </w:rPr>
  </w:style>
  <w:style w:type="paragraph" w:styleId="33">
    <w:name w:val="Plain Text"/>
    <w:basedOn w:val="1"/>
    <w:next w:val="1"/>
    <w:link w:val="447"/>
    <w:qFormat/>
    <w:uiPriority w:val="0"/>
    <w:rPr>
      <w:rFonts w:ascii="宋体" w:hAnsi="Courier New"/>
      <w:kern w:val="0"/>
      <w:sz w:val="20"/>
      <w:szCs w:val="20"/>
    </w:rPr>
  </w:style>
  <w:style w:type="paragraph" w:styleId="34">
    <w:name w:val="toc 8"/>
    <w:basedOn w:val="1"/>
    <w:next w:val="1"/>
    <w:qFormat/>
    <w:uiPriority w:val="39"/>
    <w:pPr>
      <w:ind w:left="1470"/>
      <w:jc w:val="left"/>
    </w:pPr>
    <w:rPr>
      <w:sz w:val="18"/>
      <w:szCs w:val="18"/>
    </w:rPr>
  </w:style>
  <w:style w:type="paragraph" w:styleId="35">
    <w:name w:val="Date"/>
    <w:basedOn w:val="1"/>
    <w:next w:val="1"/>
    <w:link w:val="449"/>
    <w:qFormat/>
    <w:uiPriority w:val="0"/>
    <w:pPr>
      <w:ind w:left="100" w:leftChars="2500"/>
    </w:pPr>
    <w:rPr>
      <w:kern w:val="0"/>
      <w:sz w:val="20"/>
    </w:rPr>
  </w:style>
  <w:style w:type="paragraph" w:styleId="36">
    <w:name w:val="Body Text Indent 2"/>
    <w:basedOn w:val="1"/>
    <w:link w:val="453"/>
    <w:qFormat/>
    <w:uiPriority w:val="0"/>
    <w:pPr>
      <w:spacing w:line="360" w:lineRule="auto"/>
      <w:ind w:left="839" w:hanging="839" w:hangingChars="355"/>
    </w:pPr>
    <w:rPr>
      <w:b/>
      <w:kern w:val="0"/>
      <w:sz w:val="24"/>
    </w:rPr>
  </w:style>
  <w:style w:type="paragraph" w:styleId="37">
    <w:name w:val="endnote text"/>
    <w:basedOn w:val="1"/>
    <w:link w:val="515"/>
    <w:qFormat/>
    <w:uiPriority w:val="0"/>
    <w:pPr>
      <w:snapToGrid w:val="0"/>
      <w:jc w:val="left"/>
    </w:pPr>
    <w:rPr>
      <w:kern w:val="0"/>
      <w:sz w:val="20"/>
      <w:szCs w:val="20"/>
    </w:rPr>
  </w:style>
  <w:style w:type="paragraph" w:styleId="38">
    <w:name w:val="Balloon Text"/>
    <w:basedOn w:val="1"/>
    <w:link w:val="439"/>
    <w:qFormat/>
    <w:uiPriority w:val="0"/>
    <w:rPr>
      <w:kern w:val="0"/>
      <w:sz w:val="18"/>
      <w:szCs w:val="18"/>
    </w:rPr>
  </w:style>
  <w:style w:type="paragraph" w:styleId="39">
    <w:name w:val="footer"/>
    <w:basedOn w:val="1"/>
    <w:link w:val="434"/>
    <w:unhideWhenUsed/>
    <w:qFormat/>
    <w:uiPriority w:val="0"/>
    <w:pPr>
      <w:tabs>
        <w:tab w:val="center" w:pos="4153"/>
        <w:tab w:val="right" w:pos="8306"/>
      </w:tabs>
      <w:snapToGrid w:val="0"/>
      <w:jc w:val="left"/>
    </w:pPr>
    <w:rPr>
      <w:kern w:val="0"/>
      <w:sz w:val="18"/>
      <w:szCs w:val="18"/>
    </w:rPr>
  </w:style>
  <w:style w:type="paragraph" w:styleId="40">
    <w:name w:val="header"/>
    <w:basedOn w:val="1"/>
    <w:link w:val="45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41">
    <w:name w:val="toc 1"/>
    <w:basedOn w:val="1"/>
    <w:next w:val="1"/>
    <w:qFormat/>
    <w:uiPriority w:val="39"/>
    <w:pPr>
      <w:tabs>
        <w:tab w:val="left" w:pos="840"/>
        <w:tab w:val="right" w:leader="dot" w:pos="8210"/>
      </w:tabs>
      <w:jc w:val="left"/>
    </w:pPr>
    <w:rPr>
      <w:rFonts w:ascii="仿宋_GB2312" w:hAnsi="宋体" w:eastAsia="仿宋_GB2312"/>
      <w:b/>
      <w:bCs/>
      <w:caps/>
      <w:sz w:val="32"/>
      <w:szCs w:val="32"/>
    </w:rPr>
  </w:style>
  <w:style w:type="paragraph" w:styleId="42">
    <w:name w:val="toc 4"/>
    <w:basedOn w:val="1"/>
    <w:next w:val="1"/>
    <w:qFormat/>
    <w:uiPriority w:val="39"/>
    <w:pPr>
      <w:ind w:left="630"/>
      <w:jc w:val="left"/>
    </w:pPr>
    <w:rPr>
      <w:sz w:val="18"/>
      <w:szCs w:val="18"/>
    </w:rPr>
  </w:style>
  <w:style w:type="paragraph" w:styleId="43">
    <w:name w:val="Subtitle"/>
    <w:basedOn w:val="1"/>
    <w:next w:val="1"/>
    <w:link w:val="514"/>
    <w:qFormat/>
    <w:uiPriority w:val="0"/>
    <w:pPr>
      <w:spacing w:before="240" w:after="60" w:line="312" w:lineRule="auto"/>
      <w:jc w:val="center"/>
      <w:outlineLvl w:val="1"/>
    </w:pPr>
    <w:rPr>
      <w:rFonts w:ascii="Cambria" w:hAnsi="Cambria"/>
      <w:b/>
      <w:bCs/>
      <w:kern w:val="28"/>
      <w:sz w:val="32"/>
      <w:szCs w:val="32"/>
    </w:rPr>
  </w:style>
  <w:style w:type="paragraph" w:styleId="44">
    <w:name w:val="List"/>
    <w:basedOn w:val="1"/>
    <w:qFormat/>
    <w:uiPriority w:val="0"/>
    <w:pPr>
      <w:ind w:left="420" w:hanging="420"/>
    </w:pPr>
    <w:rPr>
      <w:sz w:val="24"/>
      <w:szCs w:val="20"/>
    </w:rPr>
  </w:style>
  <w:style w:type="paragraph" w:styleId="45">
    <w:name w:val="toc 6"/>
    <w:basedOn w:val="1"/>
    <w:next w:val="1"/>
    <w:qFormat/>
    <w:uiPriority w:val="39"/>
    <w:pPr>
      <w:ind w:left="1050"/>
      <w:jc w:val="left"/>
    </w:pPr>
    <w:rPr>
      <w:sz w:val="18"/>
      <w:szCs w:val="18"/>
    </w:rPr>
  </w:style>
  <w:style w:type="paragraph" w:styleId="46">
    <w:name w:val="Body Text Indent 3"/>
    <w:basedOn w:val="1"/>
    <w:link w:val="516"/>
    <w:qFormat/>
    <w:uiPriority w:val="0"/>
    <w:pPr>
      <w:ind w:firstLine="480" w:firstLineChars="200"/>
    </w:pPr>
    <w:rPr>
      <w:rFonts w:ascii="幼圆" w:eastAsia="幼圆"/>
      <w:sz w:val="24"/>
      <w:szCs w:val="32"/>
    </w:rPr>
  </w:style>
  <w:style w:type="paragraph" w:styleId="47">
    <w:name w:val="table of figures"/>
    <w:basedOn w:val="1"/>
    <w:next w:val="1"/>
    <w:qFormat/>
    <w:uiPriority w:val="0"/>
    <w:pPr>
      <w:adjustRightInd w:val="0"/>
      <w:ind w:left="420" w:hanging="420"/>
      <w:jc w:val="left"/>
      <w:textAlignment w:val="baseline"/>
    </w:pPr>
    <w:rPr>
      <w:rFonts w:eastAsia="楷体_GB2312"/>
      <w:smallCaps/>
      <w:sz w:val="24"/>
      <w:szCs w:val="20"/>
    </w:rPr>
  </w:style>
  <w:style w:type="paragraph" w:styleId="48">
    <w:name w:val="toc 2"/>
    <w:basedOn w:val="1"/>
    <w:next w:val="1"/>
    <w:qFormat/>
    <w:uiPriority w:val="39"/>
    <w:pPr>
      <w:ind w:left="210"/>
      <w:jc w:val="left"/>
    </w:pPr>
    <w:rPr>
      <w:smallCaps/>
      <w:sz w:val="20"/>
      <w:szCs w:val="20"/>
    </w:rPr>
  </w:style>
  <w:style w:type="paragraph" w:styleId="49">
    <w:name w:val="toc 9"/>
    <w:basedOn w:val="1"/>
    <w:next w:val="1"/>
    <w:qFormat/>
    <w:uiPriority w:val="39"/>
    <w:pPr>
      <w:ind w:left="1680"/>
      <w:jc w:val="left"/>
    </w:pPr>
    <w:rPr>
      <w:sz w:val="18"/>
      <w:szCs w:val="18"/>
    </w:rPr>
  </w:style>
  <w:style w:type="paragraph" w:styleId="50">
    <w:name w:val="Body Text 2"/>
    <w:basedOn w:val="1"/>
    <w:link w:val="513"/>
    <w:qFormat/>
    <w:uiPriority w:val="0"/>
    <w:pPr>
      <w:jc w:val="center"/>
    </w:pPr>
    <w:rPr>
      <w:rFonts w:ascii="宋体" w:hAnsi="宋体"/>
      <w:sz w:val="24"/>
    </w:rPr>
  </w:style>
  <w:style w:type="paragraph" w:styleId="51">
    <w:name w:val="List Continue 2"/>
    <w:basedOn w:val="1"/>
    <w:qFormat/>
    <w:uiPriority w:val="0"/>
    <w:pPr>
      <w:spacing w:after="120"/>
      <w:ind w:left="840" w:leftChars="400"/>
    </w:pPr>
  </w:style>
  <w:style w:type="paragraph" w:styleId="52">
    <w:name w:val="HTML Preformatted"/>
    <w:basedOn w:val="1"/>
    <w:link w:val="435"/>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53">
    <w:name w:val="Normal (Web)"/>
    <w:basedOn w:val="1"/>
    <w:link w:val="456"/>
    <w:qFormat/>
    <w:uiPriority w:val="99"/>
    <w:pPr>
      <w:widowControl/>
      <w:spacing w:before="100" w:beforeAutospacing="1" w:after="100" w:afterAutospacing="1"/>
      <w:jc w:val="left"/>
    </w:pPr>
    <w:rPr>
      <w:rFonts w:ascii="宋体" w:hAnsi="宋体"/>
      <w:kern w:val="0"/>
      <w:sz w:val="24"/>
    </w:rPr>
  </w:style>
  <w:style w:type="paragraph" w:styleId="54">
    <w:name w:val="index 1"/>
    <w:basedOn w:val="1"/>
    <w:next w:val="1"/>
    <w:qFormat/>
    <w:uiPriority w:val="0"/>
  </w:style>
  <w:style w:type="paragraph" w:styleId="55">
    <w:name w:val="Title"/>
    <w:basedOn w:val="1"/>
    <w:next w:val="1"/>
    <w:link w:val="510"/>
    <w:qFormat/>
    <w:uiPriority w:val="99"/>
    <w:pPr>
      <w:spacing w:before="240" w:after="60"/>
      <w:jc w:val="center"/>
      <w:outlineLvl w:val="0"/>
    </w:pPr>
    <w:rPr>
      <w:rFonts w:ascii="Arial" w:hAnsi="Arial"/>
      <w:b/>
      <w:bCs/>
      <w:kern w:val="0"/>
      <w:sz w:val="32"/>
      <w:szCs w:val="32"/>
    </w:rPr>
  </w:style>
  <w:style w:type="paragraph" w:styleId="56">
    <w:name w:val="annotation subject"/>
    <w:basedOn w:val="21"/>
    <w:next w:val="21"/>
    <w:link w:val="441"/>
    <w:unhideWhenUsed/>
    <w:qFormat/>
    <w:uiPriority w:val="0"/>
    <w:rPr>
      <w:b/>
      <w:bCs/>
    </w:rPr>
  </w:style>
  <w:style w:type="paragraph" w:styleId="57">
    <w:name w:val="Body Text First Indent"/>
    <w:basedOn w:val="26"/>
    <w:link w:val="512"/>
    <w:qFormat/>
    <w:uiPriority w:val="0"/>
    <w:pPr>
      <w:widowControl w:val="0"/>
      <w:spacing w:after="120"/>
      <w:ind w:firstLine="420" w:firstLineChars="100"/>
      <w:jc w:val="both"/>
    </w:pPr>
    <w:rPr>
      <w:rFonts w:ascii="宋体"/>
      <w:color w:val="000000"/>
      <w:kern w:val="2"/>
      <w:sz w:val="21"/>
      <w:szCs w:val="32"/>
    </w:rPr>
  </w:style>
  <w:style w:type="paragraph" w:styleId="58">
    <w:name w:val="Body Text First Indent 2"/>
    <w:basedOn w:val="27"/>
    <w:next w:val="1"/>
    <w:link w:val="511"/>
    <w:unhideWhenUsed/>
    <w:qFormat/>
    <w:uiPriority w:val="0"/>
    <w:pPr>
      <w:ind w:firstLine="420" w:firstLineChars="200"/>
    </w:pPr>
    <w:rPr>
      <w:rFonts w:ascii="仿宋_GB2312" w:eastAsia="仿宋_GB2312"/>
      <w:color w:val="000000"/>
      <w:sz w:val="24"/>
    </w:rPr>
  </w:style>
  <w:style w:type="table" w:styleId="60">
    <w:name w:val="Table Grid"/>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1">
    <w:name w:val="Table Theme"/>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3">
    <w:name w:val="Strong"/>
    <w:basedOn w:val="62"/>
    <w:qFormat/>
    <w:uiPriority w:val="22"/>
    <w:rPr>
      <w:b/>
      <w:bCs/>
    </w:rPr>
  </w:style>
  <w:style w:type="character" w:styleId="64">
    <w:name w:val="page number"/>
    <w:basedOn w:val="62"/>
    <w:qFormat/>
    <w:uiPriority w:val="0"/>
  </w:style>
  <w:style w:type="character" w:styleId="65">
    <w:name w:val="FollowedHyperlink"/>
    <w:basedOn w:val="62"/>
    <w:unhideWhenUsed/>
    <w:qFormat/>
    <w:uiPriority w:val="99"/>
    <w:rPr>
      <w:color w:val="800080"/>
      <w:u w:val="single"/>
    </w:rPr>
  </w:style>
  <w:style w:type="character" w:styleId="66">
    <w:name w:val="Emphasis"/>
    <w:qFormat/>
    <w:uiPriority w:val="0"/>
    <w:rPr>
      <w:i/>
      <w:iCs/>
    </w:rPr>
  </w:style>
  <w:style w:type="character" w:styleId="67">
    <w:name w:val="Hyperlink"/>
    <w:qFormat/>
    <w:uiPriority w:val="99"/>
    <w:rPr>
      <w:color w:val="0000FF"/>
      <w:u w:val="single"/>
    </w:rPr>
  </w:style>
  <w:style w:type="character" w:styleId="68">
    <w:name w:val="annotation reference"/>
    <w:unhideWhenUsed/>
    <w:qFormat/>
    <w:uiPriority w:val="0"/>
    <w:rPr>
      <w:sz w:val="21"/>
      <w:szCs w:val="21"/>
    </w:rPr>
  </w:style>
  <w:style w:type="character" w:styleId="69">
    <w:name w:val="HTML Sample"/>
    <w:basedOn w:val="62"/>
    <w:unhideWhenUsed/>
    <w:qFormat/>
    <w:uiPriority w:val="0"/>
    <w:rPr>
      <w:rFonts w:ascii="Courier New" w:hAnsi="Courier New"/>
    </w:rPr>
  </w:style>
  <w:style w:type="paragraph" w:customStyle="1" w:styleId="70">
    <w:name w:val="列表1"/>
    <w:basedOn w:val="1"/>
    <w:qFormat/>
    <w:uiPriority w:val="0"/>
    <w:pPr>
      <w:spacing w:line="480" w:lineRule="atLeast"/>
      <w:ind w:left="420" w:hanging="420"/>
    </w:pPr>
    <w:rPr>
      <w:rFonts w:eastAsia="楷体_GB2312"/>
      <w:sz w:val="32"/>
    </w:rPr>
  </w:style>
  <w:style w:type="paragraph" w:customStyle="1" w:styleId="71">
    <w:name w:val="Char"/>
    <w:basedOn w:val="1"/>
    <w:qFormat/>
    <w:uiPriority w:val="0"/>
    <w:rPr>
      <w:rFonts w:ascii="Tahoma" w:hAnsi="Tahoma" w:cs="仿宋_GB2312"/>
      <w:sz w:val="24"/>
      <w:szCs w:val="28"/>
    </w:rPr>
  </w:style>
  <w:style w:type="paragraph" w:customStyle="1" w:styleId="72">
    <w:name w:val="列出段落1"/>
    <w:basedOn w:val="1"/>
    <w:link w:val="455"/>
    <w:qFormat/>
    <w:uiPriority w:val="34"/>
    <w:pPr>
      <w:ind w:firstLine="420" w:firstLineChars="200"/>
    </w:pPr>
  </w:style>
  <w:style w:type="paragraph" w:customStyle="1" w:styleId="73">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4">
    <w:name w:val="0"/>
    <w:basedOn w:val="1"/>
    <w:qFormat/>
    <w:uiPriority w:val="0"/>
    <w:pPr>
      <w:widowControl/>
      <w:snapToGrid w:val="0"/>
    </w:pPr>
    <w:rPr>
      <w:kern w:val="0"/>
      <w:szCs w:val="21"/>
    </w:rPr>
  </w:style>
  <w:style w:type="paragraph" w:customStyle="1" w:styleId="75">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6">
    <w:name w:val="纯文本1"/>
    <w:basedOn w:val="1"/>
    <w:qFormat/>
    <w:uiPriority w:val="0"/>
    <w:pPr>
      <w:adjustRightInd w:val="0"/>
      <w:textAlignment w:val="baseline"/>
    </w:pPr>
    <w:rPr>
      <w:rFonts w:ascii="宋体" w:hAnsi="Courier New" w:eastAsia="楷体_GB2312"/>
      <w:sz w:val="26"/>
      <w:szCs w:val="20"/>
    </w:rPr>
  </w:style>
  <w:style w:type="paragraph" w:customStyle="1" w:styleId="77">
    <w:name w:val="xl83"/>
    <w:basedOn w:val="1"/>
    <w:qFormat/>
    <w:uiPriority w:val="0"/>
    <w:pPr>
      <w:widowControl/>
      <w:spacing w:before="100" w:beforeAutospacing="1" w:after="100" w:afterAutospacing="1"/>
      <w:jc w:val="center"/>
      <w:textAlignment w:val="center"/>
    </w:pPr>
    <w:rPr>
      <w:rFonts w:ascii="宋体" w:hAnsi="宋体" w:cs="宋体"/>
      <w:b/>
      <w:bCs/>
      <w:color w:val="000000"/>
      <w:kern w:val="0"/>
      <w:sz w:val="36"/>
      <w:szCs w:val="36"/>
    </w:rPr>
  </w:style>
  <w:style w:type="paragraph" w:customStyle="1" w:styleId="78">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9">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0">
    <w:name w:val="默认段落字体 Para Char"/>
    <w:basedOn w:val="1"/>
    <w:qFormat/>
    <w:uiPriority w:val="0"/>
    <w:pPr>
      <w:adjustRightInd w:val="0"/>
      <w:spacing w:line="360" w:lineRule="auto"/>
    </w:pPr>
    <w:rPr>
      <w:rFonts w:ascii="宋体" w:hAnsi="宋体" w:cs="宋体"/>
      <w:kern w:val="0"/>
      <w:sz w:val="24"/>
      <w:szCs w:val="20"/>
    </w:rPr>
  </w:style>
  <w:style w:type="paragraph" w:customStyle="1" w:styleId="81">
    <w:name w:val="默认段落字体 Para Char Char Char Char"/>
    <w:basedOn w:val="1"/>
    <w:qFormat/>
    <w:uiPriority w:val="0"/>
  </w:style>
  <w:style w:type="paragraph" w:customStyle="1" w:styleId="82">
    <w:name w:val="text9"/>
    <w:basedOn w:val="1"/>
    <w:qFormat/>
    <w:uiPriority w:val="0"/>
    <w:pPr>
      <w:widowControl/>
      <w:spacing w:before="100" w:beforeAutospacing="1" w:after="100" w:afterAutospacing="1"/>
      <w:jc w:val="left"/>
    </w:pPr>
    <w:rPr>
      <w:rFonts w:ascii="宋体" w:hAnsi="宋体"/>
      <w:kern w:val="0"/>
      <w:sz w:val="24"/>
    </w:rPr>
  </w:style>
  <w:style w:type="paragraph" w:customStyle="1" w:styleId="83">
    <w:name w:val="正文无缩进"/>
    <w:basedOn w:val="1"/>
    <w:qFormat/>
    <w:uiPriority w:val="0"/>
    <w:pPr>
      <w:widowControl/>
      <w:autoSpaceDE w:val="0"/>
      <w:autoSpaceDN w:val="0"/>
      <w:spacing w:line="300" w:lineRule="auto"/>
      <w:textAlignment w:val="bottom"/>
    </w:pPr>
    <w:rPr>
      <w:rFonts w:eastAsia="楷体_GB2312"/>
      <w:szCs w:val="20"/>
    </w:rPr>
  </w:style>
  <w:style w:type="paragraph" w:customStyle="1" w:styleId="84">
    <w:name w:val="封面字体4"/>
    <w:basedOn w:val="1"/>
    <w:qFormat/>
    <w:uiPriority w:val="0"/>
    <w:pPr>
      <w:spacing w:line="240" w:lineRule="atLeast"/>
    </w:pPr>
    <w:rPr>
      <w:rFonts w:ascii="黑体" w:hAnsi="华文细黑" w:eastAsia="黑体" w:cs="Arial"/>
      <w:b/>
      <w:bCs/>
      <w:spacing w:val="100"/>
      <w:kern w:val="0"/>
      <w:sz w:val="44"/>
      <w:szCs w:val="28"/>
    </w:rPr>
  </w:style>
  <w:style w:type="paragraph" w:customStyle="1" w:styleId="85">
    <w:name w:val="Default Text:1"/>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86">
    <w:name w:val="纯文本2"/>
    <w:basedOn w:val="1"/>
    <w:qFormat/>
    <w:uiPriority w:val="0"/>
    <w:pPr>
      <w:adjustRightInd w:val="0"/>
      <w:textAlignment w:val="baseline"/>
    </w:pPr>
    <w:rPr>
      <w:rFonts w:ascii="宋体" w:hAnsi="Courier New" w:eastAsia="楷体_GB2312"/>
      <w:sz w:val="26"/>
      <w:szCs w:val="20"/>
    </w:rPr>
  </w:style>
  <w:style w:type="paragraph" w:customStyle="1" w:styleId="87">
    <w:name w:val="列出段落11"/>
    <w:basedOn w:val="1"/>
    <w:qFormat/>
    <w:uiPriority w:val="0"/>
    <w:pPr>
      <w:ind w:firstLine="420" w:firstLineChars="200"/>
    </w:pPr>
    <w:rPr>
      <w:rFonts w:ascii="Calibri" w:hAnsi="Calibri"/>
      <w:szCs w:val="22"/>
    </w:rPr>
  </w:style>
  <w:style w:type="paragraph" w:customStyle="1" w:styleId="88">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89">
    <w:name w:val="xl36"/>
    <w:basedOn w:val="1"/>
    <w:qFormat/>
    <w:uiPriority w:val="0"/>
    <w:pPr>
      <w:widowControl/>
      <w:spacing w:before="100" w:after="100"/>
      <w:jc w:val="center"/>
    </w:pPr>
    <w:rPr>
      <w:rFonts w:ascii="宋体" w:hAnsi="宋体"/>
      <w:kern w:val="0"/>
      <w:sz w:val="24"/>
      <w:szCs w:val="20"/>
    </w:rPr>
  </w:style>
  <w:style w:type="paragraph" w:customStyle="1" w:styleId="90">
    <w:name w:val="封面字体3"/>
    <w:basedOn w:val="1"/>
    <w:qFormat/>
    <w:uiPriority w:val="0"/>
    <w:pPr>
      <w:spacing w:line="240" w:lineRule="atLeast"/>
    </w:pPr>
    <w:rPr>
      <w:rFonts w:ascii="黑体" w:hAnsi="华文细黑" w:eastAsia="黑体" w:cs="Arial"/>
      <w:bCs/>
      <w:spacing w:val="100"/>
      <w:kern w:val="0"/>
      <w:sz w:val="44"/>
      <w:szCs w:val="28"/>
    </w:rPr>
  </w:style>
  <w:style w:type="paragraph" w:customStyle="1" w:styleId="91">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92">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93">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
    <w:name w:val="段"/>
    <w:link w:val="468"/>
    <w:qFormat/>
    <w:uiPriority w:val="0"/>
    <w:pPr>
      <w:tabs>
        <w:tab w:val="center" w:pos="4201"/>
        <w:tab w:val="right" w:leader="dot" w:pos="9298"/>
      </w:tabs>
      <w:autoSpaceDE w:val="0"/>
      <w:autoSpaceDN w:val="0"/>
      <w:ind w:firstLine="420" w:firstLineChars="200"/>
      <w:jc w:val="both"/>
    </w:pPr>
    <w:rPr>
      <w:rFonts w:ascii="宋体" w:hAnsi="宋体" w:eastAsia="宋体" w:cs="Times New Roman"/>
      <w:kern w:val="2"/>
      <w:sz w:val="21"/>
      <w:szCs w:val="22"/>
      <w:lang w:val="en-US" w:eastAsia="zh-CN" w:bidi="ar-SA"/>
    </w:rPr>
  </w:style>
  <w:style w:type="paragraph" w:customStyle="1" w:styleId="95">
    <w:name w:val="本级3"/>
    <w:basedOn w:val="1"/>
    <w:next w:val="1"/>
    <w:link w:val="484"/>
    <w:qFormat/>
    <w:uiPriority w:val="0"/>
    <w:pPr>
      <w:keepNext/>
      <w:keepLines/>
      <w:tabs>
        <w:tab w:val="left" w:pos="567"/>
      </w:tabs>
      <w:spacing w:line="360" w:lineRule="auto"/>
      <w:ind w:left="1827" w:leftChars="100" w:right="100" w:rightChars="100" w:hanging="567"/>
      <w:outlineLvl w:val="2"/>
    </w:pPr>
    <w:rPr>
      <w:rFonts w:ascii="仿宋_GB2312" w:hAnsi="仿宋" w:eastAsia="仿宋_GB2312"/>
      <w:b/>
      <w:bCs/>
      <w:sz w:val="32"/>
    </w:rPr>
  </w:style>
  <w:style w:type="paragraph" w:customStyle="1" w:styleId="96">
    <w:name w:val="首行缩进 Char"/>
    <w:basedOn w:val="1"/>
    <w:next w:val="2"/>
    <w:link w:val="486"/>
    <w:qFormat/>
    <w:uiPriority w:val="0"/>
    <w:pPr>
      <w:spacing w:line="300" w:lineRule="auto"/>
      <w:ind w:firstLine="420"/>
    </w:pPr>
    <w:rPr>
      <w:kern w:val="0"/>
      <w:sz w:val="24"/>
    </w:rPr>
  </w:style>
  <w:style w:type="paragraph" w:customStyle="1" w:styleId="97">
    <w:name w:val="常规"/>
    <w:basedOn w:val="1"/>
    <w:link w:val="489"/>
    <w:qFormat/>
    <w:uiPriority w:val="0"/>
    <w:pPr>
      <w:spacing w:beforeLines="100" w:afterLines="100" w:line="360" w:lineRule="auto"/>
      <w:ind w:firstLine="560" w:firstLineChars="200"/>
      <w:jc w:val="center"/>
    </w:pPr>
    <w:rPr>
      <w:rFonts w:ascii="Tahoma" w:hAnsi="Tahoma"/>
      <w:color w:val="000000"/>
      <w:sz w:val="28"/>
      <w:szCs w:val="21"/>
    </w:rPr>
  </w:style>
  <w:style w:type="paragraph" w:customStyle="1" w:styleId="98">
    <w:name w:val="正文新"/>
    <w:basedOn w:val="1"/>
    <w:link w:val="491"/>
    <w:qFormat/>
    <w:uiPriority w:val="0"/>
    <w:pPr>
      <w:spacing w:line="360" w:lineRule="auto"/>
      <w:ind w:firstLine="200" w:firstLineChars="200"/>
      <w:jc w:val="left"/>
    </w:pPr>
    <w:rPr>
      <w:rFonts w:ascii="宋体" w:hAnsi="宋体"/>
      <w:kern w:val="0"/>
      <w:sz w:val="28"/>
      <w:szCs w:val="20"/>
    </w:rPr>
  </w:style>
  <w:style w:type="paragraph" w:customStyle="1" w:styleId="99">
    <w:name w:val="正文缩进2格"/>
    <w:basedOn w:val="1"/>
    <w:link w:val="498"/>
    <w:qFormat/>
    <w:uiPriority w:val="0"/>
    <w:pPr>
      <w:spacing w:line="600" w:lineRule="exact"/>
      <w:ind w:firstLine="639" w:firstLineChars="206"/>
    </w:pPr>
    <w:rPr>
      <w:rFonts w:ascii="仿宋_GB2312" w:hAnsi="宋体" w:eastAsia="仿宋_GB2312"/>
      <w:sz w:val="31"/>
      <w:szCs w:val="20"/>
    </w:rPr>
  </w:style>
  <w:style w:type="paragraph" w:customStyle="1" w:styleId="100">
    <w:name w:val="样式 目录 2 + 宋体"/>
    <w:basedOn w:val="26"/>
    <w:next w:val="26"/>
    <w:link w:val="508"/>
    <w:qFormat/>
    <w:uiPriority w:val="0"/>
    <w:pPr>
      <w:widowControl w:val="0"/>
      <w:spacing w:after="120"/>
      <w:jc w:val="both"/>
    </w:pPr>
    <w:rPr>
      <w:rFonts w:ascii="宋体" w:hAnsi="宋体"/>
      <w:sz w:val="28"/>
    </w:rPr>
  </w:style>
  <w:style w:type="paragraph" w:customStyle="1" w:styleId="101">
    <w:name w:val="Char1"/>
    <w:basedOn w:val="1"/>
    <w:qFormat/>
    <w:uiPriority w:val="0"/>
    <w:rPr>
      <w:rFonts w:ascii="Tahoma" w:hAnsi="Tahoma"/>
      <w:sz w:val="24"/>
      <w:szCs w:val="20"/>
    </w:rPr>
  </w:style>
  <w:style w:type="paragraph" w:customStyle="1" w:styleId="102">
    <w:name w:val="xl11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103">
    <w:name w:val="Char Char1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4">
    <w:name w:val="正文 New New"/>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05">
    <w:name w:val="样式3"/>
    <w:qFormat/>
    <w:uiPriority w:val="0"/>
    <w:pPr>
      <w:spacing w:line="300" w:lineRule="auto"/>
    </w:pPr>
    <w:rPr>
      <w:rFonts w:ascii="Times New Roman" w:hAnsi="Times New Roman" w:eastAsia="宋体" w:cs="Times New Roman"/>
      <w:lang w:val="en-US" w:eastAsia="zh-CN" w:bidi="ar-SA"/>
    </w:rPr>
  </w:style>
  <w:style w:type="paragraph" w:customStyle="1" w:styleId="106">
    <w:name w:val="xl9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MingLiU" w:hAnsi="MingLiU" w:eastAsia="MingLiU" w:cs="宋体"/>
      <w:kern w:val="0"/>
      <w:sz w:val="24"/>
    </w:rPr>
  </w:style>
  <w:style w:type="paragraph" w:customStyle="1" w:styleId="107">
    <w:name w:val="表项"/>
    <w:next w:val="108"/>
    <w:qFormat/>
    <w:uiPriority w:val="0"/>
    <w:pPr>
      <w:adjustRightInd w:val="0"/>
      <w:snapToGrid w:val="0"/>
      <w:spacing w:line="300" w:lineRule="auto"/>
      <w:jc w:val="center"/>
    </w:pPr>
    <w:rPr>
      <w:rFonts w:ascii="Arial" w:hAnsi="Arial" w:eastAsia="黑体" w:cs="Arial"/>
      <w:iCs/>
      <w:kern w:val="2"/>
      <w:sz w:val="16"/>
      <w:lang w:val="en-US" w:eastAsia="zh-CN" w:bidi="ar-SA"/>
    </w:rPr>
  </w:style>
  <w:style w:type="paragraph" w:customStyle="1" w:styleId="108">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109">
    <w:name w:val="xl43"/>
    <w:basedOn w:val="1"/>
    <w:qFormat/>
    <w:uiPriority w:val="0"/>
    <w:pPr>
      <w:widowControl/>
      <w:pBdr>
        <w:top w:val="single" w:color="auto" w:sz="4" w:space="0"/>
        <w:left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110">
    <w:name w:val="Block"/>
    <w:basedOn w:val="1"/>
    <w:next w:val="97"/>
    <w:qFormat/>
    <w:uiPriority w:val="0"/>
    <w:pPr>
      <w:tabs>
        <w:tab w:val="left" w:pos="0"/>
      </w:tabs>
    </w:pPr>
    <w:rPr>
      <w:rFonts w:ascii="Arial" w:hAnsi="Arial" w:eastAsia="楷体_GB2312"/>
      <w:color w:val="000080"/>
      <w:sz w:val="28"/>
      <w:szCs w:val="28"/>
    </w:rPr>
  </w:style>
  <w:style w:type="paragraph" w:customStyle="1" w:styleId="111">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12">
    <w:name w:val="样式 标题 5 + 段前: 0.5 行 段后: 0.5 行"/>
    <w:basedOn w:val="7"/>
    <w:qFormat/>
    <w:uiPriority w:val="0"/>
    <w:pPr>
      <w:tabs>
        <w:tab w:val="left" w:pos="2580"/>
      </w:tabs>
      <w:spacing w:beforeLines="50" w:afterLines="50" w:line="360" w:lineRule="auto"/>
      <w:ind w:left="2580" w:hanging="420"/>
    </w:pPr>
    <w:rPr>
      <w:rFonts w:ascii="Times New Roman" w:hAnsi="Times New Roman" w:eastAsia="黑体" w:cs="宋体"/>
      <w:b w:val="0"/>
      <w:kern w:val="0"/>
      <w:szCs w:val="20"/>
    </w:rPr>
  </w:style>
  <w:style w:type="paragraph" w:customStyle="1" w:styleId="113">
    <w:name w:val="样式5"/>
    <w:basedOn w:val="96"/>
    <w:qFormat/>
    <w:uiPriority w:val="0"/>
    <w:pPr>
      <w:snapToGrid w:val="0"/>
      <w:spacing w:line="360" w:lineRule="auto"/>
      <w:ind w:firstLine="456" w:firstLineChars="200"/>
      <w:jc w:val="left"/>
    </w:pPr>
    <w:rPr>
      <w:rFonts w:ascii="楷体_GB2312" w:hAnsi="楷体_GB2312" w:eastAsia="楷体_GB2312" w:cs="宋体"/>
      <w:b/>
      <w:spacing w:val="-6"/>
    </w:rPr>
  </w:style>
  <w:style w:type="paragraph" w:customStyle="1" w:styleId="114">
    <w:name w:val="样式 标题 3H3h3h31第二层条3Bold Headbh章标题1小标题level_3PIM 3Lev...2"/>
    <w:basedOn w:val="5"/>
    <w:qFormat/>
    <w:uiPriority w:val="0"/>
    <w:pPr>
      <w:tabs>
        <w:tab w:val="left" w:pos="1740"/>
      </w:tabs>
      <w:spacing w:beforeLines="50" w:afterLines="50" w:line="540" w:lineRule="auto"/>
      <w:ind w:left="1740" w:hanging="420"/>
    </w:pPr>
    <w:rPr>
      <w:rFonts w:ascii="宋体" w:hAnsi="宋体" w:eastAsia="黑体" w:cs="宋体"/>
      <w:b w:val="0"/>
      <w:szCs w:val="20"/>
    </w:rPr>
  </w:style>
  <w:style w:type="paragraph" w:customStyle="1" w:styleId="115">
    <w:name w:val="_Style 56"/>
    <w:basedOn w:val="1"/>
    <w:qFormat/>
    <w:uiPriority w:val="0"/>
    <w:pPr>
      <w:ind w:firstLine="420" w:firstLineChars="200"/>
    </w:pPr>
    <w:rPr>
      <w:rFonts w:ascii="Calibri" w:hAnsi="Calibri"/>
      <w:szCs w:val="22"/>
    </w:rPr>
  </w:style>
  <w:style w:type="paragraph" w:customStyle="1" w:styleId="116">
    <w:name w:val="列出段落2"/>
    <w:basedOn w:val="1"/>
    <w:qFormat/>
    <w:uiPriority w:val="0"/>
    <w:pPr>
      <w:ind w:firstLine="420" w:firstLineChars="200"/>
    </w:pPr>
  </w:style>
  <w:style w:type="paragraph" w:customStyle="1" w:styleId="117">
    <w:name w:val="样式 样式 标题 3H3h3h31Heading 3 - old3Heading 3 hidden2hh32Sect... + ..."/>
    <w:basedOn w:val="1"/>
    <w:qFormat/>
    <w:uiPriority w:val="0"/>
    <w:pPr>
      <w:keepNext/>
      <w:keepLines/>
      <w:tabs>
        <w:tab w:val="left" w:pos="1931"/>
      </w:tabs>
      <w:spacing w:before="100" w:beforeAutospacing="1" w:afterLines="100"/>
      <w:ind w:left="1418" w:hanging="567"/>
      <w:outlineLvl w:val="2"/>
    </w:pPr>
    <w:rPr>
      <w:rFonts w:ascii="Arial Unicode MS" w:hAnsi="Arial Unicode MS" w:eastAsia="楷体_GB2312" w:cs="宋体"/>
      <w:b/>
      <w:bCs/>
      <w:sz w:val="30"/>
      <w:szCs w:val="20"/>
    </w:rPr>
  </w:style>
  <w:style w:type="paragraph" w:customStyle="1" w:styleId="118">
    <w:name w:val="xl51"/>
    <w:basedOn w:val="1"/>
    <w:qFormat/>
    <w:uiPriority w:val="0"/>
    <w:pPr>
      <w:widowControl/>
      <w:pBdr>
        <w:top w:val="single" w:color="auto" w:sz="4" w:space="0"/>
        <w:lef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119">
    <w:name w:val="CM2"/>
    <w:basedOn w:val="88"/>
    <w:next w:val="88"/>
    <w:qFormat/>
    <w:uiPriority w:val="0"/>
    <w:pPr>
      <w:spacing w:line="623" w:lineRule="atLeast"/>
    </w:pPr>
    <w:rPr>
      <w:rFonts w:ascii=".a..DD.." w:hAnsi="Times New Roman" w:eastAsia=".a..DD.." w:cs="Times New Roman"/>
      <w:color w:val="auto"/>
    </w:rPr>
  </w:style>
  <w:style w:type="paragraph" w:customStyle="1" w:styleId="120">
    <w:name w:val="Char1 Char Char Char"/>
    <w:basedOn w:val="1"/>
    <w:qFormat/>
    <w:uiPriority w:val="0"/>
    <w:rPr>
      <w:rFonts w:ascii="Tahoma" w:hAnsi="Tahoma"/>
      <w:sz w:val="24"/>
      <w:szCs w:val="20"/>
    </w:rPr>
  </w:style>
  <w:style w:type="paragraph" w:customStyle="1" w:styleId="121">
    <w:name w:val="zw_12_25"/>
    <w:basedOn w:val="1"/>
    <w:qFormat/>
    <w:uiPriority w:val="0"/>
    <w:pPr>
      <w:widowControl/>
      <w:spacing w:before="100" w:beforeAutospacing="1" w:after="100" w:afterAutospacing="1" w:line="300" w:lineRule="atLeast"/>
      <w:jc w:val="left"/>
    </w:pPr>
    <w:rPr>
      <w:color w:val="333399"/>
      <w:kern w:val="0"/>
      <w:sz w:val="23"/>
      <w:szCs w:val="23"/>
    </w:rPr>
  </w:style>
  <w:style w:type="paragraph" w:customStyle="1" w:styleId="122">
    <w:name w:val="样式 标题 4 + 段前: 0.5 行 段后: 0.5 行 行距: 多倍行距 1.57 字行"/>
    <w:basedOn w:val="6"/>
    <w:qFormat/>
    <w:uiPriority w:val="0"/>
    <w:pPr>
      <w:tabs>
        <w:tab w:val="left" w:pos="2160"/>
      </w:tabs>
      <w:spacing w:beforeLines="50" w:afterLines="50"/>
      <w:ind w:left="2160" w:hanging="420"/>
    </w:pPr>
    <w:rPr>
      <w:rFonts w:cs="宋体"/>
      <w:b w:val="0"/>
      <w:sz w:val="30"/>
      <w:szCs w:val="30"/>
    </w:rPr>
  </w:style>
  <w:style w:type="paragraph" w:customStyle="1" w:styleId="123">
    <w:name w:val="xl10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124">
    <w:name w:val="正文缩进2"/>
    <w:basedOn w:val="1"/>
    <w:qFormat/>
    <w:uiPriority w:val="0"/>
    <w:pPr>
      <w:spacing w:line="360" w:lineRule="auto"/>
      <w:ind w:firstLine="200" w:firstLineChars="200"/>
    </w:pPr>
  </w:style>
  <w:style w:type="paragraph" w:customStyle="1" w:styleId="125">
    <w:name w:val="打印正文1"/>
    <w:basedOn w:val="1"/>
    <w:qFormat/>
    <w:uiPriority w:val="0"/>
    <w:pPr>
      <w:tabs>
        <w:tab w:val="left" w:pos="705"/>
        <w:tab w:val="left" w:pos="1440"/>
      </w:tabs>
      <w:spacing w:line="480" w:lineRule="atLeast"/>
      <w:ind w:left="1440" w:hanging="360"/>
    </w:pPr>
    <w:rPr>
      <w:rFonts w:ascii="宋体" w:hAnsi="宋体"/>
      <w:bCs/>
      <w:spacing w:val="10"/>
      <w:kern w:val="28"/>
      <w:szCs w:val="21"/>
    </w:rPr>
  </w:style>
  <w:style w:type="paragraph" w:customStyle="1" w:styleId="126">
    <w:name w:val="表身（中）"/>
    <w:basedOn w:val="108"/>
    <w:qFormat/>
    <w:uiPriority w:val="0"/>
    <w:pPr>
      <w:jc w:val="center"/>
    </w:pPr>
  </w:style>
  <w:style w:type="paragraph" w:customStyle="1" w:styleId="127">
    <w:name w:val="项目编号1级"/>
    <w:basedOn w:val="124"/>
    <w:qFormat/>
    <w:uiPriority w:val="0"/>
    <w:pPr>
      <w:tabs>
        <w:tab w:val="left" w:pos="840"/>
      </w:tabs>
      <w:ind w:left="840" w:hanging="420" w:firstLineChars="0"/>
    </w:pPr>
  </w:style>
  <w:style w:type="paragraph" w:customStyle="1" w:styleId="128">
    <w:name w:val="一级无"/>
    <w:basedOn w:val="129"/>
    <w:qFormat/>
    <w:uiPriority w:val="0"/>
    <w:pPr>
      <w:spacing w:beforeLines="0" w:afterLines="0"/>
    </w:pPr>
    <w:rPr>
      <w:rFonts w:ascii="宋体" w:eastAsia="宋体"/>
    </w:rPr>
  </w:style>
  <w:style w:type="paragraph" w:customStyle="1" w:styleId="129">
    <w:name w:val="一级条标题"/>
    <w:next w:val="1"/>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130">
    <w:name w:val="four"/>
    <w:basedOn w:val="1"/>
    <w:qFormat/>
    <w:uiPriority w:val="0"/>
    <w:pPr>
      <w:widowControl/>
      <w:spacing w:before="100" w:beforeAutospacing="1" w:after="100" w:afterAutospacing="1"/>
      <w:jc w:val="left"/>
    </w:pPr>
    <w:rPr>
      <w:rFonts w:ascii="宋体" w:hAnsi="宋体" w:cs="宋体"/>
      <w:kern w:val="0"/>
      <w:sz w:val="24"/>
    </w:rPr>
  </w:style>
  <w:style w:type="paragraph" w:customStyle="1" w:styleId="131">
    <w:name w:val="text_12_black"/>
    <w:basedOn w:val="1"/>
    <w:qFormat/>
    <w:uiPriority w:val="0"/>
    <w:pPr>
      <w:widowControl/>
      <w:spacing w:before="100" w:beforeAutospacing="1" w:after="100" w:afterAutospacing="1" w:line="300" w:lineRule="atLeast"/>
      <w:jc w:val="left"/>
    </w:pPr>
    <w:rPr>
      <w:rFonts w:ascii="ˎ̥" w:hAnsi="ˎ̥" w:cs="宋体"/>
      <w:color w:val="333333"/>
      <w:kern w:val="0"/>
      <w:sz w:val="18"/>
      <w:szCs w:val="18"/>
    </w:rPr>
  </w:style>
  <w:style w:type="paragraph" w:customStyle="1" w:styleId="132">
    <w:name w:val="正"/>
    <w:basedOn w:val="1"/>
    <w:qFormat/>
    <w:uiPriority w:val="0"/>
    <w:pPr>
      <w:ind w:firstLine="525"/>
    </w:pPr>
    <w:rPr>
      <w:spacing w:val="20"/>
      <w:szCs w:val="20"/>
    </w:rPr>
  </w:style>
  <w:style w:type="paragraph" w:customStyle="1" w:styleId="133">
    <w:name w:val="公司名称"/>
    <w:basedOn w:val="1"/>
    <w:qFormat/>
    <w:uiPriority w:val="0"/>
    <w:pPr>
      <w:keepLines/>
      <w:widowControl/>
      <w:shd w:val="solid" w:color="auto" w:fill="auto"/>
      <w:spacing w:line="320" w:lineRule="atLeast"/>
      <w:jc w:val="left"/>
    </w:pPr>
    <w:rPr>
      <w:rFonts w:ascii="Arial Black" w:hAnsi="Arial Black" w:eastAsia="黑体"/>
      <w:color w:val="FFFFFF"/>
      <w:spacing w:val="-15"/>
      <w:kern w:val="0"/>
      <w:sz w:val="32"/>
      <w:szCs w:val="20"/>
    </w:rPr>
  </w:style>
  <w:style w:type="paragraph" w:customStyle="1" w:styleId="134">
    <w:name w:val="样式11"/>
    <w:basedOn w:val="1"/>
    <w:qFormat/>
    <w:uiPriority w:val="0"/>
    <w:pPr>
      <w:keepNext/>
      <w:keepLines/>
      <w:spacing w:before="100" w:beforeAutospacing="1" w:after="100" w:afterAutospacing="1" w:line="360" w:lineRule="auto"/>
      <w:outlineLvl w:val="1"/>
    </w:pPr>
    <w:rPr>
      <w:rFonts w:ascii="Arial" w:hAnsi="Arial" w:eastAsia="黑体" w:cs="宋体"/>
      <w:bCs/>
      <w:sz w:val="32"/>
      <w:szCs w:val="20"/>
    </w:rPr>
  </w:style>
  <w:style w:type="paragraph" w:customStyle="1" w:styleId="135">
    <w:name w:val="不缩进"/>
    <w:basedOn w:val="1"/>
    <w:qFormat/>
    <w:uiPriority w:val="0"/>
    <w:pPr>
      <w:spacing w:line="360" w:lineRule="auto"/>
      <w:jc w:val="center"/>
    </w:pPr>
    <w:rPr>
      <w:b/>
      <w:bCs/>
      <w:sz w:val="28"/>
      <w:szCs w:val="21"/>
    </w:rPr>
  </w:style>
  <w:style w:type="paragraph" w:customStyle="1" w:styleId="136">
    <w:name w:val="font6"/>
    <w:basedOn w:val="1"/>
    <w:qFormat/>
    <w:uiPriority w:val="0"/>
    <w:pPr>
      <w:widowControl/>
      <w:spacing w:before="100" w:beforeAutospacing="1" w:after="100" w:afterAutospacing="1"/>
      <w:jc w:val="left"/>
    </w:pPr>
    <w:rPr>
      <w:rFonts w:eastAsia="Arial Unicode MS"/>
      <w:kern w:val="0"/>
      <w:sz w:val="24"/>
    </w:rPr>
  </w:style>
  <w:style w:type="paragraph" w:customStyle="1" w:styleId="137">
    <w:name w:val="小标"/>
    <w:basedOn w:val="1"/>
    <w:qFormat/>
    <w:uiPriority w:val="0"/>
    <w:rPr>
      <w:rFonts w:hint="eastAsia" w:ascii="黑体" w:eastAsia="黑体"/>
      <w:spacing w:val="20"/>
      <w:szCs w:val="20"/>
    </w:rPr>
  </w:style>
  <w:style w:type="paragraph" w:customStyle="1" w:styleId="138">
    <w:name w:val="xl1062"/>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139">
    <w:name w:val="正文悬挂缩进4"/>
    <w:basedOn w:val="1"/>
    <w:qFormat/>
    <w:uiPriority w:val="0"/>
    <w:pPr>
      <w:spacing w:line="360" w:lineRule="auto"/>
      <w:ind w:left="839"/>
    </w:pPr>
  </w:style>
  <w:style w:type="paragraph" w:customStyle="1" w:styleId="140">
    <w:name w:val="xl10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20"/>
      <w:szCs w:val="20"/>
    </w:rPr>
  </w:style>
  <w:style w:type="paragraph" w:customStyle="1" w:styleId="141">
    <w:name w:val="警告"/>
    <w:basedOn w:val="1"/>
    <w:next w:val="97"/>
    <w:qFormat/>
    <w:uiPriority w:val="0"/>
    <w:pPr>
      <w:shd w:val="clear" w:color="auto" w:fill="FFD1D1"/>
      <w:tabs>
        <w:tab w:val="left" w:pos="360"/>
        <w:tab w:val="left" w:pos="1800"/>
      </w:tabs>
      <w:spacing w:beforeLines="100" w:afterLines="100"/>
      <w:ind w:left="425" w:hanging="425" w:firstLineChars="200"/>
      <w:jc w:val="left"/>
    </w:pPr>
    <w:rPr>
      <w:rFonts w:ascii="Tahoma" w:hAnsi="Tahoma" w:eastAsia="楷体_GB2312"/>
      <w:color w:val="000000"/>
      <w:sz w:val="28"/>
      <w:szCs w:val="21"/>
    </w:rPr>
  </w:style>
  <w:style w:type="paragraph" w:customStyle="1" w:styleId="142">
    <w:name w:val="样式 标题 1 + 非加粗 段前: 0.5 行 段后: 0.5 行"/>
    <w:basedOn w:val="3"/>
    <w:qFormat/>
    <w:uiPriority w:val="0"/>
    <w:pPr>
      <w:pageBreakBefore/>
      <w:widowControl w:val="0"/>
      <w:tabs>
        <w:tab w:val="left" w:pos="840"/>
      </w:tabs>
      <w:spacing w:beforeLines="50" w:afterLines="50" w:line="480" w:lineRule="auto"/>
      <w:ind w:left="840" w:hanging="360"/>
    </w:pPr>
    <w:rPr>
      <w:rFonts w:eastAsia="黑体" w:cs="宋体"/>
      <w:b w:val="0"/>
      <w:bCs w:val="0"/>
      <w:szCs w:val="20"/>
    </w:rPr>
  </w:style>
  <w:style w:type="paragraph" w:customStyle="1" w:styleId="143">
    <w:name w:val="xl10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144">
    <w:name w:val="样式 标题 1章节标题b1 + 段前: 6 磅"/>
    <w:basedOn w:val="3"/>
    <w:qFormat/>
    <w:uiPriority w:val="0"/>
    <w:pPr>
      <w:widowControl w:val="0"/>
      <w:tabs>
        <w:tab w:val="left" w:pos="1320"/>
        <w:tab w:val="left" w:pos="1740"/>
      </w:tabs>
      <w:spacing w:before="0" w:after="0" w:line="360" w:lineRule="auto"/>
      <w:jc w:val="both"/>
    </w:pPr>
    <w:rPr>
      <w:rFonts w:ascii="宋体" w:hAnsi="宋体" w:cs="宋体"/>
      <w:color w:val="000000"/>
      <w:kern w:val="2"/>
      <w:sz w:val="28"/>
      <w:szCs w:val="21"/>
    </w:rPr>
  </w:style>
  <w:style w:type="paragraph" w:customStyle="1" w:styleId="145">
    <w:name w:val="xl65"/>
    <w:basedOn w:val="1"/>
    <w:qFormat/>
    <w:uiPriority w:val="0"/>
    <w:pPr>
      <w:widowControl/>
      <w:pBdr>
        <w:top w:val="single" w:color="auto" w:sz="4" w:space="0"/>
        <w:right w:val="single" w:color="auto" w:sz="8" w:space="0"/>
      </w:pBdr>
      <w:spacing w:before="100" w:beforeAutospacing="1" w:after="100" w:afterAutospacing="1"/>
      <w:jc w:val="right"/>
    </w:pPr>
    <w:rPr>
      <w:rFonts w:ascii="Arial Unicode MS" w:hAnsi="Arial Unicode MS" w:eastAsia="Arial Unicode MS" w:cs="Arial Unicode MS"/>
      <w:b/>
      <w:bCs/>
      <w:kern w:val="0"/>
      <w:sz w:val="28"/>
      <w:szCs w:val="28"/>
    </w:rPr>
  </w:style>
  <w:style w:type="paragraph" w:customStyle="1" w:styleId="14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47">
    <w:name w:val="样式 标题 + 段前: 0.5 行 段后: 0.5 行"/>
    <w:basedOn w:val="55"/>
    <w:qFormat/>
    <w:uiPriority w:val="0"/>
  </w:style>
  <w:style w:type="paragraph" w:customStyle="1" w:styleId="148">
    <w:name w:val="数字编号列项（二级）"/>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149">
    <w:name w:val="xl8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50">
    <w:name w:val="xl107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151">
    <w:name w:val="表格标题1"/>
    <w:basedOn w:val="152"/>
    <w:qFormat/>
    <w:uiPriority w:val="0"/>
    <w:pPr>
      <w:tabs>
        <w:tab w:val="left" w:pos="1620"/>
      </w:tabs>
      <w:ind w:left="1620" w:leftChars="600" w:hanging="360" w:hangingChars="200"/>
      <w:jc w:val="both"/>
      <w:textAlignment w:val="bottom"/>
    </w:pPr>
    <w:rPr>
      <w:rFonts w:ascii="Times New Roman"/>
      <w:sz w:val="21"/>
      <w:szCs w:val="21"/>
    </w:rPr>
  </w:style>
  <w:style w:type="paragraph" w:customStyle="1" w:styleId="152">
    <w:name w:val="表格"/>
    <w:basedOn w:val="1"/>
    <w:qFormat/>
    <w:uiPriority w:val="0"/>
    <w:pPr>
      <w:adjustRightInd w:val="0"/>
      <w:spacing w:before="60" w:after="60"/>
      <w:jc w:val="center"/>
      <w:textAlignment w:val="baseline"/>
    </w:pPr>
    <w:rPr>
      <w:rFonts w:ascii="宋体"/>
      <w:kern w:val="0"/>
      <w:sz w:val="24"/>
      <w:szCs w:val="20"/>
    </w:rPr>
  </w:style>
  <w:style w:type="paragraph" w:customStyle="1" w:styleId="153">
    <w:name w:val="xl100"/>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54">
    <w:name w:val="xl2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155">
    <w:name w:val="样式2"/>
    <w:basedOn w:val="1"/>
    <w:qFormat/>
    <w:uiPriority w:val="0"/>
    <w:pPr>
      <w:tabs>
        <w:tab w:val="left" w:pos="360"/>
      </w:tabs>
      <w:spacing w:line="360" w:lineRule="auto"/>
      <w:ind w:firstLine="174" w:firstLineChars="174"/>
      <w:jc w:val="left"/>
    </w:pPr>
    <w:rPr>
      <w:rFonts w:eastAsia="楷体_GB2312"/>
      <w:sz w:val="24"/>
      <w:szCs w:val="28"/>
    </w:rPr>
  </w:style>
  <w:style w:type="paragraph" w:customStyle="1" w:styleId="156">
    <w:name w:val="xl94"/>
    <w:basedOn w:val="1"/>
    <w:qFormat/>
    <w:uiPriority w:val="0"/>
    <w:pPr>
      <w:widowControl/>
      <w:pBdr>
        <w:right w:val="single" w:color="auto" w:sz="4" w:space="0"/>
      </w:pBdr>
      <w:spacing w:before="100" w:beforeAutospacing="1" w:after="100" w:afterAutospacing="1"/>
      <w:jc w:val="center"/>
    </w:pPr>
    <w:rPr>
      <w:rFonts w:ascii="宋体" w:hAnsi="宋体" w:cs="宋体"/>
      <w:kern w:val="0"/>
      <w:sz w:val="24"/>
    </w:rPr>
  </w:style>
  <w:style w:type="paragraph" w:customStyle="1" w:styleId="157">
    <w:name w:val="样式 标题 2 + 段前: 0.5 行 段后: 0.5 行"/>
    <w:basedOn w:val="4"/>
    <w:qFormat/>
    <w:uiPriority w:val="0"/>
    <w:pPr>
      <w:tabs>
        <w:tab w:val="left" w:pos="1320"/>
      </w:tabs>
      <w:spacing w:beforeLines="50" w:afterLines="50" w:line="360" w:lineRule="auto"/>
      <w:jc w:val="left"/>
    </w:pPr>
    <w:rPr>
      <w:rFonts w:cs="宋体"/>
      <w:b w:val="0"/>
      <w:szCs w:val="20"/>
    </w:rPr>
  </w:style>
  <w:style w:type="paragraph" w:customStyle="1" w:styleId="158">
    <w:name w:val="正文1"/>
    <w:basedOn w:val="1"/>
    <w:qFormat/>
    <w:uiPriority w:val="0"/>
    <w:pPr>
      <w:spacing w:line="360" w:lineRule="auto"/>
      <w:ind w:firstLine="200" w:firstLineChars="200"/>
    </w:pPr>
  </w:style>
  <w:style w:type="paragraph" w:customStyle="1" w:styleId="159">
    <w:name w:val="xl4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160">
    <w:name w:val="xl50"/>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161">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162">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16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164">
    <w:name w:val="xl39"/>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165">
    <w:name w:val="样式 标题 6 + 段前: 0.5 行 段后: 0.5 行"/>
    <w:basedOn w:val="8"/>
    <w:qFormat/>
    <w:uiPriority w:val="0"/>
    <w:pPr>
      <w:widowControl w:val="0"/>
      <w:tabs>
        <w:tab w:val="left" w:pos="3000"/>
        <w:tab w:val="clear" w:pos="1320"/>
        <w:tab w:val="clear" w:pos="1440"/>
        <w:tab w:val="clear" w:pos="3480"/>
      </w:tabs>
      <w:spacing w:beforeLines="50" w:afterLines="50" w:line="360" w:lineRule="auto"/>
      <w:jc w:val="both"/>
    </w:pPr>
    <w:rPr>
      <w:rFonts w:cs="宋体"/>
      <w:b w:val="0"/>
      <w:szCs w:val="20"/>
    </w:rPr>
  </w:style>
  <w:style w:type="paragraph" w:customStyle="1" w:styleId="166">
    <w:name w:val="xl9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67">
    <w:name w:val="标准"/>
    <w:basedOn w:val="1"/>
    <w:qFormat/>
    <w:uiPriority w:val="0"/>
    <w:pPr>
      <w:autoSpaceDE w:val="0"/>
      <w:autoSpaceDN w:val="0"/>
      <w:adjustRightInd w:val="0"/>
      <w:ind w:firstLine="600"/>
      <w:textAlignment w:val="baseline"/>
    </w:pPr>
    <w:rPr>
      <w:kern w:val="0"/>
      <w:sz w:val="28"/>
      <w:szCs w:val="20"/>
    </w:rPr>
  </w:style>
  <w:style w:type="paragraph" w:customStyle="1" w:styleId="168">
    <w:name w:val="项目编号2级"/>
    <w:basedOn w:val="127"/>
    <w:qFormat/>
    <w:uiPriority w:val="0"/>
  </w:style>
  <w:style w:type="paragraph" w:customStyle="1" w:styleId="169">
    <w:name w:val="标题3"/>
    <w:basedOn w:val="1"/>
    <w:qFormat/>
    <w:uiPriority w:val="0"/>
    <w:pPr>
      <w:spacing w:beforeLines="50" w:afterLines="50" w:line="300" w:lineRule="exact"/>
    </w:pPr>
    <w:rPr>
      <w:b/>
      <w:bCs/>
    </w:rPr>
  </w:style>
  <w:style w:type="paragraph" w:customStyle="1" w:styleId="170">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71">
    <w:name w:val="书目1"/>
    <w:basedOn w:val="1"/>
    <w:next w:val="1"/>
    <w:unhideWhenUsed/>
    <w:qFormat/>
    <w:uiPriority w:val="37"/>
    <w:pPr>
      <w:spacing w:line="360" w:lineRule="auto"/>
      <w:ind w:firstLine="200" w:firstLineChars="200"/>
      <w:jc w:val="left"/>
    </w:pPr>
    <w:rPr>
      <w:sz w:val="24"/>
    </w:rPr>
  </w:style>
  <w:style w:type="paragraph" w:customStyle="1" w:styleId="172">
    <w:name w:val="正文居中小5"/>
    <w:basedOn w:val="1"/>
    <w:qFormat/>
    <w:uiPriority w:val="0"/>
    <w:pPr>
      <w:spacing w:line="360" w:lineRule="auto"/>
      <w:jc w:val="center"/>
    </w:pPr>
    <w:rPr>
      <w:rFonts w:ascii="Arial" w:hAnsi="Arial"/>
      <w:sz w:val="18"/>
    </w:rPr>
  </w:style>
  <w:style w:type="paragraph" w:customStyle="1" w:styleId="173">
    <w:name w:val="样式 样式 标题 + 段前: 0.5 行 段后: 0.5 行 + 段前: 0.5 行 段后: 0.5 行"/>
    <w:basedOn w:val="147"/>
    <w:qFormat/>
    <w:uiPriority w:val="0"/>
    <w:pPr>
      <w:spacing w:beforeLines="50" w:afterLines="50" w:line="360" w:lineRule="auto"/>
    </w:pPr>
    <w:rPr>
      <w:rFonts w:eastAsia="黑体" w:cs="宋体"/>
      <w:sz w:val="72"/>
      <w:szCs w:val="20"/>
      <w:u w:val="double"/>
    </w:rPr>
  </w:style>
  <w:style w:type="paragraph" w:customStyle="1" w:styleId="174">
    <w:name w:val="Char111"/>
    <w:basedOn w:val="1"/>
    <w:qFormat/>
    <w:uiPriority w:val="0"/>
  </w:style>
  <w:style w:type="paragraph" w:customStyle="1" w:styleId="175">
    <w:name w:val="xl10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76">
    <w:name w:val="xl97"/>
    <w:basedOn w:val="1"/>
    <w:qFormat/>
    <w:uiPriority w:val="0"/>
    <w:pPr>
      <w:widowControl/>
      <w:pBdr>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4"/>
    </w:rPr>
  </w:style>
  <w:style w:type="paragraph" w:customStyle="1" w:styleId="177">
    <w:name w:val="Figure Description"/>
    <w:basedOn w:val="1"/>
    <w:next w:val="97"/>
    <w:qFormat/>
    <w:uiPriority w:val="0"/>
    <w:pPr>
      <w:keepNext/>
      <w:keepLines/>
      <w:spacing w:afterLines="100" w:line="360" w:lineRule="auto"/>
      <w:jc w:val="center"/>
    </w:pPr>
    <w:rPr>
      <w:rFonts w:ascii="Tahoma" w:hAnsi="Tahoma"/>
      <w:sz w:val="24"/>
    </w:rPr>
  </w:style>
  <w:style w:type="paragraph" w:customStyle="1" w:styleId="178">
    <w:name w:val="lgh排序1"/>
    <w:basedOn w:val="33"/>
    <w:qFormat/>
    <w:uiPriority w:val="0"/>
    <w:pPr>
      <w:tabs>
        <w:tab w:val="left" w:pos="360"/>
      </w:tabs>
      <w:spacing w:line="360" w:lineRule="auto"/>
      <w:ind w:firstLine="480" w:firstLineChars="200"/>
    </w:pPr>
    <w:rPr>
      <w:rFonts w:hAnsi="宋体"/>
      <w:sz w:val="24"/>
    </w:rPr>
  </w:style>
  <w:style w:type="paragraph" w:customStyle="1" w:styleId="179">
    <w:name w:val="Char21"/>
    <w:basedOn w:val="1"/>
    <w:qFormat/>
    <w:uiPriority w:val="0"/>
  </w:style>
  <w:style w:type="paragraph" w:customStyle="1" w:styleId="180">
    <w:name w:val="xl10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181">
    <w:name w:val="biaoti1"/>
    <w:basedOn w:val="1"/>
    <w:qFormat/>
    <w:uiPriority w:val="0"/>
    <w:pPr>
      <w:widowControl/>
      <w:spacing w:before="100" w:beforeAutospacing="1" w:after="100" w:afterAutospacing="1"/>
      <w:jc w:val="left"/>
    </w:pPr>
    <w:rPr>
      <w:rFonts w:ascii="宋体" w:hAnsi="宋体" w:cs="宋体"/>
      <w:kern w:val="0"/>
      <w:sz w:val="24"/>
    </w:rPr>
  </w:style>
  <w:style w:type="paragraph" w:customStyle="1" w:styleId="182">
    <w:name w:val="xl7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83">
    <w:name w:val="text_12_subject"/>
    <w:basedOn w:val="1"/>
    <w:qFormat/>
    <w:uiPriority w:val="0"/>
    <w:pPr>
      <w:widowControl/>
      <w:spacing w:before="100" w:beforeAutospacing="1" w:after="100" w:afterAutospacing="1"/>
      <w:jc w:val="left"/>
    </w:pPr>
    <w:rPr>
      <w:rFonts w:ascii="ˎ̥" w:hAnsi="ˎ̥" w:cs="宋体"/>
      <w:b/>
      <w:bCs/>
      <w:color w:val="006699"/>
      <w:kern w:val="0"/>
      <w:sz w:val="18"/>
      <w:szCs w:val="18"/>
    </w:rPr>
  </w:style>
  <w:style w:type="paragraph" w:customStyle="1" w:styleId="184">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85">
    <w:name w:val="style2"/>
    <w:basedOn w:val="1"/>
    <w:qFormat/>
    <w:uiPriority w:val="0"/>
    <w:pPr>
      <w:widowControl/>
      <w:spacing w:before="100" w:beforeAutospacing="1" w:after="100" w:afterAutospacing="1"/>
      <w:jc w:val="left"/>
    </w:pPr>
    <w:rPr>
      <w:rFonts w:ascii="宋体" w:hAnsi="宋体" w:cs="宋体"/>
      <w:kern w:val="0"/>
      <w:sz w:val="24"/>
    </w:rPr>
  </w:style>
  <w:style w:type="paragraph" w:customStyle="1" w:styleId="186">
    <w:name w:val="正文居中"/>
    <w:basedOn w:val="1"/>
    <w:next w:val="36"/>
    <w:qFormat/>
    <w:uiPriority w:val="0"/>
    <w:pPr>
      <w:adjustRightInd w:val="0"/>
      <w:snapToGrid w:val="0"/>
      <w:ind w:firstLine="480" w:firstLineChars="200"/>
    </w:pPr>
    <w:rPr>
      <w:rFonts w:ascii="宋体" w:hAnsi="宋体"/>
      <w:sz w:val="24"/>
    </w:rPr>
  </w:style>
  <w:style w:type="paragraph" w:customStyle="1" w:styleId="187">
    <w:name w:val="表格正文2"/>
    <w:basedOn w:val="1"/>
    <w:qFormat/>
    <w:uiPriority w:val="0"/>
    <w:pPr>
      <w:adjustRightInd w:val="0"/>
      <w:snapToGrid w:val="0"/>
      <w:spacing w:line="400" w:lineRule="atLeast"/>
      <w:jc w:val="left"/>
    </w:pPr>
    <w:rPr>
      <w:sz w:val="24"/>
      <w:szCs w:val="20"/>
    </w:rPr>
  </w:style>
  <w:style w:type="paragraph" w:customStyle="1" w:styleId="188">
    <w:name w:val="复选框1"/>
    <w:basedOn w:val="1"/>
    <w:qFormat/>
    <w:uiPriority w:val="0"/>
    <w:pPr>
      <w:widowControl/>
      <w:spacing w:before="360" w:after="360"/>
      <w:jc w:val="left"/>
    </w:pPr>
    <w:rPr>
      <w:kern w:val="0"/>
      <w:sz w:val="20"/>
      <w:szCs w:val="20"/>
    </w:rPr>
  </w:style>
  <w:style w:type="paragraph" w:customStyle="1" w:styleId="189">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90">
    <w:name w:val="xl47"/>
    <w:basedOn w:val="1"/>
    <w:qFormat/>
    <w:uiPriority w:val="0"/>
    <w:pPr>
      <w:widowControl/>
      <w:spacing w:before="100" w:beforeAutospacing="1" w:after="100" w:afterAutospacing="1"/>
      <w:jc w:val="left"/>
    </w:pPr>
    <w:rPr>
      <w:rFonts w:ascii="Arial Unicode MS" w:hAnsi="Arial Unicode MS" w:eastAsia="Arial Unicode MS" w:cs="Arial Unicode MS"/>
      <w:b/>
      <w:bCs/>
      <w:kern w:val="0"/>
      <w:sz w:val="32"/>
      <w:szCs w:val="32"/>
    </w:rPr>
  </w:style>
  <w:style w:type="paragraph" w:customStyle="1" w:styleId="191">
    <w:name w:val="样式4"/>
    <w:basedOn w:val="1"/>
    <w:qFormat/>
    <w:uiPriority w:val="0"/>
    <w:pPr>
      <w:tabs>
        <w:tab w:val="left" w:pos="420"/>
      </w:tabs>
      <w:spacing w:line="440" w:lineRule="exact"/>
      <w:ind w:left="420" w:hanging="420"/>
      <w:jc w:val="left"/>
    </w:pPr>
    <w:rPr>
      <w:rFonts w:eastAsia="楷体_GB2312"/>
      <w:b/>
      <w:sz w:val="24"/>
    </w:rPr>
  </w:style>
  <w:style w:type="paragraph" w:customStyle="1" w:styleId="192">
    <w:name w:val="样式 标题 1 + 段前: 0.5 行 段后: 0.5 行"/>
    <w:basedOn w:val="3"/>
    <w:qFormat/>
    <w:uiPriority w:val="0"/>
    <w:pPr>
      <w:pageBreakBefore/>
      <w:widowControl w:val="0"/>
      <w:tabs>
        <w:tab w:val="left" w:pos="840"/>
      </w:tabs>
      <w:spacing w:beforeLines="50" w:afterLines="50" w:line="480" w:lineRule="auto"/>
      <w:ind w:left="840" w:hanging="360"/>
    </w:pPr>
    <w:rPr>
      <w:rFonts w:eastAsia="黑体" w:cs="宋体"/>
      <w:b w:val="0"/>
      <w:szCs w:val="20"/>
    </w:rPr>
  </w:style>
  <w:style w:type="paragraph" w:customStyle="1" w:styleId="193">
    <w:name w:val="xl106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194">
    <w:name w:val="font9"/>
    <w:basedOn w:val="1"/>
    <w:qFormat/>
    <w:uiPriority w:val="0"/>
    <w:pPr>
      <w:widowControl/>
      <w:spacing w:before="100" w:beforeAutospacing="1" w:after="100" w:afterAutospacing="1"/>
      <w:jc w:val="left"/>
    </w:pPr>
    <w:rPr>
      <w:rFonts w:eastAsia="Arial Unicode MS"/>
      <w:b/>
      <w:bCs/>
      <w:kern w:val="0"/>
      <w:sz w:val="32"/>
      <w:szCs w:val="32"/>
    </w:rPr>
  </w:style>
  <w:style w:type="paragraph" w:customStyle="1" w:styleId="195">
    <w:name w:val="文档结构图1"/>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196">
    <w:name w:val="xl31"/>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197">
    <w:name w:val="Char Char Char1 Char"/>
    <w:basedOn w:val="20"/>
    <w:qFormat/>
    <w:uiPriority w:val="0"/>
    <w:pPr>
      <w:adjustRightInd w:val="0"/>
      <w:spacing w:line="436" w:lineRule="exact"/>
      <w:ind w:left="357"/>
      <w:jc w:val="left"/>
      <w:outlineLvl w:val="3"/>
    </w:pPr>
    <w:rPr>
      <w:kern w:val="0"/>
      <w:sz w:val="20"/>
      <w:szCs w:val="20"/>
    </w:rPr>
  </w:style>
  <w:style w:type="paragraph" w:customStyle="1" w:styleId="198">
    <w:name w:val="Body Text 21"/>
    <w:basedOn w:val="1"/>
    <w:qFormat/>
    <w:uiPriority w:val="0"/>
    <w:pPr>
      <w:adjustRightInd w:val="0"/>
      <w:spacing w:line="240" w:lineRule="exact"/>
      <w:textAlignment w:val="baseline"/>
    </w:pPr>
    <w:rPr>
      <w:rFonts w:ascii="宋体"/>
      <w:kern w:val="0"/>
      <w:sz w:val="18"/>
      <w:szCs w:val="20"/>
    </w:rPr>
  </w:style>
  <w:style w:type="paragraph" w:customStyle="1" w:styleId="199">
    <w:name w:val="xl10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200">
    <w:name w:val="样式 样式 标题 2 + 段前: 0.5 行 段后: 0.5 行2 + 段前: 0.5 行 段后: 0.5 行"/>
    <w:basedOn w:val="201"/>
    <w:qFormat/>
    <w:uiPriority w:val="0"/>
    <w:pPr>
      <w:tabs>
        <w:tab w:val="left" w:pos="1320"/>
      </w:tabs>
    </w:pPr>
    <w:rPr>
      <w:b w:val="0"/>
    </w:rPr>
  </w:style>
  <w:style w:type="paragraph" w:customStyle="1" w:styleId="201">
    <w:name w:val="样式 标题 2 + 段前: 0.5 行 段后: 0.5 行2"/>
    <w:basedOn w:val="4"/>
    <w:qFormat/>
    <w:uiPriority w:val="0"/>
    <w:pPr>
      <w:tabs>
        <w:tab w:val="left" w:pos="1320"/>
      </w:tabs>
      <w:spacing w:beforeLines="50" w:afterLines="50" w:line="360" w:lineRule="auto"/>
      <w:jc w:val="left"/>
    </w:pPr>
    <w:rPr>
      <w:rFonts w:cs="宋体"/>
      <w:sz w:val="36"/>
      <w:szCs w:val="20"/>
    </w:rPr>
  </w:style>
  <w:style w:type="paragraph" w:customStyle="1" w:styleId="202">
    <w:name w:val="正文文本 21"/>
    <w:basedOn w:val="1"/>
    <w:qFormat/>
    <w:uiPriority w:val="0"/>
    <w:pPr>
      <w:adjustRightInd w:val="0"/>
      <w:spacing w:line="312" w:lineRule="atLeast"/>
      <w:ind w:firstLine="600"/>
      <w:textAlignment w:val="baseline"/>
    </w:pPr>
    <w:rPr>
      <w:rFonts w:ascii="宋体"/>
      <w:kern w:val="0"/>
      <w:sz w:val="28"/>
      <w:szCs w:val="20"/>
    </w:rPr>
  </w:style>
  <w:style w:type="paragraph" w:customStyle="1" w:styleId="203">
    <w:name w:val="Char2"/>
    <w:basedOn w:val="1"/>
    <w:qFormat/>
    <w:uiPriority w:val="0"/>
    <w:pPr>
      <w:jc w:val="center"/>
    </w:pPr>
    <w:rPr>
      <w:rFonts w:ascii="宋体" w:hAnsi="宋体"/>
      <w:b/>
      <w:szCs w:val="21"/>
    </w:rPr>
  </w:style>
  <w:style w:type="paragraph" w:customStyle="1" w:styleId="20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5">
    <w:name w:val="英文标号正文"/>
    <w:basedOn w:val="1"/>
    <w:qFormat/>
    <w:uiPriority w:val="0"/>
    <w:pPr>
      <w:widowControl/>
      <w:tabs>
        <w:tab w:val="left" w:pos="425"/>
        <w:tab w:val="left" w:pos="1620"/>
      </w:tabs>
      <w:autoSpaceDE w:val="0"/>
      <w:autoSpaceDN w:val="0"/>
      <w:ind w:left="1620" w:leftChars="600" w:hanging="360" w:hangingChars="200"/>
    </w:pPr>
    <w:rPr>
      <w:kern w:val="0"/>
      <w:sz w:val="24"/>
      <w:szCs w:val="20"/>
    </w:rPr>
  </w:style>
  <w:style w:type="paragraph" w:customStyle="1" w:styleId="206">
    <w:name w:val="xl91"/>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207">
    <w:name w:val="font0"/>
    <w:basedOn w:val="1"/>
    <w:qFormat/>
    <w:uiPriority w:val="0"/>
    <w:pPr>
      <w:widowControl/>
      <w:spacing w:before="100" w:beforeAutospacing="1" w:after="100" w:afterAutospacing="1"/>
      <w:jc w:val="left"/>
    </w:pPr>
    <w:rPr>
      <w:rFonts w:ascii="宋体" w:hAnsi="宋体" w:cs="Arial Unicode MS"/>
      <w:kern w:val="0"/>
      <w:sz w:val="24"/>
    </w:rPr>
  </w:style>
  <w:style w:type="paragraph" w:customStyle="1" w:styleId="208">
    <w:name w:val="xl10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9">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10">
    <w:name w:val="xl10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11">
    <w:name w:val="样式 标题 3H3h3h31第二层条3Bold Headbh章标题1小标题level_3PIM 3Lev..."/>
    <w:basedOn w:val="5"/>
    <w:qFormat/>
    <w:uiPriority w:val="0"/>
    <w:pPr>
      <w:tabs>
        <w:tab w:val="left" w:pos="1931"/>
      </w:tabs>
      <w:spacing w:before="156" w:after="156" w:line="360" w:lineRule="auto"/>
      <w:ind w:left="1418" w:hanging="567"/>
    </w:pPr>
    <w:rPr>
      <w:rFonts w:eastAsia="楷体_GB2312" w:cs="宋体"/>
      <w:sz w:val="44"/>
      <w:szCs w:val="20"/>
    </w:rPr>
  </w:style>
  <w:style w:type="paragraph" w:customStyle="1" w:styleId="212">
    <w:name w:val="样式 标题 4 + 段前: 0.5 行 段后: 0.5 行1"/>
    <w:basedOn w:val="6"/>
    <w:qFormat/>
    <w:uiPriority w:val="0"/>
    <w:pPr>
      <w:tabs>
        <w:tab w:val="left" w:pos="864"/>
      </w:tabs>
      <w:autoSpaceDE w:val="0"/>
      <w:spacing w:beforeLines="50" w:afterLines="50" w:line="360" w:lineRule="auto"/>
      <w:ind w:left="864" w:hanging="864"/>
    </w:pPr>
    <w:rPr>
      <w:rFonts w:ascii="仿宋_GB2312" w:eastAsia="仿宋_GB2312" w:cs="宋体"/>
      <w:sz w:val="30"/>
      <w:szCs w:val="20"/>
    </w:rPr>
  </w:style>
  <w:style w:type="paragraph" w:customStyle="1" w:styleId="2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8"/>
      <w:szCs w:val="28"/>
    </w:rPr>
  </w:style>
  <w:style w:type="paragraph" w:customStyle="1" w:styleId="21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215">
    <w:name w:val="font7"/>
    <w:basedOn w:val="1"/>
    <w:qFormat/>
    <w:uiPriority w:val="0"/>
    <w:pPr>
      <w:widowControl/>
      <w:spacing w:before="100" w:beforeAutospacing="1" w:after="100" w:afterAutospacing="1"/>
      <w:jc w:val="left"/>
    </w:pPr>
    <w:rPr>
      <w:rFonts w:ascii="宋体" w:hAnsi="宋体" w:cs="Arial Unicode MS"/>
      <w:kern w:val="0"/>
      <w:sz w:val="28"/>
      <w:szCs w:val="28"/>
    </w:rPr>
  </w:style>
  <w:style w:type="paragraph" w:customStyle="1" w:styleId="216">
    <w:name w:val="样式 标题 1H1Header1h1标题4L1bocLevel 1 Topic Heading标书1Secti..."/>
    <w:basedOn w:val="3"/>
    <w:qFormat/>
    <w:uiPriority w:val="0"/>
    <w:pPr>
      <w:pageBreakBefore/>
      <w:widowControl w:val="0"/>
      <w:tabs>
        <w:tab w:val="left" w:pos="425"/>
      </w:tabs>
      <w:spacing w:before="100" w:beforeAutospacing="1" w:afterLines="100" w:line="360" w:lineRule="auto"/>
      <w:ind w:left="425" w:hanging="425"/>
    </w:pPr>
    <w:rPr>
      <w:rFonts w:eastAsia="黑体" w:cs="宋体"/>
      <w:szCs w:val="20"/>
    </w:rPr>
  </w:style>
  <w:style w:type="paragraph" w:customStyle="1" w:styleId="217">
    <w:name w:val="Table Description"/>
    <w:next w:val="1"/>
    <w:qFormat/>
    <w:uiPriority w:val="0"/>
    <w:pPr>
      <w:keepNext/>
      <w:snapToGrid w:val="0"/>
      <w:spacing w:before="160" w:after="80"/>
      <w:ind w:left="1038"/>
      <w:jc w:val="center"/>
    </w:pPr>
    <w:rPr>
      <w:rFonts w:ascii="Arial" w:hAnsi="Arial" w:eastAsia="黑体" w:cs="Times New Roman"/>
      <w:sz w:val="18"/>
      <w:lang w:val="en-US" w:eastAsia="zh-CN" w:bidi="ar-SA"/>
    </w:rPr>
  </w:style>
  <w:style w:type="paragraph" w:customStyle="1" w:styleId="218">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219">
    <w:name w:val="xl12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20">
    <w:name w:val="小四 段落 宋体 Char Char Char"/>
    <w:basedOn w:val="16"/>
    <w:qFormat/>
    <w:uiPriority w:val="0"/>
    <w:pPr>
      <w:tabs>
        <w:tab w:val="clear" w:pos="567"/>
      </w:tabs>
      <w:spacing w:line="360" w:lineRule="auto"/>
      <w:ind w:left="0" w:right="-33" w:firstLine="480" w:firstLineChars="200"/>
      <w:jc w:val="left"/>
    </w:pPr>
    <w:rPr>
      <w:rFonts w:ascii="Times New Roman" w:hAnsi="Times New Roman"/>
      <w:sz w:val="24"/>
      <w:szCs w:val="20"/>
    </w:rPr>
  </w:style>
  <w:style w:type="paragraph" w:customStyle="1" w:styleId="221">
    <w:name w:val="xl40"/>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22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3">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4">
    <w:name w:val="size12"/>
    <w:basedOn w:val="1"/>
    <w:qFormat/>
    <w:uiPriority w:val="0"/>
    <w:pPr>
      <w:widowControl/>
      <w:spacing w:before="100" w:beforeAutospacing="1" w:after="100" w:afterAutospacing="1" w:line="360" w:lineRule="auto"/>
      <w:jc w:val="left"/>
    </w:pPr>
    <w:rPr>
      <w:color w:val="000000"/>
      <w:kern w:val="0"/>
      <w:sz w:val="20"/>
      <w:szCs w:val="20"/>
    </w:rPr>
  </w:style>
  <w:style w:type="paragraph" w:customStyle="1" w:styleId="225">
    <w:name w:val="xl57"/>
    <w:basedOn w:val="1"/>
    <w:qFormat/>
    <w:uiPriority w:val="0"/>
    <w:pPr>
      <w:widowControl/>
      <w:pBdr>
        <w:top w:val="single" w:color="auto" w:sz="4" w:space="0"/>
        <w:bottom w:val="single" w:color="auto" w:sz="8"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226">
    <w:name w:val="xl10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27">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228">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229">
    <w:name w:val="xl10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230">
    <w:name w:val="xl6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231">
    <w:name w:val="样式 标题 2（x.x）节二级标题H2h2h212Header 2l2Level 2 HeadH2norm..."/>
    <w:basedOn w:val="4"/>
    <w:qFormat/>
    <w:uiPriority w:val="0"/>
    <w:pPr>
      <w:tabs>
        <w:tab w:val="left" w:pos="992"/>
      </w:tabs>
      <w:spacing w:before="100" w:beforeAutospacing="1"/>
      <w:ind w:left="992" w:hanging="567"/>
      <w:jc w:val="left"/>
    </w:pPr>
    <w:rPr>
      <w:rFonts w:eastAsia="楷体_GB2312" w:cs="宋体"/>
      <w:sz w:val="36"/>
      <w:szCs w:val="20"/>
    </w:rPr>
  </w:style>
  <w:style w:type="paragraph" w:customStyle="1" w:styleId="232">
    <w:name w:val="Document Map1"/>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233">
    <w:name w:val="xl1090"/>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234">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35">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36">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37">
    <w:name w:val="Absatz2AL"/>
    <w:basedOn w:val="26"/>
    <w:next w:val="1"/>
    <w:qFormat/>
    <w:uiPriority w:val="0"/>
    <w:pPr>
      <w:overflowPunct w:val="0"/>
      <w:autoSpaceDE w:val="0"/>
      <w:autoSpaceDN w:val="0"/>
      <w:adjustRightInd w:val="0"/>
      <w:jc w:val="both"/>
      <w:textAlignment w:val="baseline"/>
    </w:pPr>
    <w:rPr>
      <w:rFonts w:eastAsia="楷体_GB2312"/>
    </w:rPr>
  </w:style>
  <w:style w:type="paragraph" w:customStyle="1" w:styleId="238">
    <w:name w:val="Item Step in Table"/>
    <w:basedOn w:val="1"/>
    <w:qFormat/>
    <w:uiPriority w:val="0"/>
    <w:pPr>
      <w:tabs>
        <w:tab w:val="left" w:pos="420"/>
      </w:tabs>
      <w:ind w:left="420" w:hanging="420"/>
      <w:jc w:val="left"/>
    </w:pPr>
    <w:rPr>
      <w:rFonts w:ascii="Tahoma" w:hAnsi="Tahoma"/>
      <w:sz w:val="28"/>
      <w:szCs w:val="21"/>
    </w:rPr>
  </w:style>
  <w:style w:type="paragraph" w:customStyle="1" w:styleId="239">
    <w:name w:val="WPS Plain"/>
    <w:qFormat/>
    <w:uiPriority w:val="0"/>
    <w:rPr>
      <w:rFonts w:ascii="Times New Roman" w:hAnsi="Times New Roman" w:eastAsia="宋体" w:cs="Times New Roman"/>
      <w:lang w:val="en-US" w:eastAsia="zh-CN" w:bidi="ar-SA"/>
    </w:rPr>
  </w:style>
  <w:style w:type="paragraph" w:customStyle="1" w:styleId="240">
    <w:name w:val="xl120"/>
    <w:basedOn w:val="1"/>
    <w:qFormat/>
    <w:uiPriority w:val="0"/>
    <w:pPr>
      <w:widowControl/>
      <w:pBdr>
        <w:left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241">
    <w:name w:val="Char Char Char Char1"/>
    <w:basedOn w:val="1"/>
    <w:qFormat/>
    <w:uiPriority w:val="0"/>
    <w:rPr>
      <w:rFonts w:ascii="仿宋_GB2312" w:eastAsia="仿宋_GB2312"/>
      <w:b/>
      <w:sz w:val="32"/>
      <w:szCs w:val="32"/>
    </w:rPr>
  </w:style>
  <w:style w:type="paragraph" w:customStyle="1" w:styleId="242">
    <w:name w:val="样式 标题 3 + 段前: 0.5 行 段后: 0.5 行"/>
    <w:basedOn w:val="5"/>
    <w:qFormat/>
    <w:uiPriority w:val="0"/>
    <w:pPr>
      <w:tabs>
        <w:tab w:val="left" w:pos="720"/>
      </w:tabs>
      <w:spacing w:before="100" w:beforeAutospacing="1" w:after="100" w:afterAutospacing="1" w:line="360" w:lineRule="auto"/>
    </w:pPr>
    <w:rPr>
      <w:rFonts w:ascii="Arial" w:hAnsi="Arial" w:eastAsia="黑体" w:cs="宋体"/>
      <w:b w:val="0"/>
      <w:sz w:val="28"/>
      <w:szCs w:val="20"/>
    </w:rPr>
  </w:style>
  <w:style w:type="paragraph" w:customStyle="1" w:styleId="243">
    <w:name w:val="xl10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20"/>
      <w:szCs w:val="20"/>
    </w:rPr>
  </w:style>
  <w:style w:type="paragraph" w:customStyle="1" w:styleId="244">
    <w:name w:val="xl64"/>
    <w:basedOn w:val="1"/>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245">
    <w:name w:val="xl110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46">
    <w:name w:val="xl23"/>
    <w:basedOn w:val="1"/>
    <w:qFormat/>
    <w:uiPriority w:val="0"/>
    <w:pPr>
      <w:widowControl/>
      <w:spacing w:before="100" w:beforeAutospacing="1" w:after="100" w:afterAutospacing="1"/>
      <w:jc w:val="center"/>
    </w:pPr>
    <w:rPr>
      <w:rFonts w:eastAsia="Arial Unicode MS"/>
      <w:kern w:val="0"/>
      <w:szCs w:val="21"/>
    </w:rPr>
  </w:style>
  <w:style w:type="paragraph" w:customStyle="1" w:styleId="247">
    <w:name w:val="首行缩进:  2 字符2"/>
    <w:basedOn w:val="1"/>
    <w:qFormat/>
    <w:uiPriority w:val="0"/>
    <w:pPr>
      <w:adjustRightInd w:val="0"/>
      <w:snapToGrid w:val="0"/>
      <w:spacing w:line="360" w:lineRule="auto"/>
      <w:ind w:firstLine="480" w:firstLineChars="200"/>
    </w:pPr>
    <w:rPr>
      <w:rFonts w:ascii="宋体" w:hAnsi="宋体" w:cs="宋体"/>
      <w:sz w:val="24"/>
    </w:rPr>
  </w:style>
  <w:style w:type="paragraph" w:customStyle="1" w:styleId="248">
    <w:name w:val="CM3"/>
    <w:basedOn w:val="88"/>
    <w:next w:val="88"/>
    <w:qFormat/>
    <w:uiPriority w:val="0"/>
    <w:pPr>
      <w:spacing w:line="626" w:lineRule="atLeast"/>
    </w:pPr>
    <w:rPr>
      <w:rFonts w:ascii=".a..DD.." w:hAnsi="Times New Roman" w:eastAsia=".a..DD.." w:cs="Times New Roman"/>
      <w:color w:val="auto"/>
    </w:rPr>
  </w:style>
  <w:style w:type="paragraph" w:customStyle="1" w:styleId="249">
    <w:name w:val="xl108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50">
    <w:name w:val="Figure"/>
    <w:basedOn w:val="1"/>
    <w:next w:val="177"/>
    <w:qFormat/>
    <w:uiPriority w:val="0"/>
    <w:pPr>
      <w:keepNext/>
      <w:ind w:left="1701"/>
    </w:pPr>
  </w:style>
  <w:style w:type="paragraph" w:customStyle="1" w:styleId="251">
    <w:name w:val="项目编号一级"/>
    <w:basedOn w:val="1"/>
    <w:qFormat/>
    <w:uiPriority w:val="0"/>
    <w:pPr>
      <w:tabs>
        <w:tab w:val="left" w:pos="900"/>
      </w:tabs>
      <w:spacing w:line="360" w:lineRule="auto"/>
      <w:ind w:left="900" w:hanging="420"/>
    </w:pPr>
  </w:style>
  <w:style w:type="paragraph" w:customStyle="1" w:styleId="252">
    <w:name w:val="xl1097"/>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253">
    <w:name w:val="四级条标题"/>
    <w:basedOn w:val="254"/>
    <w:next w:val="1"/>
    <w:qFormat/>
    <w:uiPriority w:val="0"/>
    <w:pPr>
      <w:outlineLvl w:val="5"/>
    </w:pPr>
  </w:style>
  <w:style w:type="paragraph" w:customStyle="1" w:styleId="254">
    <w:name w:val="三级条标题"/>
    <w:basedOn w:val="255"/>
    <w:next w:val="1"/>
    <w:qFormat/>
    <w:uiPriority w:val="0"/>
    <w:pPr>
      <w:outlineLvl w:val="4"/>
    </w:pPr>
  </w:style>
  <w:style w:type="paragraph" w:customStyle="1" w:styleId="255">
    <w:name w:val="二级条标题"/>
    <w:basedOn w:val="129"/>
    <w:next w:val="1"/>
    <w:qFormat/>
    <w:uiPriority w:val="0"/>
    <w:pPr>
      <w:outlineLvl w:val="3"/>
    </w:pPr>
  </w:style>
  <w:style w:type="paragraph" w:customStyle="1" w:styleId="256">
    <w:name w:val="样式 标题 4 + 段前: 0.5 行 段后: 0.5 行"/>
    <w:basedOn w:val="6"/>
    <w:qFormat/>
    <w:uiPriority w:val="0"/>
    <w:pPr>
      <w:tabs>
        <w:tab w:val="left" w:pos="360"/>
        <w:tab w:val="left" w:pos="1620"/>
      </w:tabs>
      <w:spacing w:before="100" w:beforeAutospacing="1" w:after="100" w:afterAutospacing="1" w:line="360" w:lineRule="auto"/>
      <w:ind w:left="1620" w:leftChars="600" w:hanging="360" w:hangingChars="200"/>
    </w:pPr>
    <w:rPr>
      <w:rFonts w:cs="宋体"/>
      <w:b w:val="0"/>
      <w:sz w:val="24"/>
      <w:szCs w:val="20"/>
    </w:rPr>
  </w:style>
  <w:style w:type="paragraph" w:customStyle="1" w:styleId="257">
    <w:name w:val="font5"/>
    <w:basedOn w:val="1"/>
    <w:qFormat/>
    <w:uiPriority w:val="0"/>
    <w:pPr>
      <w:widowControl/>
      <w:spacing w:before="100" w:beforeAutospacing="1" w:after="100" w:afterAutospacing="1"/>
      <w:jc w:val="left"/>
    </w:pPr>
    <w:rPr>
      <w:rFonts w:ascii="宋体" w:hAnsi="宋体" w:cs="Arial Unicode MS"/>
      <w:kern w:val="0"/>
      <w:sz w:val="18"/>
      <w:szCs w:val="18"/>
    </w:rPr>
  </w:style>
  <w:style w:type="paragraph" w:customStyle="1" w:styleId="258">
    <w:name w:val="正文(单倍行距)"/>
    <w:basedOn w:val="1"/>
    <w:qFormat/>
    <w:uiPriority w:val="0"/>
    <w:pPr>
      <w:adjustRightInd w:val="0"/>
      <w:snapToGrid w:val="0"/>
      <w:jc w:val="center"/>
    </w:pPr>
  </w:style>
  <w:style w:type="paragraph" w:customStyle="1" w:styleId="259">
    <w:name w:val="xl44"/>
    <w:basedOn w:val="1"/>
    <w:qFormat/>
    <w:uiPriority w:val="0"/>
    <w:pPr>
      <w:widowControl/>
      <w:pBdr>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260">
    <w:name w:val="xl6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261">
    <w:name w:val="样式 首行缩进:  0.85 厘米 段前: 2.5 磅 段后: 6 磅 行距: 1.5 倍行距"/>
    <w:basedOn w:val="1"/>
    <w:qFormat/>
    <w:uiPriority w:val="0"/>
    <w:pPr>
      <w:spacing w:before="50" w:after="120" w:line="360" w:lineRule="auto"/>
      <w:ind w:firstLine="480"/>
    </w:pPr>
    <w:rPr>
      <w:rFonts w:cs="宋体"/>
      <w:sz w:val="24"/>
      <w:szCs w:val="20"/>
    </w:rPr>
  </w:style>
  <w:style w:type="paragraph" w:customStyle="1" w:styleId="262">
    <w:name w:val="Char Char Char Char"/>
    <w:basedOn w:val="1"/>
    <w:qFormat/>
    <w:uiPriority w:val="0"/>
    <w:pPr>
      <w:tabs>
        <w:tab w:val="left" w:pos="360"/>
      </w:tabs>
      <w:ind w:firstLine="420" w:firstLineChars="150"/>
    </w:pPr>
    <w:rPr>
      <w:rFonts w:ascii="Arial" w:hAnsi="Arial" w:cs="Arial"/>
      <w:sz w:val="20"/>
      <w:szCs w:val="20"/>
    </w:rPr>
  </w:style>
  <w:style w:type="paragraph" w:customStyle="1" w:styleId="263">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264">
    <w:name w:val="Item Step"/>
    <w:basedOn w:val="1"/>
    <w:qFormat/>
    <w:uiPriority w:val="0"/>
    <w:pPr>
      <w:widowControl/>
      <w:tabs>
        <w:tab w:val="left" w:pos="567"/>
      </w:tabs>
      <w:spacing w:afterLines="50"/>
      <w:ind w:left="987" w:hanging="420"/>
      <w:jc w:val="left"/>
    </w:pPr>
    <w:rPr>
      <w:rFonts w:ascii="Tahoma" w:hAnsi="Tahoma"/>
      <w:sz w:val="28"/>
      <w:szCs w:val="21"/>
    </w:rPr>
  </w:style>
  <w:style w:type="paragraph" w:customStyle="1" w:styleId="265">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66">
    <w:name w:val="xl10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67">
    <w:name w:val="large"/>
    <w:basedOn w:val="1"/>
    <w:qFormat/>
    <w:uiPriority w:val="0"/>
    <w:pPr>
      <w:widowControl/>
      <w:spacing w:before="100" w:beforeAutospacing="1" w:after="100" w:afterAutospacing="1" w:line="360" w:lineRule="atLeast"/>
      <w:ind w:firstLine="400"/>
      <w:jc w:val="left"/>
    </w:pPr>
    <w:rPr>
      <w:rFonts w:ascii="宋体" w:hAnsi="宋体" w:cs="宋体"/>
      <w:color w:val="808080"/>
      <w:kern w:val="0"/>
      <w:sz w:val="24"/>
    </w:rPr>
  </w:style>
  <w:style w:type="paragraph" w:customStyle="1" w:styleId="268">
    <w:name w:val="xl1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FF0000"/>
      <w:kern w:val="0"/>
      <w:sz w:val="20"/>
      <w:szCs w:val="20"/>
    </w:rPr>
  </w:style>
  <w:style w:type="paragraph" w:customStyle="1" w:styleId="269">
    <w:name w:val="章标题"/>
    <w:next w:val="1"/>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270">
    <w:name w:val="xl96"/>
    <w:basedOn w:val="1"/>
    <w:qFormat/>
    <w:uiPriority w:val="0"/>
    <w:pPr>
      <w:widowControl/>
      <w:pBdr>
        <w:right w:val="single" w:color="auto" w:sz="4" w:space="0"/>
      </w:pBdr>
      <w:shd w:val="clear" w:color="auto" w:fill="FFFF00"/>
      <w:spacing w:before="100" w:beforeAutospacing="1" w:after="100" w:afterAutospacing="1"/>
      <w:jc w:val="center"/>
    </w:pPr>
    <w:rPr>
      <w:rFonts w:ascii="宋体" w:hAnsi="宋体" w:cs="宋体"/>
      <w:kern w:val="0"/>
      <w:sz w:val="24"/>
    </w:rPr>
  </w:style>
  <w:style w:type="paragraph" w:customStyle="1" w:styleId="271">
    <w:name w:val="Char Char Char Char2"/>
    <w:basedOn w:val="1"/>
    <w:qFormat/>
    <w:uiPriority w:val="0"/>
    <w:pPr>
      <w:spacing w:line="360" w:lineRule="auto"/>
      <w:ind w:firstLine="200" w:firstLineChars="200"/>
      <w:jc w:val="left"/>
    </w:pPr>
    <w:rPr>
      <w:rFonts w:ascii="仿宋_GB2312" w:eastAsia="仿宋_GB2312"/>
      <w:b/>
      <w:sz w:val="32"/>
      <w:szCs w:val="32"/>
    </w:rPr>
  </w:style>
  <w:style w:type="paragraph" w:customStyle="1" w:styleId="272">
    <w:name w:val="Char11"/>
    <w:basedOn w:val="1"/>
    <w:qFormat/>
    <w:uiPriority w:val="0"/>
  </w:style>
  <w:style w:type="paragraph" w:customStyle="1" w:styleId="27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274">
    <w:name w:val="列表 21"/>
    <w:basedOn w:val="1"/>
    <w:qFormat/>
    <w:uiPriority w:val="0"/>
    <w:pPr>
      <w:ind w:left="100" w:leftChars="200" w:hanging="200" w:hangingChars="200"/>
    </w:pPr>
  </w:style>
  <w:style w:type="paragraph" w:customStyle="1" w:styleId="275">
    <w:name w:val="正文悬挂缩进6"/>
    <w:basedOn w:val="139"/>
    <w:qFormat/>
    <w:uiPriority w:val="0"/>
    <w:pPr>
      <w:tabs>
        <w:tab w:val="left" w:pos="1259"/>
      </w:tabs>
      <w:ind w:left="600" w:leftChars="600"/>
    </w:pPr>
  </w:style>
  <w:style w:type="paragraph" w:customStyle="1" w:styleId="276">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277">
    <w:name w:val="xl93"/>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78">
    <w:name w:val="1"/>
    <w:basedOn w:val="40"/>
    <w:qFormat/>
    <w:uiPriority w:val="0"/>
    <w:pPr>
      <w:pBdr>
        <w:bottom w:val="none" w:color="auto" w:sz="0" w:space="0"/>
      </w:pBdr>
    </w:pPr>
    <w:rPr>
      <w:rFonts w:ascii="Calibri" w:hAnsi="Calibri" w:eastAsia="华文新魏"/>
      <w:sz w:val="21"/>
      <w:szCs w:val="20"/>
    </w:rPr>
  </w:style>
  <w:style w:type="paragraph" w:customStyle="1" w:styleId="279">
    <w:name w:val="我的正文格式"/>
    <w:basedOn w:val="1"/>
    <w:next w:val="1"/>
    <w:qFormat/>
    <w:uiPriority w:val="0"/>
    <w:pPr>
      <w:snapToGrid w:val="0"/>
      <w:spacing w:line="288" w:lineRule="auto"/>
      <w:ind w:left="540" w:hanging="540" w:hangingChars="225"/>
    </w:pPr>
    <w:rPr>
      <w:sz w:val="24"/>
    </w:rPr>
  </w:style>
  <w:style w:type="paragraph" w:customStyle="1" w:styleId="280">
    <w:name w:val="版权所有"/>
    <w:basedOn w:val="1"/>
    <w:qFormat/>
    <w:uiPriority w:val="0"/>
    <w:pPr>
      <w:spacing w:beforeLines="100" w:afterLines="100" w:line="360" w:lineRule="auto"/>
    </w:pPr>
    <w:rPr>
      <w:rFonts w:ascii="Arial" w:hAnsi="Arial" w:eastAsia="黑体"/>
      <w:b/>
      <w:sz w:val="30"/>
      <w:u w:val="single"/>
    </w:rPr>
  </w:style>
  <w:style w:type="paragraph" w:customStyle="1" w:styleId="281">
    <w:name w:val="xl5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eastAsia="Arial Unicode MS"/>
      <w:kern w:val="0"/>
      <w:sz w:val="28"/>
      <w:szCs w:val="28"/>
    </w:rPr>
  </w:style>
  <w:style w:type="paragraph" w:customStyle="1" w:styleId="282">
    <w:name w:val="样式 标题 2 + 段前: 0.5 行 段后: 0.5 行1"/>
    <w:basedOn w:val="4"/>
    <w:qFormat/>
    <w:uiPriority w:val="0"/>
    <w:pPr>
      <w:tabs>
        <w:tab w:val="left" w:pos="576"/>
      </w:tabs>
      <w:spacing w:beforeLines="50" w:afterLines="50" w:line="360" w:lineRule="auto"/>
      <w:ind w:left="576" w:hanging="576"/>
      <w:jc w:val="left"/>
    </w:pPr>
    <w:rPr>
      <w:rFonts w:ascii="仿宋_GB2312" w:eastAsia="仿宋_GB2312" w:cs="宋体"/>
      <w:sz w:val="36"/>
      <w:szCs w:val="20"/>
    </w:rPr>
  </w:style>
  <w:style w:type="paragraph" w:customStyle="1" w:styleId="283">
    <w:name w:val="xl10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0"/>
      <w:szCs w:val="20"/>
    </w:rPr>
  </w:style>
  <w:style w:type="paragraph" w:customStyle="1" w:styleId="284">
    <w:name w:val="xl10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85">
    <w:name w:val="日期1"/>
    <w:basedOn w:val="1"/>
    <w:next w:val="1"/>
    <w:qFormat/>
    <w:uiPriority w:val="0"/>
    <w:pPr>
      <w:adjustRightInd w:val="0"/>
      <w:spacing w:line="360" w:lineRule="atLeast"/>
      <w:textAlignment w:val="baseline"/>
    </w:pPr>
    <w:rPr>
      <w:rFonts w:ascii="宋体"/>
      <w:kern w:val="0"/>
      <w:sz w:val="28"/>
      <w:szCs w:val="20"/>
    </w:rPr>
  </w:style>
  <w:style w:type="paragraph" w:customStyle="1" w:styleId="286">
    <w:name w:val="xl4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287">
    <w:name w:val="xl106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288">
    <w:name w:val="CM20"/>
    <w:basedOn w:val="88"/>
    <w:next w:val="88"/>
    <w:qFormat/>
    <w:uiPriority w:val="0"/>
    <w:pPr>
      <w:spacing w:after="115"/>
    </w:pPr>
    <w:rPr>
      <w:rFonts w:ascii=".a..DD.." w:hAnsi="Times New Roman" w:eastAsia=".a..DD.." w:cs="Times New Roman"/>
      <w:color w:val="auto"/>
    </w:rPr>
  </w:style>
  <w:style w:type="paragraph" w:customStyle="1" w:styleId="289">
    <w:name w:val="xl33"/>
    <w:basedOn w:val="1"/>
    <w:qFormat/>
    <w:uiPriority w:val="0"/>
    <w:pPr>
      <w:widowControl/>
      <w:pBdr>
        <w:top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290">
    <w:name w:val="样式 样式 标题 2 + 段前: 0.5 行 段后: 0.5 行 + 段前: 0.5 行 段后: 0.5 行"/>
    <w:basedOn w:val="157"/>
    <w:qFormat/>
    <w:uiPriority w:val="0"/>
    <w:pPr>
      <w:spacing w:beforeLines="0" w:beforeAutospacing="1" w:afterLines="0" w:afterAutospacing="1"/>
      <w:ind w:left="576" w:hanging="576"/>
    </w:pPr>
    <w:rPr>
      <w:bCs w:val="0"/>
    </w:rPr>
  </w:style>
  <w:style w:type="paragraph" w:customStyle="1" w:styleId="291">
    <w:name w:val="xl107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92">
    <w:name w:val="表格标题2"/>
    <w:basedOn w:val="1"/>
    <w:qFormat/>
    <w:uiPriority w:val="0"/>
    <w:pPr>
      <w:tabs>
        <w:tab w:val="left" w:pos="1620"/>
      </w:tabs>
      <w:adjustRightInd w:val="0"/>
      <w:spacing w:before="60" w:after="60"/>
      <w:ind w:left="1620" w:leftChars="600" w:hanging="360" w:hangingChars="200"/>
      <w:textAlignment w:val="bottom"/>
    </w:pPr>
    <w:rPr>
      <w:kern w:val="0"/>
      <w:szCs w:val="21"/>
    </w:rPr>
  </w:style>
  <w:style w:type="paragraph" w:customStyle="1" w:styleId="293">
    <w:name w:val="表文"/>
    <w:basedOn w:val="1"/>
    <w:qFormat/>
    <w:uiPriority w:val="0"/>
    <w:pPr>
      <w:spacing w:line="300" w:lineRule="auto"/>
      <w:jc w:val="center"/>
      <w:textAlignment w:val="baseline"/>
    </w:pPr>
    <w:rPr>
      <w:kern w:val="0"/>
      <w:szCs w:val="20"/>
    </w:rPr>
  </w:style>
  <w:style w:type="paragraph" w:customStyle="1" w:styleId="294">
    <w:name w:val="xl53"/>
    <w:basedOn w:val="1"/>
    <w:qFormat/>
    <w:uiPriority w:val="0"/>
    <w:pPr>
      <w:widowControl/>
      <w:pBdr>
        <w:left w:val="single" w:color="auto" w:sz="8" w:space="0"/>
        <w:bottom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295">
    <w:name w:val="Paragraphe 3"/>
    <w:qFormat/>
    <w:uiPriority w:val="0"/>
    <w:pPr>
      <w:keepLines/>
      <w:overflowPunct w:val="0"/>
      <w:autoSpaceDE w:val="0"/>
      <w:autoSpaceDN w:val="0"/>
      <w:adjustRightInd w:val="0"/>
      <w:spacing w:before="141"/>
      <w:ind w:left="980"/>
    </w:pPr>
    <w:rPr>
      <w:rFonts w:ascii="Tms Rmn" w:hAnsi="Tms Rmn" w:eastAsia="宋体" w:cs="Times New Roman"/>
      <w:b/>
      <w:color w:val="000000"/>
      <w:sz w:val="24"/>
      <w:u w:val="single"/>
      <w:lang w:val="en-US" w:eastAsia="en-US" w:bidi="ar-SA"/>
    </w:rPr>
  </w:style>
  <w:style w:type="paragraph" w:customStyle="1" w:styleId="296">
    <w:name w:val="样式1"/>
    <w:basedOn w:val="1"/>
    <w:qFormat/>
    <w:uiPriority w:val="0"/>
    <w:pPr>
      <w:keepNext/>
      <w:keepLines/>
      <w:tabs>
        <w:tab w:val="left" w:pos="839"/>
      </w:tabs>
      <w:spacing w:before="100" w:beforeAutospacing="1" w:after="100" w:afterAutospacing="1" w:line="360" w:lineRule="auto"/>
      <w:ind w:left="839" w:hanging="419"/>
      <w:outlineLvl w:val="1"/>
    </w:pPr>
    <w:rPr>
      <w:rFonts w:ascii="Arial" w:hAnsi="Arial" w:eastAsia="黑体" w:cs="宋体"/>
      <w:b/>
      <w:sz w:val="32"/>
      <w:szCs w:val="20"/>
    </w:rPr>
  </w:style>
  <w:style w:type="paragraph" w:customStyle="1" w:styleId="297">
    <w:name w:val="xl109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298">
    <w:name w:val="样式 样式 标题 5 + 段前: 0.5 行 段后: 0.5 行 + 段前: 0.5 行 段后: 0.5 行"/>
    <w:basedOn w:val="112"/>
    <w:qFormat/>
    <w:uiPriority w:val="0"/>
    <w:rPr>
      <w:bCs w:val="0"/>
    </w:rPr>
  </w:style>
  <w:style w:type="paragraph" w:customStyle="1" w:styleId="299">
    <w:name w:val="样式 标题 3H3h3h31第二层条3Bold Headbh章标题1小标题level_3PIM 3Lev...1"/>
    <w:basedOn w:val="5"/>
    <w:qFormat/>
    <w:uiPriority w:val="0"/>
    <w:pPr>
      <w:tabs>
        <w:tab w:val="left" w:pos="1740"/>
      </w:tabs>
      <w:spacing w:beforeLines="50" w:afterLines="50" w:line="360" w:lineRule="auto"/>
      <w:ind w:left="1740" w:hanging="420"/>
    </w:pPr>
    <w:rPr>
      <w:rFonts w:ascii="Arial" w:hAnsi="Arial" w:eastAsia="黑体" w:cs="宋体"/>
      <w:b w:val="0"/>
      <w:szCs w:val="20"/>
    </w:rPr>
  </w:style>
  <w:style w:type="paragraph" w:customStyle="1" w:styleId="300">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01">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02">
    <w:name w:val="_Style 38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3">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304">
    <w:name w:val="表格2"/>
    <w:basedOn w:val="1"/>
    <w:qFormat/>
    <w:uiPriority w:val="0"/>
    <w:pPr>
      <w:snapToGrid w:val="0"/>
      <w:jc w:val="center"/>
    </w:pPr>
    <w:rPr>
      <w:rFonts w:ascii="Arial" w:hAnsi="Arial" w:cs="Arial"/>
      <w:snapToGrid w:val="0"/>
      <w:kern w:val="0"/>
      <w:sz w:val="24"/>
    </w:rPr>
  </w:style>
  <w:style w:type="paragraph" w:customStyle="1" w:styleId="305">
    <w:name w:val="xl4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06">
    <w:name w:val="xl10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7">
    <w:name w:val="标题2"/>
    <w:basedOn w:val="1"/>
    <w:qFormat/>
    <w:uiPriority w:val="0"/>
    <w:pPr>
      <w:spacing w:beforeLines="50" w:afterLines="50" w:line="300" w:lineRule="exact"/>
    </w:pPr>
    <w:rPr>
      <w:b/>
      <w:bCs/>
    </w:rPr>
  </w:style>
  <w:style w:type="paragraph" w:customStyle="1" w:styleId="308">
    <w:name w:val="xl10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309">
    <w:name w:val="Normal1"/>
    <w:next w:val="1"/>
    <w:qFormat/>
    <w:uiPriority w:val="0"/>
    <w:pPr>
      <w:overflowPunct w:val="0"/>
      <w:autoSpaceDE w:val="0"/>
      <w:autoSpaceDN w:val="0"/>
      <w:adjustRightInd w:val="0"/>
      <w:textAlignment w:val="baseline"/>
    </w:pPr>
    <w:rPr>
      <w:rFonts w:ascii="Times" w:hAnsi="Times" w:eastAsia="宋体" w:cs="Times New Roman"/>
      <w:sz w:val="24"/>
      <w:lang w:val="en-US" w:eastAsia="zh-CN" w:bidi="ar-SA"/>
    </w:rPr>
  </w:style>
  <w:style w:type="paragraph" w:customStyle="1" w:styleId="310">
    <w:name w:val="xl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11">
    <w:name w:val="xl109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12">
    <w:name w:val="xl35"/>
    <w:basedOn w:val="1"/>
    <w:qFormat/>
    <w:uiPriority w:val="0"/>
    <w:pPr>
      <w:widowControl/>
      <w:pBdr>
        <w:top w:val="single" w:color="auto" w:sz="4" w:space="0"/>
        <w:bottom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13">
    <w:name w:val="xl60"/>
    <w:basedOn w:val="1"/>
    <w:qFormat/>
    <w:uiPriority w:val="0"/>
    <w:pPr>
      <w:widowControl/>
      <w:pBdr>
        <w:top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314">
    <w:name w:val="小四 段落 宋体 Char Char"/>
    <w:basedOn w:val="220"/>
    <w:qFormat/>
    <w:uiPriority w:val="0"/>
    <w:pPr>
      <w:tabs>
        <w:tab w:val="clear" w:pos="360"/>
        <w:tab w:val="clear" w:pos="840"/>
      </w:tabs>
    </w:pPr>
  </w:style>
  <w:style w:type="paragraph" w:customStyle="1" w:styleId="315">
    <w:name w:val="标书正文"/>
    <w:basedOn w:val="1"/>
    <w:qFormat/>
    <w:uiPriority w:val="0"/>
    <w:pPr>
      <w:spacing w:line="360" w:lineRule="auto"/>
      <w:ind w:firstLine="497" w:firstLineChars="207"/>
    </w:pPr>
    <w:rPr>
      <w:sz w:val="24"/>
      <w:szCs w:val="20"/>
    </w:rPr>
  </w:style>
  <w:style w:type="paragraph" w:customStyle="1" w:styleId="316">
    <w:name w:val="_Style 20"/>
    <w:basedOn w:val="1"/>
    <w:qFormat/>
    <w:uiPriority w:val="0"/>
    <w:rPr>
      <w:rFonts w:ascii="Tahoma" w:hAnsi="Tahoma"/>
      <w:sz w:val="24"/>
      <w:szCs w:val="20"/>
    </w:rPr>
  </w:style>
  <w:style w:type="paragraph" w:customStyle="1" w:styleId="317">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rPr>
  </w:style>
  <w:style w:type="paragraph" w:customStyle="1" w:styleId="318">
    <w:name w:val="四级无"/>
    <w:basedOn w:val="253"/>
    <w:qFormat/>
    <w:uiPriority w:val="0"/>
    <w:pPr>
      <w:tabs>
        <w:tab w:val="left" w:pos="360"/>
      </w:tabs>
      <w:spacing w:beforeLines="0" w:afterLines="0"/>
    </w:pPr>
    <w:rPr>
      <w:rFonts w:ascii="宋体" w:eastAsia="宋体"/>
    </w:rPr>
  </w:style>
  <w:style w:type="paragraph" w:customStyle="1" w:styleId="31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20">
    <w:name w:val="Char3"/>
    <w:basedOn w:val="1"/>
    <w:qFormat/>
    <w:uiPriority w:val="0"/>
    <w:rPr>
      <w:rFonts w:ascii="Tahoma" w:hAnsi="Tahoma" w:cs="仿宋_GB2312"/>
      <w:sz w:val="24"/>
      <w:szCs w:val="28"/>
    </w:rPr>
  </w:style>
  <w:style w:type="paragraph" w:customStyle="1" w:styleId="321">
    <w:name w:val="xl10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22">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23">
    <w:name w:val="xl10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24">
    <w:name w:val="xl6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325">
    <w:name w:val="样式 首行缩进:  2 字符2 + 居中"/>
    <w:basedOn w:val="247"/>
    <w:qFormat/>
    <w:uiPriority w:val="0"/>
    <w:pPr>
      <w:adjustRightInd/>
      <w:snapToGrid/>
      <w:ind w:firstLine="0" w:firstLineChars="0"/>
      <w:jc w:val="center"/>
    </w:pPr>
    <w:rPr>
      <w:sz w:val="28"/>
      <w:szCs w:val="20"/>
    </w:rPr>
  </w:style>
  <w:style w:type="paragraph" w:customStyle="1" w:styleId="326">
    <w:name w:val="xl118"/>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327">
    <w:name w:val="xl106"/>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328">
    <w:name w:val="xl9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29">
    <w:name w:val="±í¸ñÎÄ±¾"/>
    <w:basedOn w:val="1"/>
    <w:qFormat/>
    <w:uiPriority w:val="0"/>
    <w:pPr>
      <w:widowControl/>
      <w:tabs>
        <w:tab w:val="decimal" w:pos="0"/>
      </w:tabs>
      <w:overflowPunct w:val="0"/>
      <w:autoSpaceDE w:val="0"/>
      <w:autoSpaceDN w:val="0"/>
      <w:adjustRightInd w:val="0"/>
      <w:textAlignment w:val="baseline"/>
    </w:pPr>
    <w:rPr>
      <w:kern w:val="0"/>
      <w:sz w:val="24"/>
      <w:szCs w:val="20"/>
    </w:rPr>
  </w:style>
  <w:style w:type="paragraph" w:customStyle="1" w:styleId="330">
    <w:name w:val="Char Char Char Char Char Char Char1"/>
    <w:basedOn w:val="1"/>
    <w:qFormat/>
    <w:uiPriority w:val="0"/>
  </w:style>
  <w:style w:type="paragraph" w:customStyle="1" w:styleId="331">
    <w:name w:val="pa-13"/>
    <w:basedOn w:val="1"/>
    <w:qFormat/>
    <w:uiPriority w:val="0"/>
    <w:pPr>
      <w:widowControl/>
      <w:spacing w:line="240" w:lineRule="atLeast"/>
    </w:pPr>
    <w:rPr>
      <w:rFonts w:ascii="宋体" w:hAnsi="宋体" w:cs="宋体"/>
      <w:kern w:val="0"/>
      <w:sz w:val="24"/>
    </w:rPr>
  </w:style>
  <w:style w:type="paragraph" w:customStyle="1" w:styleId="332">
    <w:name w:val="xl1063"/>
    <w:basedOn w:val="1"/>
    <w:qFormat/>
    <w:uiPriority w:val="0"/>
    <w:pPr>
      <w:widowControl/>
      <w:spacing w:before="100" w:beforeAutospacing="1" w:after="100" w:afterAutospacing="1"/>
      <w:jc w:val="center"/>
    </w:pPr>
    <w:rPr>
      <w:rFonts w:ascii="宋体" w:hAnsi="宋体" w:cs="宋体"/>
      <w:b/>
      <w:bCs/>
      <w:kern w:val="0"/>
      <w:sz w:val="24"/>
    </w:rPr>
  </w:style>
  <w:style w:type="paragraph" w:customStyle="1" w:styleId="333">
    <w:name w:val="xl5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334">
    <w:name w:val="列出段落3"/>
    <w:basedOn w:val="1"/>
    <w:qFormat/>
    <w:uiPriority w:val="0"/>
    <w:pPr>
      <w:ind w:firstLine="420" w:firstLineChars="200"/>
    </w:pPr>
    <w:rPr>
      <w:szCs w:val="20"/>
    </w:rPr>
  </w:style>
  <w:style w:type="paragraph" w:customStyle="1" w:styleId="335">
    <w:name w:val="(1)"/>
    <w:basedOn w:val="1"/>
    <w:qFormat/>
    <w:uiPriority w:val="0"/>
    <w:pPr>
      <w:tabs>
        <w:tab w:val="left" w:pos="573"/>
      </w:tabs>
      <w:adjustRightInd w:val="0"/>
      <w:snapToGrid w:val="0"/>
      <w:spacing w:before="80" w:after="100" w:line="240" w:lineRule="atLeast"/>
      <w:textAlignment w:val="baseline"/>
    </w:pPr>
    <w:rPr>
      <w:rFonts w:ascii="Arial" w:hAnsi="Arial"/>
      <w:kern w:val="44"/>
      <w:sz w:val="24"/>
    </w:rPr>
  </w:style>
  <w:style w:type="paragraph" w:customStyle="1" w:styleId="336">
    <w:name w:val="目录"/>
    <w:basedOn w:val="1"/>
    <w:qFormat/>
    <w:uiPriority w:val="0"/>
    <w:pPr>
      <w:widowControl/>
      <w:jc w:val="center"/>
    </w:pPr>
    <w:rPr>
      <w:rFonts w:ascii="宋体"/>
      <w:b/>
      <w:kern w:val="0"/>
      <w:sz w:val="36"/>
      <w:szCs w:val="20"/>
    </w:rPr>
  </w:style>
  <w:style w:type="paragraph" w:customStyle="1" w:styleId="337">
    <w:name w:val="xl37"/>
    <w:basedOn w:val="1"/>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38">
    <w:name w:val="xl12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39">
    <w:name w:val="xl114"/>
    <w:basedOn w:val="1"/>
    <w:qFormat/>
    <w:uiPriority w:val="0"/>
    <w:pPr>
      <w:widowControl/>
      <w:pBdr>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340">
    <w:name w:val="xl52"/>
    <w:basedOn w:val="1"/>
    <w:qFormat/>
    <w:uiPriority w:val="0"/>
    <w:pPr>
      <w:widowControl/>
      <w:pBdr>
        <w:lef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41">
    <w:name w:val="三级无"/>
    <w:basedOn w:val="254"/>
    <w:qFormat/>
    <w:uiPriority w:val="0"/>
    <w:pPr>
      <w:spacing w:beforeLines="0" w:afterLines="0"/>
    </w:pPr>
    <w:rPr>
      <w:rFonts w:ascii="宋体" w:eastAsia="宋体"/>
    </w:rPr>
  </w:style>
  <w:style w:type="paragraph" w:customStyle="1" w:styleId="342">
    <w:name w:val="xl10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43">
    <w:name w:val="xl10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44">
    <w:name w:val="xl127"/>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5">
    <w:name w:val="xl10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4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47">
    <w:name w:val="xl63"/>
    <w:basedOn w:val="1"/>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348">
    <w:name w:val="xl2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349">
    <w:name w:val="表格1"/>
    <w:basedOn w:val="1"/>
    <w:qFormat/>
    <w:uiPriority w:val="0"/>
    <w:pPr>
      <w:tabs>
        <w:tab w:val="left" w:pos="203"/>
      </w:tabs>
      <w:spacing w:before="40" w:after="40"/>
      <w:jc w:val="center"/>
    </w:pPr>
    <w:rPr>
      <w:b/>
      <w:sz w:val="28"/>
      <w:szCs w:val="20"/>
    </w:rPr>
  </w:style>
  <w:style w:type="paragraph" w:customStyle="1" w:styleId="35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8"/>
      <w:szCs w:val="28"/>
    </w:rPr>
  </w:style>
  <w:style w:type="paragraph" w:customStyle="1" w:styleId="351">
    <w:name w:val="xl12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52">
    <w:name w:val="font8"/>
    <w:basedOn w:val="1"/>
    <w:qFormat/>
    <w:uiPriority w:val="0"/>
    <w:pPr>
      <w:widowControl/>
      <w:spacing w:before="100" w:beforeAutospacing="1" w:after="100" w:afterAutospacing="1"/>
      <w:jc w:val="left"/>
    </w:pPr>
    <w:rPr>
      <w:rFonts w:ascii="宋体" w:hAnsi="宋体" w:cs="Arial Unicode MS"/>
      <w:b/>
      <w:bCs/>
      <w:kern w:val="0"/>
      <w:sz w:val="32"/>
      <w:szCs w:val="32"/>
    </w:rPr>
  </w:style>
  <w:style w:type="paragraph" w:customStyle="1" w:styleId="353">
    <w:name w:val="List Paragraph"/>
    <w:basedOn w:val="1"/>
    <w:qFormat/>
    <w:uiPriority w:val="34"/>
    <w:pPr>
      <w:ind w:firstLine="420" w:firstLineChars="200"/>
    </w:pPr>
    <w:rPr>
      <w:rFonts w:ascii="宋体" w:hAnsi="宋体" w:cs="宋体"/>
      <w:bCs/>
      <w:color w:val="000000"/>
      <w:kern w:val="0"/>
      <w:sz w:val="24"/>
      <w:u w:val="single"/>
    </w:rPr>
  </w:style>
  <w:style w:type="paragraph" w:customStyle="1" w:styleId="354">
    <w:name w:val="xl1105"/>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55">
    <w:name w:val="xl107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356">
    <w:name w:val="Char Char Char"/>
    <w:basedOn w:val="1"/>
    <w:qFormat/>
    <w:uiPriority w:val="0"/>
    <w:rPr>
      <w:rFonts w:ascii="Tahoma" w:hAnsi="Tahoma" w:cs="Angsana New"/>
      <w:sz w:val="24"/>
      <w:szCs w:val="20"/>
    </w:rPr>
  </w:style>
  <w:style w:type="paragraph" w:customStyle="1" w:styleId="357">
    <w:name w:val="xl10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58">
    <w:name w:val="文档控制号等"/>
    <w:basedOn w:val="1"/>
    <w:qFormat/>
    <w:uiPriority w:val="0"/>
    <w:pPr>
      <w:spacing w:line="360" w:lineRule="auto"/>
      <w:jc w:val="left"/>
    </w:pPr>
  </w:style>
  <w:style w:type="paragraph" w:customStyle="1" w:styleId="359">
    <w:name w:val="xl2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60">
    <w:name w:val="xl6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361">
    <w:name w:val="书目11"/>
    <w:basedOn w:val="1"/>
    <w:next w:val="1"/>
    <w:unhideWhenUsed/>
    <w:qFormat/>
    <w:uiPriority w:val="37"/>
    <w:pPr>
      <w:spacing w:line="360" w:lineRule="auto"/>
      <w:ind w:firstLine="200" w:firstLineChars="200"/>
      <w:jc w:val="left"/>
    </w:pPr>
    <w:rPr>
      <w:sz w:val="24"/>
    </w:rPr>
  </w:style>
  <w:style w:type="paragraph" w:customStyle="1" w:styleId="362">
    <w:name w:val="模版正文"/>
    <w:basedOn w:val="1"/>
    <w:qFormat/>
    <w:uiPriority w:val="0"/>
    <w:pPr>
      <w:widowControl/>
      <w:adjustRightInd w:val="0"/>
      <w:snapToGrid w:val="0"/>
      <w:spacing w:line="440" w:lineRule="exact"/>
      <w:ind w:firstLine="200" w:firstLineChars="200"/>
      <w:jc w:val="left"/>
    </w:pPr>
    <w:rPr>
      <w:rFonts w:ascii="仿宋" w:hAnsi="仿宋" w:cs="宋体"/>
      <w:sz w:val="28"/>
      <w:szCs w:val="20"/>
    </w:rPr>
  </w:style>
  <w:style w:type="paragraph" w:customStyle="1" w:styleId="363">
    <w:name w:val="xl121"/>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364">
    <w:name w:val="样式 左  4 字符 首行缩进:  2 字符"/>
    <w:basedOn w:val="1"/>
    <w:qFormat/>
    <w:uiPriority w:val="0"/>
    <w:pPr>
      <w:spacing w:beforeLines="50" w:afterLines="50"/>
      <w:ind w:left="400" w:leftChars="400" w:firstLine="200" w:firstLineChars="200"/>
    </w:pPr>
    <w:rPr>
      <w:rFonts w:cs="宋体"/>
      <w:szCs w:val="20"/>
    </w:rPr>
  </w:style>
  <w:style w:type="paragraph" w:customStyle="1" w:styleId="365">
    <w:name w:val="xl88"/>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366">
    <w:name w:val="xl38"/>
    <w:basedOn w:val="1"/>
    <w:qFormat/>
    <w:uiPriority w:val="0"/>
    <w:pPr>
      <w:widowControl/>
      <w:pBdr>
        <w:top w:val="single" w:color="auto" w:sz="4" w:space="0"/>
        <w:bottom w:val="single" w:color="auto" w:sz="8"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67">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68">
    <w:name w:val="xl10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69">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szCs w:val="24"/>
      <w:lang w:val="en-US" w:eastAsia="zh-CN" w:bidi="ar-SA"/>
    </w:rPr>
  </w:style>
  <w:style w:type="paragraph" w:customStyle="1" w:styleId="370">
    <w:name w:val="default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71">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372">
    <w:name w:val="xl10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73">
    <w:name w:val="Item List Char"/>
    <w:qFormat/>
    <w:uiPriority w:val="0"/>
    <w:pPr>
      <w:tabs>
        <w:tab w:val="left" w:pos="360"/>
        <w:tab w:val="left" w:pos="2211"/>
      </w:tabs>
      <w:spacing w:line="300" w:lineRule="auto"/>
      <w:ind w:left="340" w:hanging="340"/>
      <w:jc w:val="both"/>
    </w:pPr>
    <w:rPr>
      <w:rFonts w:ascii="Arial" w:hAnsi="Arial" w:eastAsia="宋体" w:cs="Times New Roman"/>
      <w:sz w:val="21"/>
      <w:lang w:val="en-US" w:eastAsia="zh-CN" w:bidi="ar-SA"/>
    </w:rPr>
  </w:style>
  <w:style w:type="paragraph" w:customStyle="1" w:styleId="374">
    <w:name w:val="xl10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75">
    <w:name w:val="xl107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76">
    <w:name w:val="xl56"/>
    <w:basedOn w:val="1"/>
    <w:qFormat/>
    <w:uiPriority w:val="0"/>
    <w:pPr>
      <w:widowControl/>
      <w:pBdr>
        <w:top w:val="single" w:color="auto" w:sz="4" w:space="0"/>
        <w:left w:val="single" w:color="auto" w:sz="4" w:space="0"/>
        <w:bottom w:val="single" w:color="auto" w:sz="8"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377">
    <w:name w:val="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78">
    <w:name w:val="内文"/>
    <w:qFormat/>
    <w:uiPriority w:val="0"/>
    <w:pPr>
      <w:widowControl w:val="0"/>
      <w:autoSpaceDE w:val="0"/>
      <w:autoSpaceDN w:val="0"/>
      <w:adjustRightInd w:val="0"/>
      <w:jc w:val="both"/>
    </w:pPr>
    <w:rPr>
      <w:rFonts w:hint="eastAsia" w:ascii="宋体" w:hAnsi="Times New Roman" w:eastAsia="宋体" w:cs="Times New Roman"/>
      <w:color w:val="000000"/>
      <w:sz w:val="24"/>
      <w:lang w:val="en-US" w:eastAsia="zh-CN" w:bidi="ar-SA"/>
    </w:rPr>
  </w:style>
  <w:style w:type="paragraph" w:customStyle="1" w:styleId="379">
    <w:name w:val="标题1"/>
    <w:basedOn w:val="3"/>
    <w:qFormat/>
    <w:uiPriority w:val="0"/>
    <w:pPr>
      <w:widowControl w:val="0"/>
      <w:tabs>
        <w:tab w:val="left" w:pos="839"/>
      </w:tabs>
      <w:adjustRightInd w:val="0"/>
      <w:spacing w:before="0" w:after="0" w:line="360" w:lineRule="auto"/>
      <w:ind w:left="1276" w:hanging="425"/>
      <w:textAlignment w:val="baseline"/>
    </w:pPr>
    <w:rPr>
      <w:rFonts w:ascii="黑体" w:hAnsi="宋体" w:eastAsia="黑体"/>
      <w:bCs w:val="0"/>
      <w:kern w:val="11"/>
      <w:sz w:val="28"/>
      <w:szCs w:val="20"/>
    </w:rPr>
  </w:style>
  <w:style w:type="paragraph" w:customStyle="1" w:styleId="380">
    <w:name w:val="五级条标题"/>
    <w:basedOn w:val="253"/>
    <w:next w:val="1"/>
    <w:qFormat/>
    <w:uiPriority w:val="0"/>
    <w:pPr>
      <w:outlineLvl w:val="6"/>
    </w:pPr>
  </w:style>
  <w:style w:type="paragraph" w:customStyle="1" w:styleId="381">
    <w:name w:val="xl10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382">
    <w:name w:val="xl10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FF0000"/>
      <w:kern w:val="0"/>
      <w:sz w:val="20"/>
      <w:szCs w:val="20"/>
    </w:rPr>
  </w:style>
  <w:style w:type="paragraph" w:customStyle="1" w:styleId="383">
    <w:name w:val="font10"/>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384">
    <w:name w:val="tll"/>
    <w:basedOn w:val="1"/>
    <w:qFormat/>
    <w:uiPriority w:val="0"/>
    <w:pPr>
      <w:autoSpaceDE w:val="0"/>
      <w:autoSpaceDN w:val="0"/>
      <w:adjustRightInd w:val="0"/>
      <w:jc w:val="left"/>
      <w:textAlignment w:val="baseline"/>
    </w:pPr>
    <w:rPr>
      <w:rFonts w:ascii="仿宋_GB2312" w:hAnsi="Arial" w:eastAsia="仿宋_GB2312"/>
      <w:kern w:val="0"/>
      <w:szCs w:val="21"/>
    </w:rPr>
  </w:style>
  <w:style w:type="paragraph" w:customStyle="1" w:styleId="385">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MingLiU" w:hAnsi="MingLiU" w:eastAsia="MingLiU" w:cs="宋体"/>
      <w:kern w:val="0"/>
      <w:sz w:val="24"/>
    </w:rPr>
  </w:style>
  <w:style w:type="paragraph" w:customStyle="1" w:styleId="38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eastAsia="Arial Unicode MS"/>
      <w:kern w:val="0"/>
      <w:sz w:val="20"/>
      <w:szCs w:val="20"/>
    </w:rPr>
  </w:style>
  <w:style w:type="paragraph" w:customStyle="1" w:styleId="387">
    <w:name w:val="xl92"/>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38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b/>
      <w:bCs/>
      <w:kern w:val="0"/>
      <w:sz w:val="20"/>
      <w:szCs w:val="20"/>
    </w:rPr>
  </w:style>
  <w:style w:type="paragraph" w:customStyle="1" w:styleId="389">
    <w:name w:val="pa-10"/>
    <w:basedOn w:val="1"/>
    <w:qFormat/>
    <w:uiPriority w:val="0"/>
    <w:pPr>
      <w:widowControl/>
      <w:spacing w:line="280" w:lineRule="atLeast"/>
    </w:pPr>
    <w:rPr>
      <w:rFonts w:ascii="宋体" w:hAnsi="宋体" w:cs="宋体"/>
      <w:kern w:val="0"/>
      <w:sz w:val="24"/>
    </w:rPr>
  </w:style>
  <w:style w:type="paragraph" w:customStyle="1" w:styleId="390">
    <w:name w:val="TOC 标题1"/>
    <w:basedOn w:val="3"/>
    <w:next w:val="1"/>
    <w:qFormat/>
    <w:uiPriority w:val="39"/>
    <w:pPr>
      <w:tabs>
        <w:tab w:val="left" w:pos="1320"/>
        <w:tab w:val="left" w:pos="1740"/>
      </w:tabs>
      <w:spacing w:before="480" w:after="0" w:line="276" w:lineRule="auto"/>
      <w:outlineLvl w:val="9"/>
    </w:pPr>
    <w:rPr>
      <w:rFonts w:ascii="Cambria" w:hAnsi="Cambria"/>
      <w:color w:val="365F91"/>
      <w:kern w:val="0"/>
      <w:sz w:val="28"/>
      <w:szCs w:val="28"/>
    </w:rPr>
  </w:style>
  <w:style w:type="paragraph" w:customStyle="1" w:styleId="391">
    <w:name w:val="xl85"/>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92">
    <w:name w:val="xl1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393">
    <w:name w:val="xl11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94">
    <w:name w:val="表格标题3"/>
    <w:basedOn w:val="292"/>
    <w:qFormat/>
    <w:uiPriority w:val="0"/>
    <w:pPr>
      <w:tabs>
        <w:tab w:val="left" w:pos="570"/>
        <w:tab w:val="left" w:pos="720"/>
        <w:tab w:val="clear" w:pos="1620"/>
      </w:tabs>
      <w:ind w:left="570" w:hanging="570"/>
    </w:pPr>
  </w:style>
  <w:style w:type="paragraph" w:customStyle="1" w:styleId="395">
    <w:name w:val="xl1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396">
    <w:name w:val="xl1089"/>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97">
    <w:name w:val="xl12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98">
    <w:name w:val="xl32"/>
    <w:basedOn w:val="1"/>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99">
    <w:name w:val="xl7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400">
    <w:name w:val="二级无"/>
    <w:basedOn w:val="255"/>
    <w:qFormat/>
    <w:uiPriority w:val="0"/>
    <w:pPr>
      <w:spacing w:beforeLines="0" w:afterLines="0"/>
    </w:pPr>
    <w:rPr>
      <w:rFonts w:ascii="宋体" w:eastAsia="宋体"/>
    </w:rPr>
  </w:style>
  <w:style w:type="paragraph" w:customStyle="1" w:styleId="401">
    <w:name w:val="xl99"/>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02">
    <w:name w:val="xl34"/>
    <w:basedOn w:val="1"/>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03">
    <w:name w:val="xl109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04">
    <w:name w:val="xl1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05">
    <w:name w:val="xl10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06">
    <w:name w:val="节标题"/>
    <w:basedOn w:val="1"/>
    <w:qFormat/>
    <w:uiPriority w:val="0"/>
    <w:pPr>
      <w:widowControl/>
      <w:spacing w:line="289" w:lineRule="atLeast"/>
      <w:jc w:val="center"/>
      <w:textAlignment w:val="baseline"/>
    </w:pPr>
    <w:rPr>
      <w:color w:val="000000"/>
      <w:kern w:val="0"/>
      <w:sz w:val="28"/>
      <w:szCs w:val="20"/>
      <w:u w:val="none" w:color="000000"/>
    </w:rPr>
  </w:style>
  <w:style w:type="paragraph" w:customStyle="1" w:styleId="407">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408">
    <w:name w:val="xl10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409">
    <w:name w:val="xl48"/>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10">
    <w:name w:val="Char Char Char Char Char Char Char"/>
    <w:basedOn w:val="1"/>
    <w:qFormat/>
    <w:uiPriority w:val="0"/>
  </w:style>
  <w:style w:type="paragraph" w:customStyle="1" w:styleId="411">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412">
    <w:name w:val="Bullet 1"/>
    <w:qFormat/>
    <w:uiPriority w:val="0"/>
    <w:pPr>
      <w:widowControl w:val="0"/>
      <w:autoSpaceDE w:val="0"/>
      <w:autoSpaceDN w:val="0"/>
      <w:adjustRightInd w:val="0"/>
      <w:spacing w:line="288" w:lineRule="auto"/>
      <w:ind w:left="1026" w:hanging="425"/>
      <w:textAlignment w:val="baseline"/>
    </w:pPr>
    <w:rPr>
      <w:rFonts w:ascii="楷体" w:hAnsi="Times New Roman" w:eastAsia="楷体" w:cs="Times New Roman"/>
      <w:color w:val="000000"/>
      <w:spacing w:val="20"/>
      <w:sz w:val="24"/>
      <w:lang w:val="en-US" w:eastAsia="zh-CN" w:bidi="ar-SA"/>
    </w:rPr>
  </w:style>
  <w:style w:type="paragraph" w:customStyle="1" w:styleId="413">
    <w:name w:val="xl59"/>
    <w:basedOn w:val="1"/>
    <w:qFormat/>
    <w:uiPriority w:val="0"/>
    <w:pPr>
      <w:widowControl/>
      <w:pBdr>
        <w:top w:val="single" w:color="auto" w:sz="4" w:space="0"/>
        <w:left w:val="single" w:color="auto" w:sz="4" w:space="0"/>
        <w:bottom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414">
    <w:name w:val="xl5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415">
    <w:name w:val="xl107"/>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416">
    <w:name w:val="正文3号仿宋"/>
    <w:basedOn w:val="1"/>
    <w:link w:val="519"/>
    <w:qFormat/>
    <w:uiPriority w:val="0"/>
    <w:pPr>
      <w:adjustRightInd w:val="0"/>
      <w:spacing w:line="360" w:lineRule="auto"/>
      <w:ind w:firstLine="480" w:firstLineChars="200"/>
      <w:textAlignment w:val="baseline"/>
    </w:pPr>
    <w:rPr>
      <w:rFonts w:ascii="宋体" w:hAnsi="宋体"/>
      <w:kern w:val="0"/>
      <w:sz w:val="24"/>
    </w:rPr>
  </w:style>
  <w:style w:type="paragraph" w:customStyle="1" w:styleId="417">
    <w:name w:val="段落小标题"/>
    <w:basedOn w:val="1"/>
    <w:link w:val="520"/>
    <w:qFormat/>
    <w:uiPriority w:val="0"/>
    <w:pPr>
      <w:adjustRightInd w:val="0"/>
      <w:spacing w:line="360" w:lineRule="auto"/>
      <w:ind w:firstLine="510"/>
      <w:jc w:val="left"/>
      <w:textAlignment w:val="baseline"/>
    </w:pPr>
    <w:rPr>
      <w:rFonts w:ascii="仿宋" w:hAnsi="仿宋" w:eastAsia="仿宋"/>
      <w:b/>
      <w:kern w:val="0"/>
      <w:sz w:val="32"/>
      <w:szCs w:val="32"/>
    </w:rPr>
  </w:style>
  <w:style w:type="paragraph" w:customStyle="1" w:styleId="418">
    <w:name w:val="正文（缩进）"/>
    <w:basedOn w:val="1"/>
    <w:link w:val="521"/>
    <w:qFormat/>
    <w:uiPriority w:val="0"/>
    <w:pPr>
      <w:widowControl/>
      <w:spacing w:beforeLines="50" w:afterLines="50" w:line="360" w:lineRule="auto"/>
      <w:ind w:firstLine="480" w:firstLineChars="200"/>
      <w:jc w:val="left"/>
    </w:pPr>
    <w:rPr>
      <w:rFonts w:ascii="宋体" w:hAnsi="宋体"/>
      <w:kern w:val="0"/>
      <w:sz w:val="24"/>
    </w:rPr>
  </w:style>
  <w:style w:type="paragraph" w:customStyle="1" w:styleId="419">
    <w:name w:val="正文3"/>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420">
    <w:name w:val="纯文本3"/>
    <w:basedOn w:val="1"/>
    <w:qFormat/>
    <w:uiPriority w:val="0"/>
    <w:rPr>
      <w:rFonts w:ascii="宋体" w:hAnsi="Courier New"/>
      <w:kern w:val="0"/>
      <w:sz w:val="20"/>
      <w:szCs w:val="20"/>
    </w:rPr>
  </w:style>
  <w:style w:type="paragraph" w:customStyle="1" w:styleId="421">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422">
    <w:name w:val="标题 1 字符"/>
    <w:link w:val="3"/>
    <w:qFormat/>
    <w:uiPriority w:val="0"/>
    <w:rPr>
      <w:rFonts w:ascii="Times New Roman" w:hAnsi="Times New Roman" w:eastAsia="宋体" w:cs="Times New Roman"/>
      <w:b/>
      <w:bCs/>
      <w:kern w:val="44"/>
      <w:sz w:val="44"/>
      <w:szCs w:val="44"/>
    </w:rPr>
  </w:style>
  <w:style w:type="character" w:customStyle="1" w:styleId="423">
    <w:name w:val="标题 2 字符"/>
    <w:link w:val="4"/>
    <w:qFormat/>
    <w:uiPriority w:val="0"/>
    <w:rPr>
      <w:rFonts w:ascii="Arial" w:hAnsi="Arial" w:eastAsia="黑体" w:cs="Times New Roman"/>
      <w:b/>
      <w:bCs/>
      <w:sz w:val="32"/>
      <w:szCs w:val="32"/>
    </w:rPr>
  </w:style>
  <w:style w:type="character" w:customStyle="1" w:styleId="424">
    <w:name w:val="标题 3 字符"/>
    <w:link w:val="5"/>
    <w:qFormat/>
    <w:uiPriority w:val="0"/>
    <w:rPr>
      <w:rFonts w:ascii="Times New Roman" w:hAnsi="Times New Roman" w:eastAsia="宋体" w:cs="Times New Roman"/>
      <w:b/>
      <w:bCs/>
      <w:sz w:val="32"/>
      <w:szCs w:val="32"/>
    </w:rPr>
  </w:style>
  <w:style w:type="character" w:customStyle="1" w:styleId="425">
    <w:name w:val="标题 4 字符"/>
    <w:link w:val="6"/>
    <w:qFormat/>
    <w:uiPriority w:val="0"/>
    <w:rPr>
      <w:rFonts w:ascii="Arial" w:hAnsi="Arial" w:eastAsia="黑体" w:cs="Times New Roman"/>
      <w:b/>
      <w:bCs/>
      <w:sz w:val="28"/>
      <w:szCs w:val="28"/>
    </w:rPr>
  </w:style>
  <w:style w:type="character" w:customStyle="1" w:styleId="426">
    <w:name w:val="标题 5 字符"/>
    <w:basedOn w:val="62"/>
    <w:link w:val="7"/>
    <w:qFormat/>
    <w:uiPriority w:val="0"/>
    <w:rPr>
      <w:rFonts w:ascii="Calibri" w:hAnsi="Calibri"/>
      <w:b/>
      <w:bCs/>
      <w:kern w:val="2"/>
      <w:sz w:val="28"/>
      <w:szCs w:val="28"/>
    </w:rPr>
  </w:style>
  <w:style w:type="character" w:customStyle="1" w:styleId="427">
    <w:name w:val="标题 6 字符"/>
    <w:basedOn w:val="62"/>
    <w:link w:val="8"/>
    <w:qFormat/>
    <w:uiPriority w:val="0"/>
    <w:rPr>
      <w:rFonts w:ascii="Arial" w:hAnsi="Arial" w:eastAsia="黑体"/>
      <w:b/>
      <w:bCs/>
      <w:sz w:val="24"/>
      <w:szCs w:val="24"/>
    </w:rPr>
  </w:style>
  <w:style w:type="character" w:customStyle="1" w:styleId="428">
    <w:name w:val="标题 7 字符"/>
    <w:basedOn w:val="62"/>
    <w:link w:val="9"/>
    <w:qFormat/>
    <w:uiPriority w:val="0"/>
    <w:rPr>
      <w:b/>
      <w:bCs/>
      <w:sz w:val="24"/>
      <w:szCs w:val="24"/>
    </w:rPr>
  </w:style>
  <w:style w:type="character" w:customStyle="1" w:styleId="429">
    <w:name w:val="标题 8 字符"/>
    <w:basedOn w:val="62"/>
    <w:link w:val="10"/>
    <w:qFormat/>
    <w:uiPriority w:val="0"/>
    <w:rPr>
      <w:rFonts w:ascii="Arial" w:hAnsi="Arial" w:eastAsia="黑体"/>
      <w:sz w:val="24"/>
      <w:szCs w:val="24"/>
    </w:rPr>
  </w:style>
  <w:style w:type="character" w:customStyle="1" w:styleId="430">
    <w:name w:val="标题 9 字符"/>
    <w:basedOn w:val="62"/>
    <w:link w:val="11"/>
    <w:qFormat/>
    <w:uiPriority w:val="0"/>
    <w:rPr>
      <w:rFonts w:ascii="Arial" w:hAnsi="Arial" w:eastAsia="黑体"/>
      <w:sz w:val="21"/>
      <w:szCs w:val="21"/>
    </w:rPr>
  </w:style>
  <w:style w:type="character" w:customStyle="1" w:styleId="431">
    <w:name w:val="称呼 字符"/>
    <w:link w:val="22"/>
    <w:qFormat/>
    <w:uiPriority w:val="0"/>
    <w:rPr>
      <w:rFonts w:ascii="Times New Roman" w:hAnsi="Times New Roman" w:eastAsia="宋体" w:cs="Times New Roman"/>
      <w:szCs w:val="24"/>
    </w:rPr>
  </w:style>
  <w:style w:type="character" w:customStyle="1" w:styleId="432">
    <w:name w:val="正文缩进 字符"/>
    <w:basedOn w:val="62"/>
    <w:link w:val="2"/>
    <w:qFormat/>
    <w:uiPriority w:val="0"/>
  </w:style>
  <w:style w:type="character" w:customStyle="1" w:styleId="433">
    <w:name w:val="纯文本 Char1"/>
    <w:qFormat/>
    <w:uiPriority w:val="0"/>
    <w:rPr>
      <w:rFonts w:ascii="宋体" w:hAnsi="Courier New" w:eastAsia="宋体" w:cs="Courier New"/>
      <w:szCs w:val="21"/>
    </w:rPr>
  </w:style>
  <w:style w:type="character" w:customStyle="1" w:styleId="434">
    <w:name w:val="页脚 字符"/>
    <w:link w:val="39"/>
    <w:qFormat/>
    <w:uiPriority w:val="0"/>
    <w:rPr>
      <w:sz w:val="18"/>
      <w:szCs w:val="18"/>
    </w:rPr>
  </w:style>
  <w:style w:type="character" w:customStyle="1" w:styleId="435">
    <w:name w:val="HTML 预设格式 字符"/>
    <w:link w:val="52"/>
    <w:qFormat/>
    <w:uiPriority w:val="99"/>
    <w:rPr>
      <w:rFonts w:ascii="宋体" w:hAnsi="宋体" w:eastAsia="宋体" w:cs="宋体"/>
      <w:kern w:val="0"/>
      <w:sz w:val="24"/>
      <w:szCs w:val="24"/>
    </w:rPr>
  </w:style>
  <w:style w:type="character" w:customStyle="1" w:styleId="436">
    <w:name w:val="正文文本 字符"/>
    <w:link w:val="26"/>
    <w:qFormat/>
    <w:uiPriority w:val="0"/>
    <w:rPr>
      <w:rFonts w:ascii="Times New Roman" w:hAnsi="Times New Roman" w:eastAsia="宋体" w:cs="Times New Roman"/>
      <w:kern w:val="0"/>
      <w:sz w:val="24"/>
      <w:szCs w:val="20"/>
    </w:rPr>
  </w:style>
  <w:style w:type="character" w:customStyle="1" w:styleId="437">
    <w:name w:val="日期 Char"/>
    <w:qFormat/>
    <w:uiPriority w:val="0"/>
    <w:rPr>
      <w:rFonts w:ascii="仿宋体" w:eastAsia="仿宋体"/>
      <w:kern w:val="2"/>
      <w:sz w:val="24"/>
      <w:szCs w:val="24"/>
    </w:rPr>
  </w:style>
  <w:style w:type="character" w:customStyle="1" w:styleId="438">
    <w:name w:val="正文文本缩进 Char1"/>
    <w:qFormat/>
    <w:uiPriority w:val="0"/>
    <w:rPr>
      <w:rFonts w:ascii="Times New Roman" w:hAnsi="Times New Roman" w:eastAsia="宋体" w:cs="Times New Roman"/>
      <w:szCs w:val="24"/>
    </w:rPr>
  </w:style>
  <w:style w:type="character" w:customStyle="1" w:styleId="439">
    <w:name w:val="批注框文本 字符"/>
    <w:link w:val="38"/>
    <w:qFormat/>
    <w:uiPriority w:val="0"/>
    <w:rPr>
      <w:rFonts w:ascii="Times New Roman" w:hAnsi="Times New Roman" w:eastAsia="宋体" w:cs="Times New Roman"/>
      <w:sz w:val="18"/>
      <w:szCs w:val="18"/>
    </w:rPr>
  </w:style>
  <w:style w:type="character" w:customStyle="1" w:styleId="440">
    <w:name w:val="font11"/>
    <w:qFormat/>
    <w:uiPriority w:val="0"/>
    <w:rPr>
      <w:rFonts w:hint="eastAsia" w:ascii="仿宋_GB2312" w:eastAsia="仿宋_GB2312" w:cs="仿宋_GB2312"/>
      <w:color w:val="000000"/>
      <w:sz w:val="22"/>
      <w:szCs w:val="22"/>
      <w:u w:val="none"/>
    </w:rPr>
  </w:style>
  <w:style w:type="character" w:customStyle="1" w:styleId="441">
    <w:name w:val="批注主题 字符"/>
    <w:link w:val="56"/>
    <w:qFormat/>
    <w:uiPriority w:val="0"/>
    <w:rPr>
      <w:b/>
      <w:bCs/>
      <w:kern w:val="2"/>
      <w:sz w:val="21"/>
      <w:szCs w:val="24"/>
    </w:rPr>
  </w:style>
  <w:style w:type="character" w:customStyle="1" w:styleId="442">
    <w:name w:val="批注文字 字符"/>
    <w:link w:val="21"/>
    <w:qFormat/>
    <w:uiPriority w:val="0"/>
    <w:rPr>
      <w:kern w:val="2"/>
      <w:sz w:val="21"/>
      <w:szCs w:val="24"/>
    </w:rPr>
  </w:style>
  <w:style w:type="character" w:customStyle="1" w:styleId="443">
    <w:name w:val="正文缩进 Char1"/>
    <w:qFormat/>
    <w:uiPriority w:val="0"/>
    <w:rPr>
      <w:rFonts w:eastAsia="宋体"/>
      <w:kern w:val="2"/>
      <w:sz w:val="21"/>
      <w:szCs w:val="24"/>
      <w:lang w:val="en-US" w:eastAsia="zh-CN" w:bidi="ar-SA"/>
    </w:rPr>
  </w:style>
  <w:style w:type="character" w:customStyle="1" w:styleId="444">
    <w:name w:val="p31"/>
    <w:qFormat/>
    <w:uiPriority w:val="0"/>
    <w:rPr>
      <w:sz w:val="20"/>
      <w:szCs w:val="20"/>
    </w:rPr>
  </w:style>
  <w:style w:type="character" w:customStyle="1" w:styleId="445">
    <w:name w:val="结束语 字符"/>
    <w:link w:val="24"/>
    <w:qFormat/>
    <w:uiPriority w:val="0"/>
    <w:rPr>
      <w:rFonts w:ascii="Times New Roman" w:hAnsi="Times New Roman" w:eastAsia="宋体" w:cs="Times New Roman"/>
      <w:szCs w:val="24"/>
    </w:rPr>
  </w:style>
  <w:style w:type="character" w:customStyle="1" w:styleId="446">
    <w:name w:val="日期 Char1"/>
    <w:semiHidden/>
    <w:qFormat/>
    <w:uiPriority w:val="99"/>
    <w:rPr>
      <w:rFonts w:ascii="Times New Roman" w:hAnsi="Times New Roman" w:eastAsia="宋体" w:cs="Times New Roman"/>
      <w:szCs w:val="24"/>
    </w:rPr>
  </w:style>
  <w:style w:type="character" w:customStyle="1" w:styleId="447">
    <w:name w:val="纯文本 字符"/>
    <w:link w:val="33"/>
    <w:qFormat/>
    <w:uiPriority w:val="0"/>
    <w:rPr>
      <w:rFonts w:ascii="宋体" w:hAnsi="Courier New"/>
    </w:rPr>
  </w:style>
  <w:style w:type="character" w:customStyle="1" w:styleId="448">
    <w:name w:val="apple-converted-space"/>
    <w:qFormat/>
    <w:uiPriority w:val="0"/>
  </w:style>
  <w:style w:type="character" w:customStyle="1" w:styleId="449">
    <w:name w:val="日期 字符"/>
    <w:link w:val="35"/>
    <w:qFormat/>
    <w:uiPriority w:val="0"/>
    <w:rPr>
      <w:szCs w:val="24"/>
    </w:rPr>
  </w:style>
  <w:style w:type="character" w:customStyle="1" w:styleId="450">
    <w:name w:val="纯文本 Char"/>
    <w:qFormat/>
    <w:uiPriority w:val="0"/>
    <w:rPr>
      <w:rFonts w:ascii="宋体" w:hAnsi="Courier New" w:eastAsia="宋体" w:cs="Courier New"/>
      <w:kern w:val="2"/>
      <w:sz w:val="21"/>
      <w:szCs w:val="21"/>
      <w:lang w:val="en-US" w:eastAsia="zh-CN" w:bidi="ar-SA"/>
    </w:rPr>
  </w:style>
  <w:style w:type="character" w:customStyle="1" w:styleId="451">
    <w:name w:val="页眉 字符"/>
    <w:link w:val="40"/>
    <w:qFormat/>
    <w:uiPriority w:val="99"/>
    <w:rPr>
      <w:sz w:val="18"/>
      <w:szCs w:val="18"/>
    </w:rPr>
  </w:style>
  <w:style w:type="character" w:customStyle="1" w:styleId="452">
    <w:name w:val="hei"/>
    <w:basedOn w:val="62"/>
    <w:qFormat/>
    <w:uiPriority w:val="0"/>
  </w:style>
  <w:style w:type="character" w:customStyle="1" w:styleId="453">
    <w:name w:val="正文文本缩进 2 字符"/>
    <w:link w:val="36"/>
    <w:qFormat/>
    <w:uiPriority w:val="0"/>
    <w:rPr>
      <w:rFonts w:ascii="Times New Roman" w:hAnsi="Times New Roman" w:eastAsia="宋体" w:cs="Times New Roman"/>
      <w:b/>
      <w:sz w:val="24"/>
      <w:szCs w:val="24"/>
    </w:rPr>
  </w:style>
  <w:style w:type="character" w:customStyle="1" w:styleId="454">
    <w:name w:val="正文文本缩进 字符"/>
    <w:link w:val="27"/>
    <w:qFormat/>
    <w:uiPriority w:val="99"/>
    <w:rPr>
      <w:szCs w:val="24"/>
    </w:rPr>
  </w:style>
  <w:style w:type="character" w:customStyle="1" w:styleId="455">
    <w:name w:val="列出段落 Char"/>
    <w:link w:val="72"/>
    <w:qFormat/>
    <w:locked/>
    <w:uiPriority w:val="34"/>
    <w:rPr>
      <w:kern w:val="2"/>
      <w:sz w:val="21"/>
      <w:szCs w:val="24"/>
    </w:rPr>
  </w:style>
  <w:style w:type="character" w:customStyle="1" w:styleId="456">
    <w:name w:val="普通(网站) 字符"/>
    <w:link w:val="53"/>
    <w:qFormat/>
    <w:uiPriority w:val="99"/>
    <w:rPr>
      <w:rFonts w:ascii="宋体" w:hAnsi="宋体" w:cs="宋体"/>
      <w:sz w:val="24"/>
      <w:szCs w:val="24"/>
    </w:rPr>
  </w:style>
  <w:style w:type="character" w:customStyle="1" w:styleId="457">
    <w:name w:val="line14pj"/>
    <w:basedOn w:val="62"/>
    <w:qFormat/>
    <w:uiPriority w:val="0"/>
  </w:style>
  <w:style w:type="character" w:customStyle="1" w:styleId="458">
    <w:name w:val="正文文本 2 Char"/>
    <w:qFormat/>
    <w:uiPriority w:val="0"/>
    <w:rPr>
      <w:rFonts w:ascii="宋体" w:hAnsi="宋体"/>
      <w:kern w:val="2"/>
      <w:sz w:val="24"/>
      <w:szCs w:val="24"/>
    </w:rPr>
  </w:style>
  <w:style w:type="character" w:customStyle="1" w:styleId="459">
    <w:name w:val="正文文本缩进 Char2"/>
    <w:qFormat/>
    <w:uiPriority w:val="0"/>
    <w:rPr>
      <w:rFonts w:ascii="宋体"/>
      <w:color w:val="000000"/>
      <w:sz w:val="32"/>
      <w:szCs w:val="32"/>
    </w:rPr>
  </w:style>
  <w:style w:type="character" w:customStyle="1" w:styleId="460">
    <w:name w:val="3zw1"/>
    <w:qFormat/>
    <w:uiPriority w:val="0"/>
    <w:rPr>
      <w:color w:val="000000"/>
      <w:sz w:val="21"/>
      <w:szCs w:val="21"/>
    </w:rPr>
  </w:style>
  <w:style w:type="character" w:customStyle="1" w:styleId="461">
    <w:name w:val="font101"/>
    <w:qFormat/>
    <w:uiPriority w:val="0"/>
    <w:rPr>
      <w:rFonts w:hint="eastAsia" w:ascii="宋体" w:hAnsi="宋体" w:eastAsia="宋体"/>
      <w:color w:val="000000"/>
      <w:sz w:val="20"/>
      <w:szCs w:val="20"/>
      <w:u w:val="none"/>
    </w:rPr>
  </w:style>
  <w:style w:type="character" w:customStyle="1" w:styleId="462">
    <w:name w:val="批注框文本 Char1"/>
    <w:qFormat/>
    <w:locked/>
    <w:uiPriority w:val="0"/>
    <w:rPr>
      <w:kern w:val="2"/>
      <w:sz w:val="18"/>
      <w:szCs w:val="18"/>
    </w:rPr>
  </w:style>
  <w:style w:type="character" w:customStyle="1" w:styleId="463">
    <w:name w:val="正文首行缩进 2 Char"/>
    <w:qFormat/>
    <w:uiPriority w:val="0"/>
    <w:rPr>
      <w:rFonts w:ascii="仿宋_GB2312" w:eastAsia="仿宋_GB2312"/>
      <w:color w:val="000000"/>
      <w:sz w:val="24"/>
      <w:szCs w:val="24"/>
    </w:rPr>
  </w:style>
  <w:style w:type="character" w:customStyle="1" w:styleId="464">
    <w:name w:val="hang1"/>
    <w:basedOn w:val="62"/>
    <w:qFormat/>
    <w:uiPriority w:val="0"/>
  </w:style>
  <w:style w:type="character" w:customStyle="1" w:styleId="465">
    <w:name w:val="param-name"/>
    <w:qFormat/>
    <w:uiPriority w:val="0"/>
  </w:style>
  <w:style w:type="character" w:customStyle="1" w:styleId="466">
    <w:name w:val="font21"/>
    <w:qFormat/>
    <w:uiPriority w:val="0"/>
    <w:rPr>
      <w:rFonts w:hint="eastAsia" w:ascii="宋体" w:hAnsi="宋体" w:eastAsia="宋体" w:cs="宋体"/>
      <w:color w:val="000000"/>
      <w:sz w:val="24"/>
      <w:szCs w:val="24"/>
      <w:u w:val="none"/>
    </w:rPr>
  </w:style>
  <w:style w:type="character" w:customStyle="1" w:styleId="467">
    <w:name w:val="正文文本 Char2"/>
    <w:qFormat/>
    <w:uiPriority w:val="0"/>
    <w:rPr>
      <w:rFonts w:ascii="宋体"/>
      <w:color w:val="000000"/>
      <w:sz w:val="28"/>
      <w:szCs w:val="32"/>
    </w:rPr>
  </w:style>
  <w:style w:type="character" w:customStyle="1" w:styleId="468">
    <w:name w:val="段 Char"/>
    <w:link w:val="94"/>
    <w:qFormat/>
    <w:locked/>
    <w:uiPriority w:val="0"/>
    <w:rPr>
      <w:rFonts w:ascii="宋体" w:hAnsi="宋体"/>
      <w:kern w:val="2"/>
      <w:sz w:val="21"/>
      <w:szCs w:val="22"/>
      <w:lang w:val="en-US" w:eastAsia="zh-CN" w:bidi="ar-SA"/>
    </w:rPr>
  </w:style>
  <w:style w:type="character" w:customStyle="1" w:styleId="469">
    <w:name w:val="正文首行缩进 2 Char1"/>
    <w:basedOn w:val="438"/>
    <w:qFormat/>
    <w:uiPriority w:val="0"/>
    <w:rPr>
      <w:rFonts w:ascii="楷体_GB2312" w:hAnsi="Times New Roman" w:eastAsia="楷体_GB2312" w:cs="Times New Roman"/>
      <w:kern w:val="2"/>
      <w:sz w:val="28"/>
      <w:szCs w:val="31"/>
    </w:rPr>
  </w:style>
  <w:style w:type="character" w:customStyle="1" w:styleId="470">
    <w:name w:val="正文文本 Char1"/>
    <w:qFormat/>
    <w:uiPriority w:val="0"/>
    <w:rPr>
      <w:rFonts w:ascii="楷体_GB2312" w:eastAsia="楷体_GB2312"/>
      <w:kern w:val="2"/>
      <w:sz w:val="28"/>
    </w:rPr>
  </w:style>
  <w:style w:type="character" w:customStyle="1" w:styleId="471">
    <w:name w:val="contentheaderrev1"/>
    <w:qFormat/>
    <w:uiPriority w:val="0"/>
    <w:rPr>
      <w:rFonts w:hint="default" w:ascii="Arial" w:hAnsi="Arial" w:cs="Arial"/>
      <w:b/>
      <w:bCs/>
      <w:color w:val="FFFFFF"/>
      <w:sz w:val="18"/>
      <w:szCs w:val="18"/>
      <w:u w:val="none"/>
    </w:rPr>
  </w:style>
  <w:style w:type="character" w:customStyle="1" w:styleId="472">
    <w:name w:val="text_12_black1"/>
    <w:qFormat/>
    <w:uiPriority w:val="0"/>
    <w:rPr>
      <w:rFonts w:hint="default" w:ascii="ˎ̥" w:hAnsi="ˎ̥"/>
      <w:color w:val="333333"/>
      <w:sz w:val="18"/>
      <w:szCs w:val="18"/>
      <w:u w:val="none"/>
    </w:rPr>
  </w:style>
  <w:style w:type="character" w:customStyle="1" w:styleId="473">
    <w:name w:val="font51"/>
    <w:qFormat/>
    <w:uiPriority w:val="0"/>
    <w:rPr>
      <w:rFonts w:hint="eastAsia" w:ascii="宋体" w:hAnsi="宋体" w:eastAsia="宋体"/>
      <w:b/>
      <w:bCs/>
      <w:color w:val="000000"/>
      <w:sz w:val="18"/>
      <w:szCs w:val="18"/>
      <w:u w:val="none"/>
    </w:rPr>
  </w:style>
  <w:style w:type="character" w:customStyle="1" w:styleId="474">
    <w:name w:val="副标题 Char1"/>
    <w:qFormat/>
    <w:uiPriority w:val="11"/>
    <w:rPr>
      <w:rFonts w:ascii="Cambria" w:hAnsi="Cambria" w:cs="Times New Roman"/>
      <w:b/>
      <w:bCs/>
      <w:kern w:val="28"/>
      <w:sz w:val="32"/>
      <w:szCs w:val="32"/>
    </w:rPr>
  </w:style>
  <w:style w:type="character" w:customStyle="1" w:styleId="475">
    <w:name w:val="unnamed11"/>
    <w:qFormat/>
    <w:uiPriority w:val="0"/>
    <w:rPr>
      <w:sz w:val="20"/>
      <w:szCs w:val="20"/>
    </w:rPr>
  </w:style>
  <w:style w:type="character" w:customStyle="1" w:styleId="476">
    <w:name w:val="ca-131"/>
    <w:qFormat/>
    <w:uiPriority w:val="0"/>
    <w:rPr>
      <w:rFonts w:hint="default" w:ascii="Times New Roman" w:hAnsi="Times New Roman" w:cs="Times New Roman"/>
      <w:sz w:val="21"/>
      <w:szCs w:val="21"/>
    </w:rPr>
  </w:style>
  <w:style w:type="character" w:customStyle="1" w:styleId="477">
    <w:name w:val="正文文本 3 Char"/>
    <w:qFormat/>
    <w:uiPriority w:val="0"/>
    <w:rPr>
      <w:sz w:val="16"/>
      <w:szCs w:val="16"/>
    </w:rPr>
  </w:style>
  <w:style w:type="character" w:customStyle="1" w:styleId="478">
    <w:name w:val="z71"/>
    <w:qFormat/>
    <w:uiPriority w:val="0"/>
    <w:rPr>
      <w:spacing w:val="300"/>
      <w:sz w:val="18"/>
      <w:szCs w:val="18"/>
    </w:rPr>
  </w:style>
  <w:style w:type="character" w:customStyle="1" w:styleId="479">
    <w:name w:val="副标题 Char"/>
    <w:qFormat/>
    <w:uiPriority w:val="0"/>
    <w:rPr>
      <w:rFonts w:ascii="Cambria" w:hAnsi="Cambria"/>
      <w:b/>
      <w:bCs/>
      <w:kern w:val="28"/>
      <w:sz w:val="32"/>
      <w:szCs w:val="32"/>
    </w:rPr>
  </w:style>
  <w:style w:type="character" w:customStyle="1" w:styleId="480">
    <w:name w:val="ca-231"/>
    <w:qFormat/>
    <w:uiPriority w:val="0"/>
    <w:rPr>
      <w:rFonts w:hint="eastAsia" w:ascii="宋体" w:hAnsi="宋体" w:eastAsia="宋体"/>
      <w:sz w:val="24"/>
      <w:szCs w:val="24"/>
    </w:rPr>
  </w:style>
  <w:style w:type="character" w:customStyle="1" w:styleId="481">
    <w:name w:val="ca-251"/>
    <w:qFormat/>
    <w:uiPriority w:val="0"/>
    <w:rPr>
      <w:rFonts w:hint="default" w:ascii="Times New Roman" w:hAnsi="Times New Roman" w:cs="Times New Roman"/>
      <w:sz w:val="24"/>
      <w:szCs w:val="24"/>
    </w:rPr>
  </w:style>
  <w:style w:type="character" w:customStyle="1" w:styleId="482">
    <w:name w:val="正文文本 3 Char1"/>
    <w:qFormat/>
    <w:uiPriority w:val="0"/>
    <w:rPr>
      <w:kern w:val="2"/>
      <w:sz w:val="16"/>
      <w:szCs w:val="16"/>
    </w:rPr>
  </w:style>
  <w:style w:type="character" w:customStyle="1" w:styleId="483">
    <w:name w:val="标题 3 Char1"/>
    <w:qFormat/>
    <w:uiPriority w:val="0"/>
    <w:rPr>
      <w:b/>
      <w:bCs/>
      <w:kern w:val="2"/>
      <w:sz w:val="32"/>
      <w:szCs w:val="32"/>
    </w:rPr>
  </w:style>
  <w:style w:type="character" w:customStyle="1" w:styleId="484">
    <w:name w:val="本级3 Char"/>
    <w:link w:val="95"/>
    <w:qFormat/>
    <w:uiPriority w:val="0"/>
    <w:rPr>
      <w:rFonts w:ascii="仿宋_GB2312" w:hAnsi="仿宋" w:eastAsia="仿宋_GB2312"/>
      <w:b/>
      <w:bCs/>
      <w:kern w:val="2"/>
      <w:sz w:val="32"/>
      <w:szCs w:val="24"/>
    </w:rPr>
  </w:style>
  <w:style w:type="character" w:customStyle="1" w:styleId="485">
    <w:name w:val="正文文本缩进 3 Char"/>
    <w:qFormat/>
    <w:locked/>
    <w:uiPriority w:val="0"/>
    <w:rPr>
      <w:rFonts w:ascii="幼圆" w:eastAsia="幼圆"/>
      <w:kern w:val="2"/>
      <w:sz w:val="24"/>
      <w:szCs w:val="32"/>
    </w:rPr>
  </w:style>
  <w:style w:type="character" w:customStyle="1" w:styleId="486">
    <w:name w:val="首行缩进 Char Char1"/>
    <w:link w:val="96"/>
    <w:qFormat/>
    <w:locked/>
    <w:uiPriority w:val="0"/>
    <w:rPr>
      <w:sz w:val="24"/>
      <w:szCs w:val="24"/>
    </w:rPr>
  </w:style>
  <w:style w:type="character" w:customStyle="1" w:styleId="487">
    <w:name w:val="text_12_subject1"/>
    <w:qFormat/>
    <w:uiPriority w:val="0"/>
    <w:rPr>
      <w:rFonts w:hint="default" w:ascii="ˎ̥" w:hAnsi="ˎ̥"/>
      <w:b/>
      <w:bCs/>
      <w:color w:val="006699"/>
      <w:sz w:val="18"/>
      <w:szCs w:val="18"/>
      <w:u w:val="none"/>
    </w:rPr>
  </w:style>
  <w:style w:type="character" w:customStyle="1" w:styleId="488">
    <w:name w:val="标题 Char1"/>
    <w:qFormat/>
    <w:uiPriority w:val="10"/>
    <w:rPr>
      <w:rFonts w:ascii="Cambria" w:hAnsi="Cambria" w:cs="Times New Roman"/>
      <w:b/>
      <w:bCs/>
      <w:kern w:val="2"/>
      <w:sz w:val="32"/>
      <w:szCs w:val="32"/>
    </w:rPr>
  </w:style>
  <w:style w:type="character" w:customStyle="1" w:styleId="489">
    <w:name w:val="常规 Char"/>
    <w:link w:val="97"/>
    <w:qFormat/>
    <w:uiPriority w:val="0"/>
    <w:rPr>
      <w:rFonts w:ascii="Tahoma" w:hAnsi="Tahoma"/>
      <w:color w:val="000000"/>
      <w:kern w:val="2"/>
      <w:sz w:val="28"/>
      <w:szCs w:val="21"/>
    </w:rPr>
  </w:style>
  <w:style w:type="character" w:customStyle="1" w:styleId="490">
    <w:name w:val="文档结构图 Char"/>
    <w:qFormat/>
    <w:uiPriority w:val="0"/>
    <w:rPr>
      <w:kern w:val="2"/>
      <w:sz w:val="21"/>
      <w:szCs w:val="24"/>
      <w:shd w:val="clear" w:color="auto" w:fill="000080"/>
    </w:rPr>
  </w:style>
  <w:style w:type="character" w:customStyle="1" w:styleId="491">
    <w:name w:val="正文新 Char"/>
    <w:link w:val="98"/>
    <w:qFormat/>
    <w:uiPriority w:val="0"/>
    <w:rPr>
      <w:rFonts w:ascii="宋体" w:hAnsi="宋体"/>
      <w:sz w:val="28"/>
    </w:rPr>
  </w:style>
  <w:style w:type="character" w:customStyle="1" w:styleId="492">
    <w:name w:val="font41"/>
    <w:qFormat/>
    <w:uiPriority w:val="0"/>
    <w:rPr>
      <w:rFonts w:hint="eastAsia" w:ascii="宋体" w:hAnsi="宋体" w:eastAsia="宋体"/>
      <w:b/>
      <w:bCs/>
      <w:color w:val="000000"/>
      <w:sz w:val="20"/>
      <w:szCs w:val="20"/>
      <w:u w:val="none"/>
    </w:rPr>
  </w:style>
  <w:style w:type="character" w:customStyle="1" w:styleId="493">
    <w:name w:val="myp1111"/>
    <w:qFormat/>
    <w:uiPriority w:val="0"/>
    <w:rPr>
      <w:rFonts w:hint="default" w:ascii="ˎ̥" w:hAnsi="ˎ̥"/>
      <w:color w:val="000000"/>
      <w:sz w:val="15"/>
      <w:szCs w:val="15"/>
      <w:u w:val="none"/>
    </w:rPr>
  </w:style>
  <w:style w:type="character" w:customStyle="1" w:styleId="494">
    <w:name w:val="尾注文本 Char1"/>
    <w:qFormat/>
    <w:uiPriority w:val="99"/>
    <w:rPr>
      <w:kern w:val="2"/>
      <w:sz w:val="21"/>
      <w:szCs w:val="24"/>
    </w:rPr>
  </w:style>
  <w:style w:type="character" w:customStyle="1" w:styleId="495">
    <w:name w:val="尾注文本 Char"/>
    <w:basedOn w:val="62"/>
    <w:qFormat/>
    <w:uiPriority w:val="0"/>
  </w:style>
  <w:style w:type="character" w:customStyle="1" w:styleId="496">
    <w:name w:val="font01"/>
    <w:qFormat/>
    <w:uiPriority w:val="0"/>
    <w:rPr>
      <w:rFonts w:hint="eastAsia" w:ascii="宋体" w:hAnsi="宋体" w:eastAsia="宋体" w:cs="宋体"/>
      <w:color w:val="000000"/>
      <w:sz w:val="24"/>
      <w:szCs w:val="24"/>
      <w:u w:val="none"/>
      <w:vertAlign w:val="superscript"/>
    </w:rPr>
  </w:style>
  <w:style w:type="character" w:customStyle="1" w:styleId="497">
    <w:name w:val="font61"/>
    <w:qFormat/>
    <w:uiPriority w:val="0"/>
    <w:rPr>
      <w:rFonts w:hint="eastAsia" w:ascii="宋体" w:hAnsi="宋体" w:eastAsia="宋体"/>
      <w:b/>
      <w:bCs/>
      <w:color w:val="000000"/>
      <w:sz w:val="20"/>
      <w:szCs w:val="20"/>
      <w:u w:val="none"/>
    </w:rPr>
  </w:style>
  <w:style w:type="character" w:customStyle="1" w:styleId="498">
    <w:name w:val="正文缩进2格 Char"/>
    <w:link w:val="99"/>
    <w:qFormat/>
    <w:uiPriority w:val="0"/>
    <w:rPr>
      <w:rFonts w:ascii="仿宋_GB2312" w:hAnsi="宋体" w:eastAsia="仿宋_GB2312"/>
      <w:kern w:val="2"/>
      <w:sz w:val="31"/>
    </w:rPr>
  </w:style>
  <w:style w:type="character" w:customStyle="1" w:styleId="499">
    <w:name w:val="word21"/>
    <w:qFormat/>
    <w:uiPriority w:val="0"/>
    <w:rPr>
      <w:b/>
      <w:bCs/>
      <w:color w:val="194D7C"/>
      <w:spacing w:val="400"/>
      <w:sz w:val="24"/>
      <w:szCs w:val="24"/>
    </w:rPr>
  </w:style>
  <w:style w:type="character" w:customStyle="1" w:styleId="500">
    <w:name w:val="content021"/>
    <w:qFormat/>
    <w:uiPriority w:val="0"/>
    <w:rPr>
      <w:color w:val="444444"/>
      <w:spacing w:val="330"/>
      <w:sz w:val="21"/>
      <w:szCs w:val="21"/>
      <w:u w:val="none"/>
    </w:rPr>
  </w:style>
  <w:style w:type="character" w:customStyle="1" w:styleId="501">
    <w:name w:val="Char Char5"/>
    <w:qFormat/>
    <w:uiPriority w:val="0"/>
    <w:rPr>
      <w:rFonts w:ascii="Times New Roman" w:hAnsi="Times New Roman" w:eastAsia="宋体"/>
      <w:sz w:val="18"/>
    </w:rPr>
  </w:style>
  <w:style w:type="character" w:customStyle="1" w:styleId="502">
    <w:name w:val="正文首行缩进 Char"/>
    <w:qFormat/>
    <w:uiPriority w:val="0"/>
    <w:rPr>
      <w:rFonts w:ascii="宋体"/>
      <w:color w:val="000000"/>
      <w:kern w:val="2"/>
      <w:sz w:val="21"/>
      <w:szCs w:val="32"/>
    </w:rPr>
  </w:style>
  <w:style w:type="character" w:customStyle="1" w:styleId="503">
    <w:name w:val="hei12"/>
    <w:basedOn w:val="62"/>
    <w:qFormat/>
    <w:uiPriority w:val="0"/>
  </w:style>
  <w:style w:type="character" w:customStyle="1" w:styleId="504">
    <w:name w:val="ca-121"/>
    <w:qFormat/>
    <w:uiPriority w:val="0"/>
    <w:rPr>
      <w:rFonts w:hint="eastAsia" w:ascii="宋体" w:hAnsi="宋体" w:eastAsia="宋体"/>
      <w:sz w:val="21"/>
      <w:szCs w:val="21"/>
    </w:rPr>
  </w:style>
  <w:style w:type="character" w:customStyle="1" w:styleId="505">
    <w:name w:val="font31"/>
    <w:qFormat/>
    <w:uiPriority w:val="0"/>
    <w:rPr>
      <w:rFonts w:hint="eastAsia" w:ascii="宋体" w:hAnsi="宋体" w:eastAsia="宋体"/>
      <w:color w:val="000000"/>
      <w:sz w:val="18"/>
      <w:szCs w:val="18"/>
      <w:u w:val="none"/>
    </w:rPr>
  </w:style>
  <w:style w:type="character" w:customStyle="1" w:styleId="506">
    <w:name w:val="z21"/>
    <w:qFormat/>
    <w:uiPriority w:val="0"/>
    <w:rPr>
      <w:color w:val="000000"/>
      <w:spacing w:val="255"/>
      <w:sz w:val="18"/>
      <w:szCs w:val="18"/>
    </w:rPr>
  </w:style>
  <w:style w:type="character" w:customStyle="1" w:styleId="507">
    <w:name w:val="标题 Char"/>
    <w:qFormat/>
    <w:uiPriority w:val="99"/>
    <w:rPr>
      <w:rFonts w:ascii="Arial" w:hAnsi="Arial"/>
      <w:b/>
      <w:bCs/>
      <w:sz w:val="32"/>
      <w:szCs w:val="32"/>
    </w:rPr>
  </w:style>
  <w:style w:type="character" w:customStyle="1" w:styleId="508">
    <w:name w:val="样式 目录 2 + 宋体 Char"/>
    <w:link w:val="100"/>
    <w:qFormat/>
    <w:uiPriority w:val="0"/>
    <w:rPr>
      <w:rFonts w:ascii="宋体" w:hAnsi="宋体"/>
      <w:sz w:val="28"/>
    </w:rPr>
  </w:style>
  <w:style w:type="character" w:customStyle="1" w:styleId="509">
    <w:name w:val="abcde1"/>
    <w:qFormat/>
    <w:uiPriority w:val="0"/>
    <w:rPr>
      <w:spacing w:val="400"/>
      <w:sz w:val="26"/>
      <w:szCs w:val="26"/>
    </w:rPr>
  </w:style>
  <w:style w:type="character" w:customStyle="1" w:styleId="510">
    <w:name w:val="标题 字符"/>
    <w:basedOn w:val="62"/>
    <w:link w:val="55"/>
    <w:qFormat/>
    <w:uiPriority w:val="10"/>
    <w:rPr>
      <w:rFonts w:ascii="Cambria" w:hAnsi="Cambria" w:cs="Times New Roman"/>
      <w:b/>
      <w:bCs/>
      <w:kern w:val="2"/>
      <w:sz w:val="32"/>
      <w:szCs w:val="32"/>
    </w:rPr>
  </w:style>
  <w:style w:type="character" w:customStyle="1" w:styleId="511">
    <w:name w:val="正文首行缩进 2 字符"/>
    <w:basedOn w:val="454"/>
    <w:link w:val="58"/>
    <w:semiHidden/>
    <w:qFormat/>
    <w:uiPriority w:val="0"/>
    <w:rPr>
      <w:kern w:val="2"/>
      <w:sz w:val="21"/>
      <w:szCs w:val="24"/>
    </w:rPr>
  </w:style>
  <w:style w:type="character" w:customStyle="1" w:styleId="512">
    <w:name w:val="正文首行缩进 字符"/>
    <w:basedOn w:val="436"/>
    <w:link w:val="57"/>
    <w:semiHidden/>
    <w:qFormat/>
    <w:uiPriority w:val="0"/>
    <w:rPr>
      <w:rFonts w:ascii="Times New Roman" w:hAnsi="Times New Roman" w:eastAsia="宋体" w:cs="Times New Roman"/>
      <w:kern w:val="2"/>
      <w:sz w:val="21"/>
      <w:szCs w:val="24"/>
    </w:rPr>
  </w:style>
  <w:style w:type="character" w:customStyle="1" w:styleId="513">
    <w:name w:val="正文文本 2 字符"/>
    <w:basedOn w:val="62"/>
    <w:link w:val="50"/>
    <w:semiHidden/>
    <w:qFormat/>
    <w:uiPriority w:val="0"/>
    <w:rPr>
      <w:kern w:val="2"/>
      <w:sz w:val="21"/>
      <w:szCs w:val="24"/>
    </w:rPr>
  </w:style>
  <w:style w:type="character" w:customStyle="1" w:styleId="514">
    <w:name w:val="副标题 字符"/>
    <w:basedOn w:val="62"/>
    <w:link w:val="43"/>
    <w:qFormat/>
    <w:uiPriority w:val="11"/>
    <w:rPr>
      <w:rFonts w:ascii="Cambria" w:hAnsi="Cambria" w:cs="Times New Roman"/>
      <w:b/>
      <w:bCs/>
      <w:kern w:val="28"/>
      <w:sz w:val="32"/>
      <w:szCs w:val="32"/>
    </w:rPr>
  </w:style>
  <w:style w:type="character" w:customStyle="1" w:styleId="515">
    <w:name w:val="尾注文本 字符"/>
    <w:basedOn w:val="62"/>
    <w:link w:val="37"/>
    <w:semiHidden/>
    <w:qFormat/>
    <w:uiPriority w:val="0"/>
    <w:rPr>
      <w:kern w:val="2"/>
      <w:sz w:val="21"/>
      <w:szCs w:val="24"/>
    </w:rPr>
  </w:style>
  <w:style w:type="character" w:customStyle="1" w:styleId="516">
    <w:name w:val="正文文本缩进 3 字符"/>
    <w:basedOn w:val="62"/>
    <w:link w:val="46"/>
    <w:semiHidden/>
    <w:qFormat/>
    <w:uiPriority w:val="0"/>
    <w:rPr>
      <w:kern w:val="2"/>
      <w:sz w:val="16"/>
      <w:szCs w:val="16"/>
    </w:rPr>
  </w:style>
  <w:style w:type="character" w:customStyle="1" w:styleId="517">
    <w:name w:val="文档结构图 字符"/>
    <w:basedOn w:val="62"/>
    <w:link w:val="20"/>
    <w:semiHidden/>
    <w:qFormat/>
    <w:uiPriority w:val="0"/>
    <w:rPr>
      <w:rFonts w:ascii="宋体"/>
      <w:kern w:val="2"/>
      <w:sz w:val="18"/>
      <w:szCs w:val="18"/>
    </w:rPr>
  </w:style>
  <w:style w:type="character" w:customStyle="1" w:styleId="518">
    <w:name w:val="正文文本 3 字符"/>
    <w:basedOn w:val="62"/>
    <w:link w:val="23"/>
    <w:semiHidden/>
    <w:qFormat/>
    <w:uiPriority w:val="0"/>
    <w:rPr>
      <w:kern w:val="2"/>
      <w:sz w:val="16"/>
      <w:szCs w:val="16"/>
    </w:rPr>
  </w:style>
  <w:style w:type="character" w:customStyle="1" w:styleId="519">
    <w:name w:val="正文3号仿宋 Char"/>
    <w:link w:val="416"/>
    <w:qFormat/>
    <w:uiPriority w:val="0"/>
    <w:rPr>
      <w:rFonts w:ascii="宋体" w:hAnsi="宋体"/>
      <w:sz w:val="24"/>
      <w:szCs w:val="24"/>
    </w:rPr>
  </w:style>
  <w:style w:type="character" w:customStyle="1" w:styleId="520">
    <w:name w:val="段落小标题 Char"/>
    <w:link w:val="417"/>
    <w:qFormat/>
    <w:uiPriority w:val="0"/>
    <w:rPr>
      <w:rFonts w:ascii="仿宋" w:hAnsi="仿宋" w:eastAsia="仿宋"/>
      <w:b/>
      <w:sz w:val="32"/>
      <w:szCs w:val="32"/>
    </w:rPr>
  </w:style>
  <w:style w:type="character" w:customStyle="1" w:styleId="521">
    <w:name w:val="正文（缩进） Char"/>
    <w:link w:val="418"/>
    <w:qFormat/>
    <w:uiPriority w:val="0"/>
    <w:rPr>
      <w:rFonts w:ascii="宋体" w:hAnsi="宋体" w:cs="宋体"/>
      <w:sz w:val="24"/>
      <w:szCs w:val="24"/>
    </w:rPr>
  </w:style>
  <w:style w:type="character" w:customStyle="1" w:styleId="522">
    <w:name w:val="font81"/>
    <w:basedOn w:val="62"/>
    <w:qFormat/>
    <w:uiPriority w:val="0"/>
    <w:rPr>
      <w:rFonts w:hint="default" w:ascii="楷体" w:hAnsi="楷体" w:eastAsia="楷体" w:cs="楷体"/>
      <w:color w:val="000000"/>
      <w:sz w:val="20"/>
      <w:szCs w:val="20"/>
      <w:u w:val="none"/>
      <w:vertAlign w:val="subscript"/>
    </w:rPr>
  </w:style>
  <w:style w:type="character" w:customStyle="1" w:styleId="523">
    <w:name w:val="font111"/>
    <w:basedOn w:val="62"/>
    <w:qFormat/>
    <w:uiPriority w:val="0"/>
    <w:rPr>
      <w:rFonts w:hint="default" w:ascii="楷体" w:hAnsi="楷体" w:eastAsia="楷体" w:cs="楷体"/>
      <w:color w:val="000000"/>
      <w:sz w:val="20"/>
      <w:szCs w:val="20"/>
      <w:u w:val="none"/>
    </w:rPr>
  </w:style>
  <w:style w:type="character" w:customStyle="1" w:styleId="524">
    <w:name w:val="font91"/>
    <w:basedOn w:val="62"/>
    <w:qFormat/>
    <w:uiPriority w:val="0"/>
    <w:rPr>
      <w:rFonts w:hint="eastAsia" w:ascii="宋体" w:hAnsi="宋体" w:eastAsia="宋体" w:cs="宋体"/>
      <w:color w:val="000000"/>
      <w:sz w:val="20"/>
      <w:szCs w:val="20"/>
      <w:u w:val="none"/>
    </w:rPr>
  </w:style>
  <w:style w:type="character" w:customStyle="1" w:styleId="525">
    <w:name w:val="font71"/>
    <w:basedOn w:val="62"/>
    <w:qFormat/>
    <w:uiPriority w:val="0"/>
    <w:rPr>
      <w:rFonts w:hint="default" w:ascii="楷体" w:hAnsi="楷体" w:eastAsia="楷体" w:cs="楷体"/>
      <w:color w:val="000000"/>
      <w:sz w:val="20"/>
      <w:szCs w:val="20"/>
      <w:u w:val="none"/>
    </w:rPr>
  </w:style>
  <w:style w:type="character" w:customStyle="1" w:styleId="526">
    <w:name w:val="font131"/>
    <w:basedOn w:val="62"/>
    <w:qFormat/>
    <w:uiPriority w:val="0"/>
    <w:rPr>
      <w:rFonts w:hint="default" w:ascii="楷体" w:hAnsi="楷体" w:eastAsia="楷体" w:cs="楷体"/>
      <w:color w:val="000000"/>
      <w:sz w:val="20"/>
      <w:szCs w:val="20"/>
      <w:u w:val="none"/>
    </w:rPr>
  </w:style>
  <w:style w:type="character" w:customStyle="1" w:styleId="527">
    <w:name w:val="font121"/>
    <w:basedOn w:val="62"/>
    <w:qFormat/>
    <w:uiPriority w:val="0"/>
    <w:rPr>
      <w:rFonts w:hint="default" w:ascii="楷体" w:hAnsi="楷体" w:eastAsia="楷体" w:cs="楷体"/>
      <w:color w:val="000000"/>
      <w:sz w:val="18"/>
      <w:szCs w:val="18"/>
      <w:u w:val="none"/>
    </w:rPr>
  </w:style>
  <w:style w:type="character" w:customStyle="1" w:styleId="528">
    <w:name w:val="font141"/>
    <w:basedOn w:val="62"/>
    <w:qFormat/>
    <w:uiPriority w:val="0"/>
    <w:rPr>
      <w:rFonts w:hint="default" w:ascii="楷体" w:hAnsi="楷体" w:eastAsia="楷体" w:cs="楷体"/>
      <w:color w:val="000000"/>
      <w:sz w:val="18"/>
      <w:szCs w:val="18"/>
      <w:u w:val="none"/>
    </w:rPr>
  </w:style>
  <w:style w:type="character" w:customStyle="1" w:styleId="529">
    <w:name w:val="font151"/>
    <w:basedOn w:val="62"/>
    <w:qFormat/>
    <w:uiPriority w:val="0"/>
    <w:rPr>
      <w:rFonts w:hint="eastAsia" w:ascii="宋体" w:hAnsi="宋体" w:eastAsia="宋体" w:cs="宋体"/>
      <w:color w:val="000000"/>
      <w:sz w:val="20"/>
      <w:szCs w:val="20"/>
      <w:u w:val="none"/>
    </w:rPr>
  </w:style>
  <w:style w:type="paragraph" w:customStyle="1" w:styleId="530">
    <w:name w:val="Body text|1"/>
    <w:basedOn w:val="1"/>
    <w:qFormat/>
    <w:uiPriority w:val="0"/>
    <w:pPr>
      <w:spacing w:line="420" w:lineRule="auto"/>
      <w:ind w:firstLine="400"/>
    </w:pPr>
    <w:rPr>
      <w:rFonts w:ascii="宋体" w:hAnsi="宋体" w:eastAsia="宋体" w:cs="宋体"/>
      <w:sz w:val="22"/>
      <w:lang w:val="zh-TW" w:eastAsia="zh-TW" w:bidi="zh-TW"/>
    </w:rPr>
  </w:style>
  <w:style w:type="paragraph" w:customStyle="1" w:styleId="531">
    <w:name w:val="*正文"/>
    <w:basedOn w:val="1"/>
    <w:qFormat/>
    <w:uiPriority w:val="0"/>
    <w:pPr>
      <w:widowControl/>
      <w:ind w:firstLine="200" w:firstLineChars="200"/>
      <w:jc w:val="left"/>
    </w:pPr>
    <w:rPr>
      <w:rFonts w:ascii="宋体" w:hAnsi="宋体"/>
      <w:kern w:val="0"/>
      <w:sz w:val="20"/>
      <w:szCs w:val="24"/>
    </w:rPr>
  </w:style>
  <w:style w:type="character" w:customStyle="1" w:styleId="532">
    <w:name w:val="名称2 Char"/>
    <w:qFormat/>
    <w:uiPriority w:val="0"/>
    <w:rPr>
      <w:rFonts w:hint="eastAsia" w:ascii="宋体" w:hAnsi="宋体" w:eastAsia="宋体"/>
      <w:b/>
      <w:kern w:val="2"/>
      <w:sz w:val="28"/>
      <w:szCs w:val="28"/>
      <w:lang w:val="en-US" w:eastAsia="zh-CN" w:bidi="ar-SA"/>
    </w:rPr>
  </w:style>
  <w:style w:type="paragraph" w:customStyle="1" w:styleId="533">
    <w:name w:val="MsoNormal"/>
    <w:basedOn w:val="1"/>
    <w:qFormat/>
    <w:uiPriority w:val="0"/>
  </w:style>
  <w:style w:type="table" w:customStyle="1" w:styleId="534">
    <w:name w:val="MsoNormalTable"/>
    <w:basedOn w:val="59"/>
    <w:qFormat/>
    <w:uiPriority w:val="0"/>
  </w:style>
  <w:style w:type="paragraph" w:customStyle="1" w:styleId="535">
    <w:name w:val="15"/>
    <w:basedOn w:val="1"/>
    <w:qFormat/>
    <w:uiPriority w:val="0"/>
  </w:style>
  <w:style w:type="paragraph" w:customStyle="1" w:styleId="536">
    <w:name w:val="采购二级"/>
    <w:qFormat/>
    <w:uiPriority w:val="0"/>
    <w:pPr>
      <w:snapToGrid w:val="0"/>
      <w:spacing w:line="560" w:lineRule="exact"/>
      <w:ind w:firstLine="200" w:firstLineChars="200"/>
      <w:jc w:val="both"/>
      <w:outlineLvl w:val="1"/>
    </w:pPr>
    <w:rPr>
      <w:rFonts w:ascii="仿宋" w:hAnsi="仿宋" w:eastAsia="仿宋" w:cs="Times New Roman"/>
      <w:b/>
      <w:kern w:val="2"/>
      <w:sz w:val="24"/>
      <w:szCs w:val="24"/>
      <w:lang w:val="en-US" w:eastAsia="zh-CN" w:bidi="ar-SA"/>
    </w:rPr>
  </w:style>
  <w:style w:type="paragraph" w:customStyle="1" w:styleId="537">
    <w:name w:val="_正文"/>
    <w:basedOn w:val="1"/>
    <w:qFormat/>
    <w:uiPriority w:val="0"/>
    <w:pPr>
      <w:adjustRightInd w:val="0"/>
      <w:snapToGrid w:val="0"/>
      <w:spacing w:line="360" w:lineRule="auto"/>
      <w:ind w:firstLine="200" w:firstLineChars="200"/>
    </w:pPr>
    <w:rPr>
      <w:rFonts w:ascii="Calibri" w:hAnsi="Calibri" w:eastAsia="宋体" w:cs="Times New Roman"/>
      <w:color w:val="00000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e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100"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注册单位=China</Company>
  <Pages>71</Pages>
  <Words>1006</Words>
  <Characters>1306</Characters>
  <Lines>188</Lines>
  <Paragraphs>53</Paragraphs>
  <TotalTime>4</TotalTime>
  <ScaleCrop>false</ScaleCrop>
  <LinksUpToDate>false</LinksUpToDate>
  <CharactersWithSpaces>1483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2018-01-31T02:45:00Z</dcterms:created>
  <dc:creator>微软用户</dc:creator>
  <cp:lastModifiedBy>Yyk</cp:lastModifiedBy>
  <cp:lastPrinted>2024-01-03T02:52:00Z</cp:lastPrinted>
  <dcterms:modified xsi:type="dcterms:W3CDTF">2025-12-03T05:14:14Z</dcterms:modified>
  <dc:title>_x0001_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46ADABF5F7944D1EAEAA3E103328ABDD</vt:lpwstr>
  </property>
  <property fmtid="{D5CDD505-2E9C-101B-9397-08002B2CF9AE}" pid="4" name="KSOTemplateDocerSaveRecord">
    <vt:lpwstr>eyJoZGlkIjoiMjA0ZDc2YWEwZmU5ZWQ5ZGNkZDI4NjQ4Zjk2ZTQzYjMiLCJ1c2VySWQiOiIxMTQ3MTkzOTE1In0=</vt:lpwstr>
  </property>
</Properties>
</file>