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24"/>
          <w:szCs w:val="24"/>
        </w:rPr>
      </w:pPr>
    </w:p>
    <w:p>
      <w:pPr>
        <w:pStyle w:val="19"/>
        <w:rPr>
          <w:rFonts w:hint="eastAsia"/>
          <w:color w:val="auto"/>
        </w:rPr>
      </w:pPr>
    </w:p>
    <w:p>
      <w:pPr>
        <w:jc w:val="center"/>
        <w:rPr>
          <w:rFonts w:hint="eastAsia" w:ascii="仿宋" w:hAnsi="仿宋" w:eastAsia="仿宋" w:cs="仿宋"/>
          <w:b/>
          <w:bCs/>
          <w:color w:val="auto"/>
          <w:sz w:val="24"/>
          <w:szCs w:val="24"/>
        </w:rPr>
      </w:pPr>
    </w:p>
    <w:p>
      <w:pPr>
        <w:jc w:val="center"/>
        <w:rPr>
          <w:rFonts w:hint="eastAsia" w:ascii="仿宋" w:hAnsi="仿宋" w:eastAsia="仿宋" w:cs="仿宋"/>
          <w:b/>
          <w:bCs/>
          <w:color w:val="auto"/>
          <w:sz w:val="48"/>
          <w:szCs w:val="48"/>
          <w:lang w:eastAsia="zh-CN"/>
        </w:rPr>
      </w:pPr>
      <w:r>
        <w:rPr>
          <w:rFonts w:hint="eastAsia" w:ascii="仿宋" w:hAnsi="仿宋" w:eastAsia="仿宋" w:cs="仿宋"/>
          <w:b/>
          <w:bCs/>
          <w:color w:val="auto"/>
          <w:sz w:val="48"/>
          <w:szCs w:val="48"/>
          <w:lang w:eastAsia="zh-CN"/>
        </w:rPr>
        <w:t>中国石油天然气股份有限公司克拉玛依润滑油厂变压器油类产品检测项目（二次）</w:t>
      </w:r>
    </w:p>
    <w:p>
      <w:pPr>
        <w:jc w:val="cente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w:t>
      </w:r>
      <w:r>
        <w:rPr>
          <w:rFonts w:hint="eastAsia" w:ascii="仿宋" w:hAnsi="仿宋" w:eastAsia="仿宋" w:cs="仿宋"/>
          <w:b/>
          <w:bCs/>
          <w:color w:val="auto"/>
          <w:sz w:val="36"/>
          <w:szCs w:val="36"/>
          <w:lang w:val="en-US" w:eastAsia="zh-CN"/>
        </w:rPr>
        <w:t>YHFW-2025-03-1</w:t>
      </w:r>
    </w:p>
    <w:p>
      <w:pPr>
        <w:jc w:val="center"/>
        <w:rPr>
          <w:rFonts w:hint="eastAsia" w:ascii="仿宋" w:hAnsi="仿宋" w:eastAsia="仿宋" w:cs="仿宋"/>
          <w:color w:val="auto"/>
          <w:sz w:val="32"/>
          <w:szCs w:val="32"/>
        </w:rPr>
      </w:pPr>
    </w:p>
    <w:p>
      <w:pPr>
        <w:jc w:val="center"/>
        <w:rPr>
          <w:rFonts w:hint="eastAsia" w:ascii="仿宋" w:hAnsi="仿宋" w:eastAsia="仿宋" w:cs="仿宋"/>
          <w:b/>
          <w:bCs/>
          <w:color w:val="auto"/>
          <w:sz w:val="32"/>
          <w:szCs w:val="32"/>
        </w:rPr>
      </w:pP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询价文件</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p>
    <w:p>
      <w:pPr>
        <w:pStyle w:val="19"/>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19"/>
        <w:rPr>
          <w:rFonts w:hint="eastAsia"/>
          <w:color w:val="auto"/>
        </w:rPr>
      </w:pPr>
    </w:p>
    <w:p>
      <w:pPr>
        <w:rPr>
          <w:rFonts w:hint="eastAsia"/>
          <w:color w:val="auto"/>
        </w:rPr>
      </w:pPr>
    </w:p>
    <w:p>
      <w:pPr>
        <w:pStyle w:val="8"/>
        <w:rPr>
          <w:rFonts w:hint="eastAsia" w:ascii="仿宋" w:hAnsi="仿宋" w:eastAsia="仿宋" w:cs="仿宋"/>
          <w:color w:val="auto"/>
          <w:sz w:val="32"/>
          <w:szCs w:val="32"/>
        </w:rPr>
      </w:pPr>
    </w:p>
    <w:p>
      <w:pPr>
        <w:pStyle w:val="9"/>
        <w:rPr>
          <w:rFonts w:hint="eastAsia" w:ascii="仿宋" w:hAnsi="仿宋" w:eastAsia="仿宋" w:cs="仿宋"/>
          <w:b/>
          <w:bCs/>
          <w:color w:val="auto"/>
          <w:sz w:val="32"/>
          <w:szCs w:val="32"/>
          <w:lang w:val="en-US" w:eastAsia="zh-CN" w:bidi="ar-SA"/>
        </w:rPr>
      </w:pPr>
      <w:r>
        <w:rPr>
          <w:rFonts w:hint="eastAsia" w:ascii="仿宋" w:hAnsi="仿宋" w:eastAsia="仿宋" w:cs="仿宋"/>
          <w:b/>
          <w:bCs/>
          <w:color w:val="auto"/>
          <w:sz w:val="32"/>
          <w:szCs w:val="32"/>
          <w:lang w:val="en-US" w:eastAsia="zh-CN" w:bidi="ar-SA"/>
        </w:rPr>
        <w:t>采购机构：国家税务总局克拉玛依市白碱滩区税务局</w:t>
      </w:r>
    </w:p>
    <w:p>
      <w:pPr>
        <w:pStyle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代理</w:t>
      </w:r>
      <w:r>
        <w:rPr>
          <w:rFonts w:hint="eastAsia" w:ascii="仿宋" w:hAnsi="仿宋" w:eastAsia="仿宋" w:cs="仿宋"/>
          <w:b/>
          <w:bCs/>
          <w:color w:val="auto"/>
          <w:sz w:val="32"/>
          <w:szCs w:val="32"/>
        </w:rPr>
        <w:t>机构：</w:t>
      </w:r>
      <w:r>
        <w:rPr>
          <w:rFonts w:hint="eastAsia" w:ascii="仿宋" w:hAnsi="仿宋" w:eastAsia="仿宋" w:cs="仿宋"/>
          <w:b/>
          <w:bCs/>
          <w:color w:val="auto"/>
          <w:sz w:val="32"/>
          <w:szCs w:val="32"/>
          <w:lang w:val="en-US" w:eastAsia="zh-CN"/>
        </w:rPr>
        <w:t>新疆元皓工程管理咨询有限公司</w:t>
      </w:r>
    </w:p>
    <w:p>
      <w:pPr>
        <w:ind w:firstLine="628"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二〇</w:t>
      </w:r>
      <w:r>
        <w:rPr>
          <w:rFonts w:hint="eastAsia" w:ascii="仿宋" w:hAnsi="仿宋" w:eastAsia="仿宋" w:cs="仿宋"/>
          <w:b/>
          <w:bCs/>
          <w:color w:val="auto"/>
          <w:sz w:val="32"/>
          <w:szCs w:val="32"/>
          <w:lang w:val="en-US" w:eastAsia="zh-CN"/>
        </w:rPr>
        <w:t>二五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月</w:t>
      </w:r>
    </w:p>
    <w:p>
      <w:pPr>
        <w:ind w:firstLine="628" w:firstLineChars="200"/>
        <w:rPr>
          <w:rFonts w:hint="eastAsia" w:ascii="仿宋" w:hAnsi="仿宋" w:eastAsia="仿宋" w:cs="仿宋"/>
          <w:b/>
          <w:bCs/>
          <w:color w:val="auto"/>
          <w:sz w:val="32"/>
          <w:szCs w:val="32"/>
        </w:rPr>
        <w:sectPr>
          <w:headerReference r:id="rId4" w:type="first"/>
          <w:headerReference r:id="rId3" w:type="default"/>
          <w:footerReference r:id="rId5" w:type="default"/>
          <w:footerReference r:id="rId6" w:type="even"/>
          <w:pgSz w:w="11906" w:h="16838"/>
          <w:pgMar w:top="1418" w:right="1134" w:bottom="1418" w:left="1418" w:header="851" w:footer="851" w:gutter="0"/>
          <w:cols w:space="720" w:num="1"/>
          <w:docGrid w:type="linesAndChars" w:linePitch="388" w:charSpace="-1260"/>
        </w:sectPr>
      </w:pPr>
    </w:p>
    <w:p>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    录</w:t>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"1-3" \h \z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_Toc20583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第</w:t>
      </w:r>
      <w:r>
        <w:rPr>
          <w:rFonts w:hint="eastAsia" w:ascii="仿宋" w:hAnsi="仿宋" w:eastAsia="仿宋" w:cs="仿宋"/>
          <w:bCs/>
          <w:color w:val="auto"/>
          <w:sz w:val="28"/>
          <w:szCs w:val="28"/>
          <w:lang w:val="en-US" w:eastAsia="zh-CN"/>
        </w:rPr>
        <w:t>一</w:t>
      </w:r>
      <w:r>
        <w:rPr>
          <w:rFonts w:hint="eastAsia" w:ascii="仿宋" w:hAnsi="仿宋" w:eastAsia="仿宋" w:cs="仿宋"/>
          <w:bCs/>
          <w:color w:val="auto"/>
          <w:sz w:val="28"/>
          <w:szCs w:val="28"/>
          <w:lang w:val="zh-CN"/>
        </w:rPr>
        <w:t>部分</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lang w:val="zh-CN"/>
        </w:rPr>
        <w:t>询价</w:t>
      </w:r>
      <w:r>
        <w:rPr>
          <w:rFonts w:hint="eastAsia" w:ascii="仿宋" w:hAnsi="仿宋" w:eastAsia="仿宋" w:cs="仿宋"/>
          <w:bCs/>
          <w:color w:val="auto"/>
          <w:sz w:val="28"/>
          <w:szCs w:val="28"/>
          <w:lang w:val="en-US" w:eastAsia="zh-CN"/>
        </w:rPr>
        <w:t>函</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_Toc20583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_Toc6033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zh-CN"/>
        </w:rPr>
        <w:t xml:space="preserve">第二部分  </w:t>
      </w:r>
      <w:r>
        <w:rPr>
          <w:rFonts w:hint="eastAsia" w:ascii="仿宋" w:hAnsi="仿宋" w:eastAsia="仿宋" w:cs="仿宋"/>
          <w:bCs/>
          <w:color w:val="auto"/>
          <w:sz w:val="28"/>
          <w:szCs w:val="28"/>
          <w:lang w:val="en-US" w:eastAsia="zh-CN"/>
        </w:rPr>
        <w:t>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_Toc11023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lang w:val="en-US" w:eastAsia="zh-CN"/>
        </w:rPr>
        <w:t>第三部分</w:t>
      </w:r>
      <w:r>
        <w:rPr>
          <w:rFonts w:hint="eastAsia" w:ascii="仿宋" w:hAnsi="仿宋" w:eastAsia="仿宋" w:cs="仿宋"/>
          <w:bCs/>
          <w:color w:val="auto"/>
          <w:sz w:val="28"/>
          <w:szCs w:val="28"/>
          <w:lang w:val="zh-CN"/>
        </w:rPr>
        <w:t xml:space="preserve">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_Toc21190 </w:instrText>
      </w:r>
      <w:r>
        <w:rPr>
          <w:rFonts w:hint="eastAsia" w:ascii="仿宋" w:hAnsi="仿宋" w:eastAsia="仿宋" w:cs="仿宋"/>
          <w:color w:val="auto"/>
          <w:sz w:val="28"/>
          <w:szCs w:val="28"/>
        </w:rPr>
        <w:fldChar w:fldCharType="separate"/>
      </w:r>
      <w:r>
        <w:rPr>
          <w:rFonts w:hint="eastAsia" w:ascii="仿宋" w:hAnsi="仿宋" w:eastAsia="仿宋" w:cs="仿宋"/>
          <w:bCs w:val="0"/>
          <w:color w:val="auto"/>
          <w:sz w:val="28"/>
          <w:szCs w:val="28"/>
        </w:rPr>
        <w:t>第四部分  拟订立的合同样本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pPr>
        <w:pStyle w:val="15"/>
        <w:keepNext w:val="0"/>
        <w:keepLines w:val="0"/>
        <w:pageBreakBefore w:val="0"/>
        <w:widowControl w:val="0"/>
        <w:tabs>
          <w:tab w:val="right" w:leader="dot" w:pos="9354"/>
          <w:tab w:val="clear" w:pos="8658"/>
        </w:tabs>
        <w:kinsoku/>
        <w:wordWrap/>
        <w:overflowPunct/>
        <w:topLinePunct w:val="0"/>
        <w:autoSpaceDE/>
        <w:autoSpaceDN/>
        <w:bidi w:val="0"/>
        <w:adjustRightInd/>
        <w:snapToGrid/>
        <w:spacing w:line="360" w:lineRule="auto"/>
        <w:ind w:left="234" w:lef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_Toc11852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 xml:space="preserve">第五部分  </w:t>
      </w:r>
      <w:r>
        <w:rPr>
          <w:rFonts w:hint="eastAsia" w:ascii="仿宋" w:hAnsi="仿宋" w:eastAsia="仿宋" w:cs="仿宋"/>
          <w:bCs/>
          <w:color w:val="auto"/>
          <w:sz w:val="28"/>
          <w:szCs w:val="28"/>
          <w:lang w:eastAsia="zh-CN"/>
        </w:rPr>
        <w:t>投标文件</w:t>
      </w:r>
      <w:r>
        <w:rPr>
          <w:rFonts w:hint="eastAsia" w:ascii="仿宋" w:hAnsi="仿宋" w:eastAsia="仿宋" w:cs="仿宋"/>
          <w:bCs/>
          <w:color w:val="auto"/>
          <w:sz w:val="28"/>
          <w:szCs w:val="28"/>
        </w:rPr>
        <w:t>格式</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fldChar w:fldCharType="end"/>
      </w:r>
    </w:p>
    <w:p>
      <w:pPr>
        <w:pStyle w:val="17"/>
        <w:tabs>
          <w:tab w:val="right" w:leader="dot" w:pos="9354"/>
        </w:tabs>
        <w:rPr>
          <w:rFonts w:hint="eastAsia" w:ascii="仿宋" w:hAnsi="仿宋" w:eastAsia="仿宋" w:cs="仿宋"/>
          <w:color w:val="auto"/>
          <w:sz w:val="28"/>
          <w:szCs w:val="28"/>
        </w:rPr>
      </w:pPr>
    </w:p>
    <w:p>
      <w:pPr>
        <w:spacing w:line="360" w:lineRule="auto"/>
        <w:ind w:firstLine="548" w:firstLineChars="200"/>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pPr>
        <w:spacing w:before="388" w:beforeLines="100" w:line="360" w:lineRule="auto"/>
        <w:jc w:val="center"/>
        <w:rPr>
          <w:rFonts w:hint="eastAsia" w:ascii="仿宋" w:hAnsi="仿宋" w:eastAsia="仿宋" w:cs="仿宋"/>
          <w:color w:val="auto"/>
          <w:sz w:val="28"/>
          <w:szCs w:val="28"/>
        </w:rPr>
        <w:sectPr>
          <w:footerReference r:id="rId7" w:type="default"/>
          <w:pgSz w:w="11906" w:h="16838"/>
          <w:pgMar w:top="1418" w:right="1134" w:bottom="1418" w:left="1418" w:header="851" w:footer="851" w:gutter="0"/>
          <w:pgNumType w:fmt="numberInDash"/>
          <w:cols w:space="720" w:num="1"/>
          <w:docGrid w:type="linesAndChars" w:linePitch="388" w:charSpace="-1260"/>
        </w:sectPr>
      </w:pPr>
      <w:bookmarkStart w:id="0" w:name="_Toc240432228"/>
    </w:p>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bookmarkStart w:id="1" w:name="_Toc20583"/>
      <w:r>
        <w:rPr>
          <w:rFonts w:hint="eastAsia" w:ascii="仿宋" w:hAnsi="仿宋" w:eastAsia="仿宋" w:cs="仿宋"/>
          <w:b/>
          <w:bCs/>
          <w:color w:val="auto"/>
          <w:sz w:val="32"/>
          <w:szCs w:val="32"/>
          <w:highlight w:val="none"/>
          <w:lang w:val="en-US" w:eastAsia="zh-CN" w:bidi="ar-SA"/>
        </w:rPr>
        <w:t xml:space="preserve">  中国石油天然气股份有限公司克拉玛依润滑油厂</w:t>
      </w:r>
    </w:p>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color w:val="auto"/>
          <w:sz w:val="32"/>
          <w:szCs w:val="32"/>
          <w:highlight w:val="none"/>
          <w:lang w:val="en-US" w:eastAsia="zh-CN" w:bidi="ar-SA"/>
        </w:rPr>
      </w:pPr>
      <w:r>
        <w:rPr>
          <w:rFonts w:hint="eastAsia" w:ascii="仿宋" w:hAnsi="仿宋" w:eastAsia="仿宋" w:cs="仿宋"/>
          <w:b/>
          <w:bCs/>
          <w:color w:val="auto"/>
          <w:sz w:val="32"/>
          <w:szCs w:val="32"/>
          <w:highlight w:val="none"/>
          <w:lang w:val="en-US" w:eastAsia="zh-CN" w:bidi="ar-SA"/>
        </w:rPr>
        <w:t>变压器油类产品检测项目（二次）</w:t>
      </w:r>
    </w:p>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lang w:val="en-US" w:eastAsia="zh-CN"/>
        </w:rPr>
      </w:pPr>
      <w:r>
        <w:rPr>
          <w:rFonts w:hint="eastAsia" w:ascii="仿宋" w:hAnsi="仿宋" w:eastAsia="仿宋" w:cs="仿宋"/>
          <w:b/>
          <w:bCs/>
          <w:color w:val="auto"/>
          <w:sz w:val="32"/>
          <w:szCs w:val="32"/>
          <w:highlight w:val="none"/>
          <w:lang w:val="en-US" w:eastAsia="zh-CN" w:bidi="ar-SA"/>
        </w:rPr>
        <w:t>询价公告</w:t>
      </w:r>
    </w:p>
    <w:bookmarkEnd w:id="0"/>
    <w:bookmarkEnd w:id="1"/>
    <w:p>
      <w:pPr>
        <w:spacing w:line="360" w:lineRule="auto"/>
        <w:ind w:firstLine="480" w:firstLineChars="200"/>
        <w:rPr>
          <w:rFonts w:hint="eastAsia" w:ascii="仿宋" w:hAnsi="仿宋" w:eastAsia="仿宋" w:cs="仿宋"/>
          <w:color w:val="auto"/>
          <w:sz w:val="24"/>
          <w:szCs w:val="24"/>
          <w:highlight w:val="none"/>
        </w:rPr>
      </w:pPr>
      <w:bookmarkStart w:id="2" w:name="_Toc14856"/>
      <w:bookmarkStart w:id="3" w:name="_Toc28359012"/>
      <w:bookmarkStart w:id="4" w:name="_Toc35393629"/>
      <w:bookmarkStart w:id="5" w:name="_Toc35393798"/>
      <w:bookmarkStart w:id="6" w:name="_Toc28359089"/>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lang w:eastAsia="zh-CN"/>
        </w:rPr>
        <w:t>新疆元皓工程管理咨询有限公司受</w:t>
      </w:r>
      <w:r>
        <w:rPr>
          <w:rFonts w:hint="eastAsia" w:ascii="仿宋" w:hAnsi="仿宋" w:eastAsia="仿宋" w:cs="仿宋"/>
          <w:color w:val="auto"/>
          <w:sz w:val="24"/>
          <w:szCs w:val="24"/>
          <w:highlight w:val="none"/>
          <w:lang w:val="en-US" w:eastAsia="zh-CN"/>
        </w:rPr>
        <w:t>国家税务总局克拉玛依市白碱滩区税务局</w:t>
      </w:r>
      <w:r>
        <w:rPr>
          <w:rFonts w:hint="eastAsia" w:ascii="仿宋" w:hAnsi="仿宋" w:eastAsia="仿宋" w:cs="仿宋"/>
          <w:color w:val="auto"/>
          <w:sz w:val="24"/>
          <w:szCs w:val="24"/>
          <w:highlight w:val="none"/>
          <w:lang w:eastAsia="zh-CN"/>
        </w:rPr>
        <w:t>的委托，现对</w:t>
      </w:r>
      <w:r>
        <w:rPr>
          <w:rFonts w:hint="eastAsia" w:ascii="仿宋" w:hAnsi="仿宋" w:eastAsia="仿宋" w:cs="仿宋"/>
          <w:color w:val="auto"/>
          <w:sz w:val="24"/>
          <w:szCs w:val="24"/>
          <w:highlight w:val="none"/>
          <w:lang w:val="en-US" w:eastAsia="zh-CN"/>
        </w:rPr>
        <w:t>中国石油天然气股份有限公司克拉玛依润滑油厂变压器油类产品检测项目（二次）</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lang w:eastAsia="zh-CN"/>
        </w:rPr>
        <w:t>的方</w:t>
      </w:r>
      <w:r>
        <w:rPr>
          <w:rFonts w:hint="eastAsia" w:ascii="仿宋" w:hAnsi="仿宋" w:eastAsia="仿宋" w:cs="仿宋"/>
          <w:color w:val="auto"/>
          <w:sz w:val="24"/>
          <w:szCs w:val="24"/>
          <w:highlight w:val="none"/>
        </w:rPr>
        <w:t>式进行招标。</w:t>
      </w:r>
    </w:p>
    <w:p>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一、项目基本情况</w:t>
      </w:r>
      <w:bookmarkEnd w:id="2"/>
      <w:bookmarkEnd w:id="3"/>
      <w:bookmarkEnd w:id="4"/>
      <w:bookmarkEnd w:id="5"/>
      <w:bookmarkEnd w:id="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项目编号：</w:t>
      </w:r>
      <w:r>
        <w:rPr>
          <w:rFonts w:hint="eastAsia" w:ascii="仿宋" w:hAnsi="仿宋" w:eastAsia="仿宋" w:cs="仿宋"/>
          <w:b w:val="0"/>
          <w:bCs w:val="0"/>
          <w:color w:val="auto"/>
          <w:sz w:val="24"/>
          <w:szCs w:val="24"/>
          <w:highlight w:val="none"/>
          <w:lang w:val="en-US" w:eastAsia="zh-CN" w:bidi="ar-SA"/>
        </w:rPr>
        <w:t>YHFW-2025-03-1</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zh-CN" w:eastAsia="zh-CN" w:bidi="ar-SA"/>
        </w:rPr>
        <w:t>项目名称：</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中国石油天然气股份有限公司克拉玛依润滑油厂变压器油类产品检测项目（二次）</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预算金额：</w:t>
      </w:r>
      <w:r>
        <w:rPr>
          <w:rFonts w:hint="eastAsia" w:ascii="仿宋" w:hAnsi="仿宋" w:eastAsia="仿宋" w:cs="仿宋"/>
          <w:b w:val="0"/>
          <w:bCs w:val="0"/>
          <w:color w:val="auto"/>
          <w:sz w:val="24"/>
          <w:szCs w:val="24"/>
          <w:highlight w:val="none"/>
          <w:lang w:val="en-US" w:eastAsia="zh-CN" w:bidi="ar-SA"/>
        </w:rPr>
        <w:t>16.8万</w:t>
      </w:r>
      <w:r>
        <w:rPr>
          <w:rFonts w:hint="eastAsia" w:ascii="仿宋" w:hAnsi="仿宋" w:eastAsia="仿宋" w:cs="仿宋"/>
          <w:b w:val="0"/>
          <w:bCs w:val="0"/>
          <w:color w:val="auto"/>
          <w:sz w:val="24"/>
          <w:szCs w:val="24"/>
          <w:highlight w:val="none"/>
          <w:lang w:val="zh-CN" w:eastAsia="zh-CN" w:bidi="ar-SA"/>
        </w:rPr>
        <w:t>元（人民币）</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b w:val="0"/>
          <w:bCs w:val="0"/>
          <w:color w:val="auto"/>
          <w:sz w:val="24"/>
          <w:szCs w:val="24"/>
          <w:highlight w:val="none"/>
          <w:lang w:val="zh-CN" w:eastAsia="zh-CN" w:bidi="ar-SA"/>
        </w:rPr>
        <w:t>采购需求：详见</w:t>
      </w:r>
      <w:r>
        <w:rPr>
          <w:rFonts w:hint="eastAsia" w:ascii="仿宋" w:hAnsi="仿宋" w:eastAsia="仿宋" w:cs="仿宋"/>
          <w:b w:val="0"/>
          <w:bCs w:val="0"/>
          <w:color w:val="auto"/>
          <w:sz w:val="24"/>
          <w:szCs w:val="24"/>
          <w:highlight w:val="none"/>
          <w:lang w:val="en-US" w:eastAsia="zh-CN" w:bidi="ar-SA"/>
        </w:rPr>
        <w:t>询价</w:t>
      </w:r>
      <w:r>
        <w:rPr>
          <w:rFonts w:hint="eastAsia" w:ascii="仿宋" w:hAnsi="仿宋" w:eastAsia="仿宋" w:cs="仿宋"/>
          <w:b w:val="0"/>
          <w:bCs w:val="0"/>
          <w:color w:val="auto"/>
          <w:sz w:val="24"/>
          <w:szCs w:val="24"/>
          <w:highlight w:val="none"/>
          <w:lang w:val="zh-CN" w:eastAsia="zh-CN" w:bidi="ar-SA"/>
        </w:rPr>
        <w:t>文件</w:t>
      </w:r>
    </w:p>
    <w:p>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bookmarkStart w:id="7" w:name="_Toc8894"/>
      <w:bookmarkStart w:id="8" w:name="_Toc28359013"/>
      <w:bookmarkStart w:id="9" w:name="_Toc35393630"/>
      <w:bookmarkStart w:id="10" w:name="_Toc35393799"/>
      <w:bookmarkStart w:id="11" w:name="_Toc28359090"/>
      <w:r>
        <w:rPr>
          <w:rFonts w:hint="eastAsia" w:ascii="仿宋" w:hAnsi="仿宋" w:eastAsia="仿宋" w:cs="仿宋"/>
          <w:b/>
          <w:bCs/>
          <w:color w:val="auto"/>
          <w:sz w:val="24"/>
          <w:szCs w:val="24"/>
          <w:highlight w:val="none"/>
          <w:lang w:val="en-US" w:eastAsia="zh-CN" w:bidi="ar-SA"/>
        </w:rPr>
        <w:t>二、申请人的资格要求</w:t>
      </w:r>
      <w:bookmarkEnd w:id="7"/>
      <w:bookmarkEnd w:id="8"/>
      <w:bookmarkEnd w:id="9"/>
      <w:bookmarkEnd w:id="10"/>
      <w:bookmarkEnd w:id="1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bookmarkStart w:id="12" w:name="_Toc28359091"/>
      <w:bookmarkStart w:id="13" w:name="_Toc35393800"/>
      <w:bookmarkStart w:id="14" w:name="_Toc35393631"/>
      <w:bookmarkStart w:id="15" w:name="_Toc28359014"/>
      <w:bookmarkStart w:id="16" w:name="_Toc5120"/>
      <w:r>
        <w:rPr>
          <w:rFonts w:hint="eastAsia" w:ascii="仿宋" w:hAnsi="仿宋" w:eastAsia="仿宋" w:cs="仿宋"/>
          <w:b w:val="0"/>
          <w:bCs w:val="0"/>
          <w:color w:val="auto"/>
          <w:sz w:val="24"/>
          <w:szCs w:val="24"/>
          <w:highlight w:val="none"/>
          <w:lang w:val="en-US" w:eastAsia="zh-CN" w:bidi="ar-SA"/>
        </w:rPr>
        <w:t>1.满足《中华人民共和国政府采购法》第二十二条规定；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2.落实政府采购政策需满足的资格要求：供应商为中小企业；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3.特定资格条件：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具有市场监管总局检验检测机构资质认定（CMA认定）和中国合格评定国家认可委员会认可（CNAS认可）；</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4.接受联合体投标；</w:t>
      </w:r>
    </w:p>
    <w:p>
      <w:pPr>
        <w:pStyle w:val="3"/>
        <w:keepNext/>
        <w:keepLines/>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三、获取</w:t>
      </w:r>
      <w:bookmarkEnd w:id="12"/>
      <w:bookmarkEnd w:id="13"/>
      <w:bookmarkEnd w:id="14"/>
      <w:bookmarkEnd w:id="15"/>
      <w:r>
        <w:rPr>
          <w:rFonts w:hint="eastAsia" w:ascii="仿宋" w:hAnsi="仿宋" w:eastAsia="仿宋" w:cs="仿宋"/>
          <w:b/>
          <w:bCs/>
          <w:color w:val="auto"/>
          <w:sz w:val="24"/>
          <w:szCs w:val="24"/>
          <w:highlight w:val="none"/>
          <w:lang w:val="en-US" w:eastAsia="zh-CN" w:bidi="ar-SA"/>
        </w:rPr>
        <w:t>采购文件</w:t>
      </w:r>
      <w:bookmarkEnd w:id="16"/>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时    间</w:t>
      </w:r>
      <w:r>
        <w:rPr>
          <w:rFonts w:hint="eastAsia" w:ascii="仿宋" w:hAnsi="仿宋" w:eastAsia="仿宋" w:cs="仿宋"/>
          <w:color w:val="auto"/>
          <w:sz w:val="24"/>
          <w:szCs w:val="24"/>
          <w:highlight w:val="none"/>
          <w:lang w:val="en-US" w:eastAsia="zh-CN"/>
        </w:rPr>
        <w:t>：2025年06月20日至2025年06月25日，每天</w:t>
      </w:r>
      <w:r>
        <w:rPr>
          <w:rFonts w:hint="eastAsia" w:ascii="仿宋" w:hAnsi="仿宋" w:eastAsia="仿宋" w:cs="仿宋"/>
          <w:b w:val="0"/>
          <w:bCs w:val="0"/>
          <w:color w:val="auto"/>
          <w:sz w:val="24"/>
          <w:szCs w:val="24"/>
          <w:highlight w:val="none"/>
          <w:lang w:val="en-US" w:eastAsia="zh-CN" w:bidi="ar-SA"/>
        </w:rPr>
        <w:t>10:00至13:00，16:00至20:00（北京时间）。</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点：克拉玛依市恒隆广场A座302室</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方    式：线上领取。</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17" w:name="_Toc28359092"/>
      <w:bookmarkStart w:id="18" w:name="_Toc35393801"/>
      <w:bookmarkStart w:id="19" w:name="_Toc35393632"/>
      <w:bookmarkStart w:id="20" w:name="_Toc28359015"/>
      <w:bookmarkStart w:id="21" w:name="_Toc10621"/>
      <w:r>
        <w:rPr>
          <w:rFonts w:hint="eastAsia" w:ascii="仿宋" w:hAnsi="仿宋" w:eastAsia="仿宋" w:cs="仿宋"/>
          <w:b/>
          <w:bCs/>
          <w:color w:val="auto"/>
          <w:sz w:val="24"/>
          <w:szCs w:val="24"/>
          <w:lang w:val="en-US" w:eastAsia="zh-CN" w:bidi="ar-SA"/>
        </w:rPr>
        <w:t>四、投标文件提交</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lang w:val="en-US" w:eastAsia="zh-CN" w:bidi="ar-SA"/>
        </w:rPr>
        <w:t>截止时间：</w:t>
      </w:r>
      <w:r>
        <w:rPr>
          <w:rFonts w:hint="eastAsia" w:ascii="仿宋" w:hAnsi="仿宋" w:eastAsia="仿宋" w:cs="仿宋"/>
          <w:b w:val="0"/>
          <w:bCs w:val="0"/>
          <w:color w:val="auto"/>
          <w:sz w:val="24"/>
          <w:szCs w:val="24"/>
          <w:highlight w:val="none"/>
          <w:lang w:val="en-US" w:eastAsia="zh-CN" w:bidi="ar-SA"/>
        </w:rPr>
        <w:t>2025年06月30日16点30分（北京时间）</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 xml:space="preserve">    地    点：</w:t>
      </w:r>
      <w:r>
        <w:rPr>
          <w:rFonts w:hint="eastAsia" w:ascii="仿宋" w:hAnsi="仿宋" w:eastAsia="仿宋" w:cs="仿宋"/>
          <w:b w:val="0"/>
          <w:bCs w:val="0"/>
          <w:color w:val="auto"/>
          <w:sz w:val="24"/>
          <w:szCs w:val="24"/>
          <w:highlight w:val="none"/>
          <w:lang w:val="en-US" w:eastAsia="zh-CN" w:bidi="ar-SA"/>
        </w:rPr>
        <w:t>克拉玛依市恒隆广场A座412室</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2" w:name="_Toc28359016"/>
      <w:bookmarkStart w:id="23" w:name="_Toc35393802"/>
      <w:bookmarkStart w:id="24" w:name="_Toc35393633"/>
      <w:bookmarkStart w:id="25" w:name="_Toc28359093"/>
      <w:bookmarkStart w:id="26" w:name="_Toc10987"/>
      <w:r>
        <w:rPr>
          <w:rFonts w:hint="eastAsia" w:ascii="仿宋" w:hAnsi="仿宋" w:eastAsia="仿宋" w:cs="仿宋"/>
          <w:b/>
          <w:bCs/>
          <w:color w:val="auto"/>
          <w:sz w:val="24"/>
          <w:szCs w:val="24"/>
          <w:lang w:val="en-US" w:eastAsia="zh-CN" w:bidi="ar-SA"/>
        </w:rPr>
        <w:t>五、</w:t>
      </w:r>
      <w:bookmarkEnd w:id="22"/>
      <w:bookmarkEnd w:id="23"/>
      <w:bookmarkEnd w:id="24"/>
      <w:bookmarkEnd w:id="25"/>
      <w:r>
        <w:rPr>
          <w:rFonts w:hint="eastAsia" w:ascii="仿宋" w:hAnsi="仿宋" w:eastAsia="仿宋" w:cs="仿宋"/>
          <w:b/>
          <w:bCs/>
          <w:color w:val="auto"/>
          <w:sz w:val="24"/>
          <w:szCs w:val="24"/>
          <w:lang w:val="en-US" w:eastAsia="zh-CN" w:bidi="ar-SA"/>
        </w:rPr>
        <w:t>投标文件开启</w:t>
      </w:r>
      <w:bookmarkEnd w:id="26"/>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时    间：2025年</w:t>
      </w:r>
      <w:r>
        <w:rPr>
          <w:rFonts w:hint="eastAsia" w:ascii="仿宋" w:hAnsi="仿宋" w:eastAsia="仿宋" w:cs="仿宋"/>
          <w:b w:val="0"/>
          <w:bCs w:val="0"/>
          <w:color w:val="auto"/>
          <w:sz w:val="24"/>
          <w:szCs w:val="24"/>
          <w:highlight w:val="none"/>
          <w:lang w:val="en-US" w:eastAsia="zh-CN" w:bidi="ar-SA"/>
        </w:rPr>
        <w:t>06月30日16点30分</w:t>
      </w:r>
      <w:r>
        <w:rPr>
          <w:rFonts w:hint="eastAsia" w:ascii="仿宋" w:hAnsi="仿宋" w:eastAsia="仿宋" w:cs="仿宋"/>
          <w:b w:val="0"/>
          <w:bCs w:val="0"/>
          <w:color w:val="auto"/>
          <w:sz w:val="24"/>
          <w:szCs w:val="24"/>
          <w:lang w:val="en-US" w:eastAsia="zh-CN" w:bidi="ar-SA"/>
        </w:rPr>
        <w:t>（北京时间）</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点：</w:t>
      </w:r>
      <w:r>
        <w:rPr>
          <w:rFonts w:hint="eastAsia" w:ascii="仿宋" w:hAnsi="仿宋" w:eastAsia="仿宋" w:cs="仿宋"/>
          <w:b w:val="0"/>
          <w:bCs w:val="0"/>
          <w:color w:val="auto"/>
          <w:sz w:val="24"/>
          <w:szCs w:val="24"/>
          <w:highlight w:val="none"/>
          <w:lang w:val="en-US" w:eastAsia="zh-CN" w:bidi="ar-SA"/>
        </w:rPr>
        <w:t>克拉玛依市恒隆广场A座412</w:t>
      </w:r>
      <w:bookmarkStart w:id="97" w:name="_GoBack"/>
      <w:bookmarkEnd w:id="97"/>
      <w:r>
        <w:rPr>
          <w:rFonts w:hint="eastAsia" w:ascii="仿宋" w:hAnsi="仿宋" w:eastAsia="仿宋" w:cs="仿宋"/>
          <w:b w:val="0"/>
          <w:bCs w:val="0"/>
          <w:color w:val="auto"/>
          <w:sz w:val="24"/>
          <w:szCs w:val="24"/>
          <w:highlight w:val="none"/>
          <w:lang w:val="en-US" w:eastAsia="zh-CN" w:bidi="ar-SA"/>
        </w:rPr>
        <w:t>室</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27" w:name="_Toc28359017"/>
      <w:bookmarkStart w:id="28" w:name="_Toc35393803"/>
      <w:bookmarkStart w:id="29" w:name="_Toc10209"/>
      <w:bookmarkStart w:id="30" w:name="_Toc28359094"/>
      <w:bookmarkStart w:id="31" w:name="_Toc35393634"/>
      <w:r>
        <w:rPr>
          <w:rFonts w:hint="eastAsia" w:ascii="仿宋" w:hAnsi="仿宋" w:eastAsia="仿宋" w:cs="仿宋"/>
          <w:b/>
          <w:bCs/>
          <w:color w:val="auto"/>
          <w:sz w:val="24"/>
          <w:szCs w:val="24"/>
          <w:lang w:val="en-US" w:eastAsia="zh-CN" w:bidi="ar-SA"/>
        </w:rPr>
        <w:t>六、公告期限</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自本公告发布之日起3个工作日。</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2" w:name="_Toc6252"/>
      <w:bookmarkStart w:id="33" w:name="_Toc35393635"/>
      <w:bookmarkStart w:id="34" w:name="_Toc35393804"/>
      <w:r>
        <w:rPr>
          <w:rFonts w:hint="eastAsia" w:ascii="仿宋" w:hAnsi="仿宋" w:eastAsia="仿宋" w:cs="仿宋"/>
          <w:b/>
          <w:bCs/>
          <w:color w:val="auto"/>
          <w:sz w:val="24"/>
          <w:szCs w:val="24"/>
          <w:lang w:val="en-US" w:eastAsia="zh-CN" w:bidi="ar-SA"/>
        </w:rPr>
        <w:t>其他补充事宜</w:t>
      </w:r>
      <w:bookmarkEnd w:id="32"/>
      <w:bookmarkEnd w:id="33"/>
      <w:bookmarkEnd w:id="34"/>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报名：填写《供应商参加政府采购项目申请表》，将《</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w:t>
      </w:r>
      <w:r>
        <w:rPr>
          <w:rFonts w:hint="eastAsia" w:ascii="仿宋" w:hAnsi="仿宋" w:eastAsia="仿宋" w:cs="仿宋"/>
          <w:color w:val="auto"/>
          <w:sz w:val="24"/>
          <w:szCs w:val="24"/>
          <w:highlight w:val="none"/>
          <w:lang w:eastAsia="zh-CN"/>
        </w:rPr>
        <w:t>《报名资料》（</w:t>
      </w:r>
      <w:r>
        <w:rPr>
          <w:rFonts w:hint="eastAsia" w:ascii="仿宋" w:hAnsi="仿宋" w:eastAsia="仿宋" w:cs="仿宋"/>
          <w:color w:val="auto"/>
          <w:sz w:val="24"/>
          <w:szCs w:val="24"/>
          <w:highlight w:val="none"/>
          <w:lang w:val="en-US" w:eastAsia="zh-CN"/>
        </w:rPr>
        <w:t>报名资料根据</w:t>
      </w:r>
      <w:r>
        <w:rPr>
          <w:rFonts w:hint="eastAsia" w:ascii="仿宋" w:hAnsi="仿宋" w:eastAsia="仿宋" w:cs="仿宋"/>
          <w:color w:val="auto"/>
          <w:sz w:val="24"/>
          <w:szCs w:val="24"/>
          <w:highlight w:val="none"/>
        </w:rPr>
        <w:t>申请人的资格要求</w:t>
      </w:r>
      <w:r>
        <w:rPr>
          <w:rFonts w:hint="eastAsia" w:ascii="仿宋" w:hAnsi="仿宋" w:eastAsia="仿宋" w:cs="仿宋"/>
          <w:color w:val="auto"/>
          <w:sz w:val="24"/>
          <w:szCs w:val="24"/>
          <w:highlight w:val="none"/>
          <w:lang w:val="en-US" w:eastAsia="zh-CN"/>
        </w:rPr>
        <w:t>提供即可</w:t>
      </w:r>
      <w:r>
        <w:rPr>
          <w:rFonts w:hint="eastAsia" w:ascii="仿宋" w:hAnsi="仿宋" w:eastAsia="仿宋" w:cs="仿宋"/>
          <w:color w:val="auto"/>
          <w:sz w:val="24"/>
          <w:szCs w:val="24"/>
          <w:highlight w:val="none"/>
          <w:lang w:eastAsia="zh-CN"/>
        </w:rPr>
        <w:t>）及报名费</w:t>
      </w:r>
      <w:r>
        <w:rPr>
          <w:rFonts w:hint="eastAsia" w:ascii="仿宋" w:hAnsi="仿宋" w:eastAsia="仿宋" w:cs="仿宋"/>
          <w:color w:val="auto"/>
          <w:sz w:val="24"/>
          <w:szCs w:val="24"/>
          <w:highlight w:val="none"/>
        </w:rPr>
        <w:t>扫描件一同发送到邮箱：</w:t>
      </w:r>
      <w:r>
        <w:rPr>
          <w:rFonts w:hint="eastAsia" w:ascii="仿宋" w:hAnsi="仿宋" w:eastAsia="仿宋" w:cs="仿宋"/>
          <w:color w:val="auto"/>
          <w:sz w:val="24"/>
          <w:szCs w:val="24"/>
          <w:highlight w:val="none"/>
          <w:lang w:val="en-US" w:eastAsia="zh-CN"/>
        </w:rPr>
        <w:t>49956549</w:t>
      </w:r>
      <w:r>
        <w:rPr>
          <w:rFonts w:hint="eastAsia" w:ascii="仿宋" w:hAnsi="仿宋" w:eastAsia="仿宋" w:cs="仿宋"/>
          <w:color w:val="auto"/>
          <w:sz w:val="24"/>
          <w:szCs w:val="24"/>
          <w:highlight w:val="none"/>
        </w:rPr>
        <w:t>@qq.com，邮件名称必须为：项目名称+项目编号+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联系方式，未提交</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sz w:val="24"/>
          <w:szCs w:val="24"/>
          <w:highlight w:val="none"/>
        </w:rPr>
        <w:t>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活动。(报名表必须填写完整并加盖公章；不接受现场报名)。</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zh-CN"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缴纳账户信息：</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账户名称：新疆元皓工程管理咨询有限公司</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开户行：中国建设银行股份有限公司克拉玛依石油分行城南支行     </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地  址：新疆克拉玛依市克拉玛依区新兴路339-414号（四楼）</w:t>
      </w:r>
    </w:p>
    <w:p>
      <w:pPr>
        <w:pageBreakBefore w:val="0"/>
        <w:widowControl w:val="0"/>
        <w:kinsoku/>
        <w:wordWrap/>
        <w:overflowPunct/>
        <w:topLinePunct w:val="0"/>
        <w:autoSpaceDE/>
        <w:autoSpaceDN/>
        <w:bidi w:val="0"/>
        <w:adjustRightInd/>
        <w:snapToGrid w:val="0"/>
        <w:spacing w:line="360" w:lineRule="auto"/>
        <w:ind w:firstLine="540"/>
        <w:textAlignment w:val="auto"/>
        <w:rPr>
          <w:rFonts w:hint="eastAsia"/>
          <w:color w:val="auto"/>
          <w:lang w:val="en-US" w:eastAsia="zh-CN"/>
        </w:rPr>
      </w:pPr>
      <w:r>
        <w:rPr>
          <w:rFonts w:hint="eastAsia" w:ascii="仿宋" w:hAnsi="仿宋" w:eastAsia="仿宋" w:cs="仿宋"/>
          <w:b w:val="0"/>
          <w:bCs w:val="0"/>
          <w:color w:val="auto"/>
          <w:sz w:val="24"/>
          <w:szCs w:val="24"/>
          <w:highlight w:val="none"/>
          <w:lang w:val="en-US" w:eastAsia="zh-CN" w:bidi="ar-SA"/>
        </w:rPr>
        <w:t>银行账号：65050189864600000290</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b/>
          <w:bCs/>
          <w:color w:val="auto"/>
          <w:sz w:val="24"/>
          <w:szCs w:val="24"/>
          <w:lang w:val="en-US" w:eastAsia="zh-CN" w:bidi="ar-SA"/>
        </w:rPr>
      </w:pPr>
      <w:bookmarkStart w:id="35" w:name="_Toc28359095"/>
      <w:bookmarkStart w:id="36" w:name="_Toc28359018"/>
      <w:bookmarkStart w:id="37" w:name="_Toc35393805"/>
      <w:bookmarkStart w:id="38" w:name="_Toc3828"/>
      <w:bookmarkStart w:id="39" w:name="_Toc35393636"/>
      <w:r>
        <w:rPr>
          <w:rFonts w:hint="eastAsia" w:ascii="仿宋" w:hAnsi="仿宋" w:eastAsia="仿宋" w:cs="仿宋"/>
          <w:b/>
          <w:bCs/>
          <w:color w:val="auto"/>
          <w:sz w:val="24"/>
          <w:szCs w:val="24"/>
          <w:lang w:val="en-US" w:eastAsia="zh-CN" w:bidi="ar-SA"/>
        </w:rPr>
        <w:t>八、凡对本次招标提出询问，请按以下方式联系</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bookmarkStart w:id="40" w:name="_Toc35393806"/>
      <w:bookmarkStart w:id="41" w:name="_Toc28359096"/>
      <w:bookmarkStart w:id="42" w:name="_Toc35393637"/>
      <w:bookmarkStart w:id="43" w:name="_Toc28359019"/>
      <w:r>
        <w:rPr>
          <w:rFonts w:hint="eastAsia" w:ascii="仿宋" w:hAnsi="仿宋" w:eastAsia="仿宋" w:cs="仿宋"/>
          <w:b w:val="0"/>
          <w:bCs w:val="0"/>
          <w:color w:val="auto"/>
          <w:sz w:val="24"/>
          <w:szCs w:val="24"/>
          <w:lang w:val="en-US" w:eastAsia="zh-CN" w:bidi="ar-SA"/>
        </w:rPr>
        <w:t>1.采购人信息</w:t>
      </w:r>
      <w:bookmarkEnd w:id="40"/>
      <w:bookmarkEnd w:id="41"/>
      <w:bookmarkEnd w:id="42"/>
      <w:bookmarkEnd w:id="43"/>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名    称：国家税务总局克拉玛依市白碱滩区税务局　</w:t>
      </w:r>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地    址：克拉玛依市白碱滩区中兴路134号　</w:t>
      </w:r>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b w:val="0"/>
          <w:bCs w:val="0"/>
          <w:color w:val="auto"/>
          <w:sz w:val="24"/>
          <w:szCs w:val="24"/>
          <w:lang w:val="en-US" w:eastAsia="zh-CN" w:bidi="ar-SA"/>
        </w:rPr>
      </w:pPr>
      <w:r>
        <w:rPr>
          <w:rFonts w:hint="eastAsia" w:ascii="仿宋" w:hAnsi="仿宋" w:eastAsia="仿宋" w:cs="仿宋"/>
          <w:color w:val="auto"/>
          <w:kern w:val="0"/>
          <w:sz w:val="24"/>
          <w:szCs w:val="24"/>
          <w:highlight w:val="none"/>
        </w:rPr>
        <w:t>项目</w:t>
      </w:r>
      <w:r>
        <w:rPr>
          <w:rFonts w:hint="eastAsia" w:ascii="仿宋" w:hAnsi="仿宋" w:eastAsia="仿宋" w:cs="仿宋"/>
          <w:b w:val="0"/>
          <w:bCs w:val="0"/>
          <w:color w:val="auto"/>
          <w:sz w:val="24"/>
          <w:szCs w:val="24"/>
          <w:lang w:val="en-US" w:eastAsia="zh-CN" w:bidi="ar-SA"/>
        </w:rPr>
        <w:t>联系人：迟万瑞</w:t>
      </w:r>
    </w:p>
    <w:p>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bidi="ar-SA"/>
        </w:rPr>
        <w:t>联系方式：0990-6916086</w:t>
      </w:r>
      <w:bookmarkStart w:id="44" w:name="_Toc28359020"/>
      <w:bookmarkStart w:id="45" w:name="_Toc35393807"/>
      <w:bookmarkStart w:id="46" w:name="_Toc35393638"/>
      <w:bookmarkStart w:id="47" w:name="_Toc2835909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称：新疆元皓工程管理咨询有限公司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址：新疆克拉玛依市克拉玛依区新兴路339号A座416号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b w:val="0"/>
          <w:bCs w:val="0"/>
          <w:color w:val="auto"/>
          <w:sz w:val="24"/>
          <w:szCs w:val="24"/>
          <w:lang w:val="en-US" w:eastAsia="zh-CN" w:bidi="ar-SA"/>
        </w:rPr>
        <w:t>李祥维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联系方式：0990-6247705  13565458118　　　　　　　　　</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zh-CN"/>
        </w:rPr>
        <w:sectPr>
          <w:headerReference r:id="rId8" w:type="default"/>
          <w:footerReference r:id="rId9" w:type="default"/>
          <w:pgSz w:w="11906" w:h="16838"/>
          <w:pgMar w:top="1440" w:right="1080" w:bottom="1440" w:left="1080" w:header="851" w:footer="851" w:gutter="0"/>
          <w:pgNumType w:fmt="decimal" w:start="1"/>
          <w:cols w:space="720" w:num="1"/>
          <w:docGrid w:linePitch="388" w:charSpace="-1260"/>
        </w:sectPr>
      </w:pPr>
      <w:bookmarkStart w:id="48" w:name="_Toc285612594"/>
      <w:bookmarkStart w:id="49" w:name="_Toc390713967"/>
      <w:bookmarkStart w:id="50" w:name="_Toc83738977"/>
      <w:bookmarkStart w:id="51" w:name="_Toc6033"/>
      <w:bookmarkStart w:id="52" w:name="_Toc240432230"/>
      <w:bookmarkStart w:id="53" w:name="_Toc390713968"/>
      <w:bookmarkStart w:id="54" w:name="_Toc285612601"/>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zh-CN"/>
        </w:rPr>
        <w:t xml:space="preserve">第二部分  </w:t>
      </w:r>
      <w:bookmarkEnd w:id="48"/>
      <w:bookmarkEnd w:id="49"/>
      <w:bookmarkEnd w:id="50"/>
      <w:r>
        <w:rPr>
          <w:rFonts w:hint="eastAsia" w:ascii="仿宋" w:hAnsi="仿宋" w:eastAsia="仿宋" w:cs="仿宋"/>
          <w:b/>
          <w:bCs/>
          <w:color w:val="auto"/>
          <w:sz w:val="24"/>
          <w:szCs w:val="24"/>
          <w:lang w:val="en-US" w:eastAsia="zh-CN"/>
        </w:rPr>
        <w:t>项目采购需求</w:t>
      </w:r>
      <w:bookmarkEnd w:id="51"/>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、总则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1.1本章条款仅限于</w:t>
      </w:r>
      <w:r>
        <w:rPr>
          <w:rFonts w:hint="eastAsia" w:ascii="仿宋" w:hAnsi="仿宋" w:eastAsia="仿宋" w:cs="仿宋"/>
          <w:color w:val="auto"/>
          <w:sz w:val="24"/>
          <w:szCs w:val="24"/>
          <w:lang w:eastAsia="zh-CN"/>
        </w:rPr>
        <w:t>中国石油天然气股份有限公司克拉玛依润滑油厂变压器油类产品检测项目（二次）</w:t>
      </w:r>
      <w:r>
        <w:rPr>
          <w:rFonts w:hint="eastAsia" w:ascii="仿宋" w:hAnsi="仿宋" w:eastAsia="仿宋" w:cs="仿宋"/>
          <w:snapToGrid w:val="0"/>
          <w:color w:val="auto"/>
          <w:sz w:val="24"/>
          <w:szCs w:val="24"/>
          <w:lang w:val="zh-CN"/>
        </w:rPr>
        <w:t>询价采购</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1.2本章条款提出的是最低限度的技术要求，并未对一切技术细节做出规定，也未引述有关规范条文，</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不得以本文件未提出要求为理由而规避国家和行业强制规范、标准的规定，</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应保证提供符合本章条款和相关标准的服务。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1.3如果</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没有以书面形式对本章条款提出异议，</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就可以认为</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提供的成果符合本章条款的要求。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文件中，应对</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文件中的服务进行详细的说明。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1.5在签订合同之后，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有权提出因规范标准有变化而产生的一些补充要求。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1.6本章条款使用标准与供应商所执行标准发生矛盾，则按照较高标准执行。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、执行的规范和标准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本项目必须依照工作指南的要求开展，且遵循国家规范和标准并应按最新版本执行，若标准、规范出现矛盾时，以最新、最高标准规范执行。</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需求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color w:val="auto"/>
          <w:sz w:val="24"/>
          <w:szCs w:val="24"/>
          <w:lang w:val="en-US" w:eastAsia="zh-CN" w:bidi="ar-SA"/>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val="zh-CN" w:eastAsia="zh-CN"/>
        </w:rPr>
        <w:t>规模：</w:t>
      </w:r>
      <w:r>
        <w:rPr>
          <w:rFonts w:hint="eastAsia" w:ascii="仿宋" w:hAnsi="仿宋" w:eastAsia="仿宋" w:cs="仿宋"/>
          <w:color w:val="auto"/>
          <w:sz w:val="24"/>
          <w:szCs w:val="24"/>
          <w:lang w:val="en-US" w:eastAsia="zh-CN" w:bidi="ar-SA"/>
        </w:rPr>
        <w:t>对中国石油天然气股份有限公司克拉玛依润滑油厂生产的昆仑KI25X变压器油 、昆仑KI45X变压器油、昆仑KI50X变压器油 、昆仑Petro45U变压器油 、昆仑PETRO 45X Plus变压器油、昆仑PETRO 45X TRANSFORMER OIL 、昆仑Petro 25X变压器油、Petro50GX负析气性变压器油等变压器油品进行检测等全部内容。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范围：</w:t>
      </w:r>
      <w:r>
        <w:rPr>
          <w:rFonts w:hint="eastAsia" w:ascii="仿宋" w:hAnsi="仿宋" w:eastAsia="仿宋" w:cs="仿宋"/>
          <w:color w:val="auto"/>
          <w:sz w:val="24"/>
          <w:szCs w:val="24"/>
          <w:lang w:val="en-US" w:eastAsia="zh-CN" w:bidi="ar-SA"/>
        </w:rPr>
        <w:t>对中国石油天然气股份有限公司克拉玛依润滑油厂变压器油类产品检测项目（二次）进行油类产品检测服务等以及合同条款、技术规范及标准、项目采购需求、本询价文件约定的全部内容及责任和义务。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3.服务标准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1.具有市场监管总局检验检测机构资质认定（CMA认定）和中国合格评定国家认可委员会认可（CNAS认可）。</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2.按照甲方要求对中国石油天然气股份有限公司克拉玛依润滑油厂生产的油品进行抽检。</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3.抽检过程中按照国家标准进行抽取并出示检测报告。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4.检测组应严格按照《成品油涉税产品检测管理暂行办法》规定要求执行。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Cs w:val="24"/>
          <w:highlight w:val="none"/>
          <w:lang w:eastAsia="zh-CN"/>
        </w:rPr>
      </w:pPr>
      <w:r>
        <w:rPr>
          <w:rFonts w:hint="eastAsia" w:ascii="仿宋" w:hAnsi="仿宋" w:eastAsia="仿宋"/>
          <w:color w:val="auto"/>
          <w:szCs w:val="24"/>
          <w:highlight w:val="none"/>
          <w:lang w:val="en-US" w:eastAsia="zh-CN"/>
        </w:rPr>
        <w:t>合同签订之日起</w:t>
      </w:r>
      <w:r>
        <w:rPr>
          <w:rFonts w:hint="eastAsia" w:ascii="仿宋" w:hAnsi="仿宋" w:eastAsia="仿宋"/>
          <w:color w:val="auto"/>
          <w:szCs w:val="24"/>
          <w:highlight w:val="none"/>
        </w:rPr>
        <w:t>至</w:t>
      </w:r>
      <w:r>
        <w:rPr>
          <w:rFonts w:hint="eastAsia" w:ascii="仿宋" w:hAnsi="仿宋" w:eastAsia="仿宋"/>
          <w:color w:val="auto"/>
          <w:szCs w:val="24"/>
          <w:highlight w:val="none"/>
          <w:lang w:val="en-US" w:eastAsia="zh-CN"/>
        </w:rPr>
        <w:t>2025</w:t>
      </w:r>
      <w:r>
        <w:rPr>
          <w:rFonts w:hint="eastAsia" w:ascii="仿宋" w:hAnsi="仿宋" w:eastAsia="仿宋"/>
          <w:color w:val="auto"/>
          <w:szCs w:val="24"/>
          <w:highlight w:val="none"/>
        </w:rPr>
        <w:t>年</w:t>
      </w:r>
      <w:r>
        <w:rPr>
          <w:rFonts w:hint="eastAsia" w:ascii="仿宋" w:hAnsi="仿宋" w:eastAsia="仿宋"/>
          <w:color w:val="auto"/>
          <w:szCs w:val="24"/>
          <w:highlight w:val="none"/>
          <w:lang w:val="en-US" w:eastAsia="zh-CN"/>
        </w:rPr>
        <w:t>12</w:t>
      </w:r>
      <w:r>
        <w:rPr>
          <w:rFonts w:hint="eastAsia" w:ascii="仿宋" w:hAnsi="仿宋" w:eastAsia="仿宋"/>
          <w:color w:val="auto"/>
          <w:szCs w:val="24"/>
          <w:highlight w:val="none"/>
        </w:rPr>
        <w:t>月</w:t>
      </w:r>
      <w:r>
        <w:rPr>
          <w:rFonts w:hint="eastAsia" w:ascii="仿宋" w:hAnsi="仿宋" w:eastAsia="仿宋"/>
          <w:color w:val="auto"/>
          <w:szCs w:val="24"/>
          <w:highlight w:val="none"/>
          <w:lang w:val="en-US" w:eastAsia="zh-CN"/>
        </w:rPr>
        <w:t>31</w:t>
      </w:r>
      <w:r>
        <w:rPr>
          <w:rFonts w:hint="eastAsia" w:ascii="仿宋" w:hAnsi="仿宋" w:eastAsia="仿宋"/>
          <w:color w:val="auto"/>
          <w:szCs w:val="24"/>
          <w:highlight w:val="none"/>
        </w:rPr>
        <w:t>日</w:t>
      </w:r>
      <w:r>
        <w:rPr>
          <w:rFonts w:hint="eastAsia" w:ascii="仿宋" w:hAnsi="仿宋" w:eastAsia="仿宋"/>
          <w:color w:val="auto"/>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中国石油天然气股份有限公司克拉玛依润滑油厂变压器油罐区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以合同签订内容为主。</w:t>
      </w:r>
    </w:p>
    <w:p>
      <w:pPr>
        <w:keepNext w:val="0"/>
        <w:keepLines w:val="0"/>
        <w:pageBreakBefore w:val="0"/>
        <w:widowControl w:val="0"/>
        <w:numPr>
          <w:ilvl w:val="0"/>
          <w:numId w:val="0"/>
        </w:numPr>
        <w:kinsoku/>
        <w:wordWrap/>
        <w:overflowPunct/>
        <w:topLinePunct w:val="0"/>
        <w:autoSpaceDE/>
        <w:autoSpaceDN/>
        <w:bidi w:val="0"/>
        <w:adjustRightInd/>
        <w:snapToGrid w:val="0"/>
        <w:spacing w:before="240" w:beforeLines="100" w:line="240" w:lineRule="auto"/>
        <w:jc w:val="center"/>
        <w:textAlignment w:val="auto"/>
        <w:outlineLvl w:val="0"/>
        <w:rPr>
          <w:rFonts w:hint="eastAsia" w:ascii="仿宋" w:hAnsi="仿宋" w:eastAsia="仿宋" w:cs="仿宋"/>
          <w:b/>
          <w:bCs/>
          <w:color w:val="auto"/>
          <w:sz w:val="24"/>
          <w:szCs w:val="24"/>
          <w:lang w:val="zh-CN"/>
        </w:rPr>
      </w:pPr>
      <w:bookmarkStart w:id="55" w:name="_Toc11023"/>
      <w:r>
        <w:rPr>
          <w:rFonts w:hint="eastAsia" w:ascii="仿宋" w:hAnsi="仿宋" w:eastAsia="仿宋" w:cs="仿宋"/>
          <w:b/>
          <w:bCs/>
          <w:color w:val="auto"/>
          <w:sz w:val="24"/>
          <w:szCs w:val="24"/>
          <w:lang w:val="en-US" w:eastAsia="zh-CN"/>
        </w:rPr>
        <w:t>第三部分</w:t>
      </w:r>
      <w:r>
        <w:rPr>
          <w:rFonts w:hint="eastAsia" w:ascii="仿宋" w:hAnsi="仿宋" w:eastAsia="仿宋" w:cs="仿宋"/>
          <w:b/>
          <w:bCs/>
          <w:color w:val="auto"/>
          <w:sz w:val="24"/>
          <w:szCs w:val="24"/>
          <w:lang w:val="zh-CN"/>
        </w:rPr>
        <w:t xml:space="preserve">  供应商须知</w:t>
      </w:r>
      <w:bookmarkEnd w:id="52"/>
      <w:bookmarkEnd w:id="53"/>
      <w:bookmarkEnd w:id="54"/>
      <w:bookmarkEnd w:id="55"/>
    </w:p>
    <w:p>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说  明</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概述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zh-CN"/>
        </w:rPr>
        <w:t>本询价文件仅适用于本次询价采购。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snapToGrid w:val="0"/>
          <w:color w:val="auto"/>
          <w:sz w:val="24"/>
          <w:szCs w:val="24"/>
        </w:rPr>
        <w:t>2.参与询价的所有各方，对在参与采购过程中获悉的国家和单位商业</w:t>
      </w:r>
      <w:r>
        <w:rPr>
          <w:rFonts w:hint="eastAsia" w:ascii="仿宋" w:hAnsi="仿宋" w:eastAsia="仿宋" w:cs="仿宋"/>
          <w:snapToGrid w:val="0"/>
          <w:color w:val="auto"/>
          <w:sz w:val="24"/>
          <w:szCs w:val="24"/>
          <w:lang w:eastAsia="zh-CN"/>
        </w:rPr>
        <w:t>秘密</w:t>
      </w:r>
      <w:r>
        <w:rPr>
          <w:rFonts w:hint="eastAsia" w:ascii="仿宋" w:hAnsi="仿宋" w:eastAsia="仿宋" w:cs="仿宋"/>
          <w:snapToGrid w:val="0"/>
          <w:color w:val="auto"/>
          <w:sz w:val="24"/>
          <w:szCs w:val="24"/>
        </w:rPr>
        <w:t>、技术秘密以及</w:t>
      </w:r>
      <w:r>
        <w:rPr>
          <w:rFonts w:hint="eastAsia" w:ascii="仿宋" w:hAnsi="仿宋" w:eastAsia="仿宋" w:cs="仿宋"/>
          <w:snapToGrid w:val="0"/>
          <w:color w:val="auto"/>
          <w:sz w:val="24"/>
          <w:szCs w:val="24"/>
          <w:lang w:eastAsia="zh-CN"/>
        </w:rPr>
        <w:t>其他</w:t>
      </w:r>
      <w:r>
        <w:rPr>
          <w:rFonts w:hint="eastAsia" w:ascii="仿宋" w:hAnsi="仿宋" w:eastAsia="仿宋" w:cs="仿宋"/>
          <w:snapToGrid w:val="0"/>
          <w:color w:val="auto"/>
          <w:sz w:val="24"/>
          <w:szCs w:val="24"/>
        </w:rPr>
        <w:t>依法应当保密的内容，均负有保密义务，违者应对由此造成的后果承担全部法律责任。</w:t>
      </w:r>
    </w:p>
    <w:p>
      <w:pPr>
        <w:keepNext w:val="0"/>
        <w:keepLines w:val="0"/>
        <w:pageBreakBefore w:val="0"/>
        <w:widowControl w:val="0"/>
        <w:numPr>
          <w:ilvl w:val="0"/>
          <w:numId w:val="5"/>
        </w:numPr>
        <w:kinsoku/>
        <w:wordWrap/>
        <w:overflowPunct/>
        <w:topLinePunct w:val="0"/>
        <w:bidi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定义</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1.“采购项目”系指本询价文件里描述的所需采购的货物和相关服务；</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2.“采购机构”系指组织本次询价的</w:t>
      </w:r>
      <w:r>
        <w:rPr>
          <w:rFonts w:hint="eastAsia" w:ascii="仿宋" w:hAnsi="仿宋" w:eastAsia="仿宋" w:cs="仿宋"/>
          <w:color w:val="auto"/>
          <w:sz w:val="24"/>
          <w:szCs w:val="24"/>
        </w:rPr>
        <w:t>新疆元皓工程管理咨询有限公司</w:t>
      </w:r>
      <w:r>
        <w:rPr>
          <w:rFonts w:hint="eastAsia" w:ascii="仿宋" w:hAnsi="仿宋" w:eastAsia="仿宋" w:cs="仿宋"/>
          <w:snapToGrid w:val="0"/>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3.“</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”系指从采购机构按规定获取询价文件，并</w:t>
      </w:r>
      <w:r>
        <w:rPr>
          <w:rFonts w:hint="eastAsia" w:ascii="仿宋" w:hAnsi="仿宋" w:eastAsia="仿宋" w:cs="仿宋"/>
          <w:bCs/>
          <w:snapToGrid w:val="0"/>
          <w:color w:val="auto"/>
          <w:sz w:val="24"/>
          <w:szCs w:val="24"/>
        </w:rPr>
        <w:t>向采购机构递交</w:t>
      </w:r>
      <w:r>
        <w:rPr>
          <w:rFonts w:hint="eastAsia" w:ascii="仿宋" w:hAnsi="仿宋" w:eastAsia="仿宋" w:cs="仿宋"/>
          <w:bCs/>
          <w:snapToGrid w:val="0"/>
          <w:color w:val="auto"/>
          <w:sz w:val="24"/>
          <w:szCs w:val="24"/>
          <w:lang w:eastAsia="zh-CN"/>
        </w:rPr>
        <w:t>投标文件</w:t>
      </w:r>
      <w:r>
        <w:rPr>
          <w:rFonts w:hint="eastAsia" w:ascii="仿宋" w:hAnsi="仿宋" w:eastAsia="仿宋" w:cs="仿宋"/>
          <w:bCs/>
          <w:snapToGrid w:val="0"/>
          <w:color w:val="auto"/>
          <w:sz w:val="24"/>
          <w:szCs w:val="24"/>
        </w:rPr>
        <w:t>的供应商；</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snapToGrid w:val="0"/>
          <w:color w:val="auto"/>
          <w:sz w:val="24"/>
          <w:szCs w:val="24"/>
        </w:rPr>
      </w:pPr>
      <w:r>
        <w:rPr>
          <w:rFonts w:hint="eastAsia" w:ascii="仿宋" w:hAnsi="仿宋" w:eastAsia="仿宋" w:cs="仿宋"/>
          <w:snapToGrid w:val="0"/>
          <w:color w:val="auto"/>
          <w:sz w:val="24"/>
          <w:szCs w:val="24"/>
        </w:rPr>
        <w:t>4.“成交供应商”系指</w:t>
      </w:r>
      <w:r>
        <w:rPr>
          <w:rFonts w:hint="eastAsia" w:ascii="仿宋" w:hAnsi="仿宋" w:eastAsia="仿宋" w:cs="仿宋"/>
          <w:snapToGrid w:val="0"/>
          <w:color w:val="auto"/>
          <w:sz w:val="24"/>
          <w:szCs w:val="24"/>
          <w:lang w:val="zh-CN"/>
        </w:rPr>
        <w:t>经过询价评审，确定成交的供应商</w:t>
      </w:r>
      <w:r>
        <w:rPr>
          <w:rFonts w:hint="eastAsia" w:ascii="仿宋" w:hAnsi="仿宋" w:eastAsia="仿宋" w:cs="仿宋"/>
          <w:snapToGrid w:val="0"/>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5.“服务”系指按合同条款、技术规范及标准、</w:t>
      </w:r>
      <w:r>
        <w:rPr>
          <w:rFonts w:hint="eastAsia" w:ascii="仿宋" w:hAnsi="仿宋" w:eastAsia="仿宋" w:cs="仿宋"/>
          <w:snapToGrid w:val="0"/>
          <w:color w:val="auto"/>
          <w:sz w:val="24"/>
          <w:szCs w:val="24"/>
          <w:lang w:eastAsia="zh-CN"/>
        </w:rPr>
        <w:t>项目服务需求</w:t>
      </w:r>
      <w:r>
        <w:rPr>
          <w:rFonts w:hint="eastAsia" w:ascii="仿宋" w:hAnsi="仿宋" w:eastAsia="仿宋" w:cs="仿宋"/>
          <w:snapToGrid w:val="0"/>
          <w:color w:val="auto"/>
          <w:sz w:val="24"/>
          <w:szCs w:val="24"/>
        </w:rPr>
        <w:t>、本招标文件规定</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中标</w:t>
      </w:r>
      <w:r>
        <w:rPr>
          <w:rFonts w:hint="eastAsia" w:ascii="仿宋" w:hAnsi="仿宋" w:eastAsia="仿宋" w:cs="仿宋"/>
          <w:snapToGrid w:val="0"/>
          <w:color w:val="auto"/>
          <w:sz w:val="24"/>
          <w:szCs w:val="24"/>
          <w:lang w:eastAsia="zh-CN"/>
        </w:rPr>
        <w:t>单位在服务期限</w:t>
      </w:r>
      <w:r>
        <w:rPr>
          <w:rFonts w:hint="eastAsia" w:ascii="仿宋" w:hAnsi="仿宋" w:eastAsia="仿宋" w:cs="仿宋"/>
          <w:snapToGrid w:val="0"/>
          <w:color w:val="auto"/>
          <w:sz w:val="24"/>
          <w:szCs w:val="24"/>
          <w:lang w:val="en-US" w:eastAsia="zh-CN"/>
        </w:rPr>
        <w:t>内</w:t>
      </w:r>
      <w:r>
        <w:rPr>
          <w:rFonts w:hint="eastAsia" w:ascii="仿宋" w:hAnsi="仿宋" w:eastAsia="仿宋" w:cs="仿宋"/>
          <w:snapToGrid w:val="0"/>
          <w:color w:val="auto"/>
          <w:sz w:val="24"/>
          <w:szCs w:val="24"/>
          <w:lang w:eastAsia="zh-CN"/>
        </w:rPr>
        <w:t>完成</w:t>
      </w:r>
      <w:r>
        <w:rPr>
          <w:rFonts w:hint="eastAsia" w:ascii="仿宋" w:hAnsi="仿宋" w:eastAsia="仿宋" w:cs="仿宋"/>
          <w:b w:val="0"/>
          <w:bCs w:val="0"/>
          <w:color w:val="auto"/>
          <w:sz w:val="24"/>
          <w:szCs w:val="24"/>
          <w:highlight w:val="none"/>
          <w:lang w:val="en-US" w:eastAsia="zh-CN" w:bidi="ar-SA"/>
        </w:rPr>
        <w:t>中国石油天然气股份有限公司克拉玛依润滑油厂变压器油类产品检测项目（二次）</w:t>
      </w:r>
      <w:r>
        <w:rPr>
          <w:rFonts w:hint="eastAsia" w:ascii="仿宋" w:hAnsi="仿宋" w:eastAsia="仿宋" w:cs="仿宋"/>
          <w:snapToGrid w:val="0"/>
          <w:color w:val="auto"/>
          <w:sz w:val="24"/>
          <w:szCs w:val="24"/>
          <w:lang w:val="en-US" w:eastAsia="zh-CN"/>
        </w:rPr>
        <w:t>所包括的</w:t>
      </w:r>
      <w:r>
        <w:rPr>
          <w:rFonts w:hint="eastAsia" w:ascii="仿宋" w:hAnsi="仿宋" w:eastAsia="仿宋" w:cs="仿宋"/>
          <w:snapToGrid w:val="0"/>
          <w:color w:val="auto"/>
          <w:sz w:val="24"/>
          <w:szCs w:val="24"/>
          <w:lang w:eastAsia="zh-CN"/>
        </w:rPr>
        <w:t>全部内容及责任和义务</w:t>
      </w:r>
      <w:r>
        <w:rPr>
          <w:rFonts w:hint="eastAsia" w:ascii="仿宋" w:hAnsi="仿宋" w:eastAsia="仿宋" w:cs="仿宋"/>
          <w:snapToGrid w:val="0"/>
          <w:color w:val="auto"/>
          <w:sz w:val="24"/>
          <w:szCs w:val="24"/>
          <w:lang w:val="en-US" w:eastAsia="zh-CN"/>
        </w:rPr>
        <w:t>，具体详见项目采购需求。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w:t>
      </w:r>
      <w:r>
        <w:rPr>
          <w:rFonts w:hint="eastAsia" w:ascii="仿宋" w:hAnsi="仿宋" w:eastAsia="仿宋" w:cs="仿宋"/>
          <w:color w:val="auto"/>
          <w:kern w:val="2"/>
          <w:sz w:val="24"/>
          <w:szCs w:val="24"/>
          <w:highlight w:val="none"/>
          <w:lang w:val="en-US" w:eastAsia="zh-CN" w:bidi="ar-SA"/>
        </w:rPr>
        <w:t xml:space="preserve">凡提及的“天、日期、星期、月份和年份”系指公历日历的日历天、日期、星期、月份和年份。 </w:t>
      </w:r>
    </w:p>
    <w:p>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w:t>
      </w:r>
      <w:r>
        <w:rPr>
          <w:rFonts w:hint="eastAsia" w:ascii="仿宋" w:hAnsi="仿宋" w:eastAsia="仿宋" w:cs="仿宋"/>
          <w:snapToGrid w:val="0"/>
          <w:color w:val="auto"/>
          <w:sz w:val="24"/>
          <w:szCs w:val="24"/>
          <w:lang w:eastAsia="zh-CN"/>
        </w:rPr>
        <w:t>供应商</w:t>
      </w:r>
    </w:p>
    <w:p>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1.能够遵守国家和单位的有关法律、法规和本次询价的有关规定；</w:t>
      </w:r>
    </w:p>
    <w:p>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2.经采购机构资格审查合格，接受邀请，并有</w:t>
      </w:r>
      <w:r>
        <w:rPr>
          <w:rFonts w:hint="eastAsia" w:ascii="仿宋" w:hAnsi="仿宋" w:eastAsia="仿宋" w:cs="仿宋"/>
          <w:snapToGrid w:val="0"/>
          <w:color w:val="auto"/>
          <w:sz w:val="24"/>
          <w:szCs w:val="24"/>
          <w:lang w:val="en-US" w:eastAsia="zh-CN"/>
        </w:rPr>
        <w:t>施工</w:t>
      </w:r>
      <w:r>
        <w:rPr>
          <w:rFonts w:hint="eastAsia" w:ascii="仿宋" w:hAnsi="仿宋" w:eastAsia="仿宋" w:cs="仿宋"/>
          <w:snapToGrid w:val="0"/>
          <w:color w:val="auto"/>
          <w:sz w:val="24"/>
          <w:szCs w:val="24"/>
        </w:rPr>
        <w:t>能力的供应商；</w:t>
      </w:r>
    </w:p>
    <w:p>
      <w:pPr>
        <w:tabs>
          <w:tab w:val="left" w:pos="574"/>
        </w:tabs>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3.能够承担询价报价及合同履约中应承担的全部责任与义务。</w:t>
      </w:r>
    </w:p>
    <w:p>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合格的货物和相关服务</w:t>
      </w:r>
    </w:p>
    <w:p>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对所提供的货物应当享有合法的所有权，没有侵犯任何第三方的知识产权、技术秘密等权利，</w:t>
      </w:r>
      <w:r>
        <w:rPr>
          <w:rFonts w:hint="eastAsia" w:ascii="仿宋" w:hAnsi="仿宋" w:eastAsia="仿宋" w:cs="仿宋"/>
          <w:snapToGrid w:val="0"/>
          <w:color w:val="auto"/>
          <w:sz w:val="24"/>
          <w:szCs w:val="24"/>
          <w:lang w:eastAsia="zh-CN"/>
        </w:rPr>
        <w:t>并且</w:t>
      </w:r>
      <w:r>
        <w:rPr>
          <w:rFonts w:hint="eastAsia" w:ascii="仿宋" w:hAnsi="仿宋" w:eastAsia="仿宋" w:cs="仿宋"/>
          <w:snapToGrid w:val="0"/>
          <w:color w:val="auto"/>
          <w:sz w:val="24"/>
          <w:szCs w:val="24"/>
        </w:rPr>
        <w:t xml:space="preserve">不存在任何抵押、留置、查封等产权瑕疵； </w:t>
      </w:r>
    </w:p>
    <w:p>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提供的货物必须是全新的、未使用过的，货物和相关服务应当符合询价文件的要求，并且其质量完全符合国家标准、军用标准或行业标准。</w:t>
      </w:r>
    </w:p>
    <w:p>
      <w:pPr>
        <w:numPr>
          <w:ilvl w:val="0"/>
          <w:numId w:val="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招标代理</w:t>
      </w:r>
      <w:r>
        <w:rPr>
          <w:rFonts w:hint="eastAsia" w:ascii="仿宋" w:hAnsi="仿宋" w:eastAsia="仿宋" w:cs="仿宋"/>
          <w:snapToGrid w:val="0"/>
          <w:color w:val="auto"/>
          <w:sz w:val="24"/>
          <w:szCs w:val="24"/>
        </w:rPr>
        <w:t>费用</w:t>
      </w:r>
    </w:p>
    <w:p>
      <w:pPr>
        <w:snapToGrid w:val="0"/>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1.采购代理费：</w:t>
      </w:r>
      <w:r>
        <w:rPr>
          <w:rFonts w:hint="eastAsia" w:ascii="仿宋" w:hAnsi="仿宋" w:eastAsia="仿宋" w:cs="仿宋"/>
          <w:snapToGrid w:val="0"/>
          <w:color w:val="auto"/>
          <w:sz w:val="24"/>
          <w:szCs w:val="24"/>
          <w:highlight w:val="none"/>
        </w:rPr>
        <w:t>收费标准：</w:t>
      </w:r>
      <w:r>
        <w:rPr>
          <w:rFonts w:hint="eastAsia" w:ascii="仿宋" w:hAnsi="仿宋" w:eastAsia="仿宋" w:cs="仿宋"/>
          <w:snapToGrid w:val="0"/>
          <w:color w:val="auto"/>
          <w:sz w:val="24"/>
          <w:szCs w:val="24"/>
          <w:highlight w:val="none"/>
          <w:lang w:val="en-US" w:eastAsia="zh-CN"/>
        </w:rPr>
        <w:t>贰仟元</w:t>
      </w:r>
      <w:r>
        <w:rPr>
          <w:rFonts w:hint="eastAsia" w:ascii="仿宋" w:hAnsi="仿宋" w:eastAsia="仿宋" w:cs="仿宋"/>
          <w:snapToGrid w:val="0"/>
          <w:color w:val="auto"/>
          <w:sz w:val="24"/>
          <w:szCs w:val="24"/>
          <w:highlight w:val="none"/>
        </w:rPr>
        <w:t>整（￥</w:t>
      </w:r>
      <w:r>
        <w:rPr>
          <w:rFonts w:hint="eastAsia" w:ascii="仿宋" w:hAnsi="仿宋" w:eastAsia="仿宋" w:cs="仿宋"/>
          <w:snapToGrid w:val="0"/>
          <w:color w:val="auto"/>
          <w:sz w:val="24"/>
          <w:szCs w:val="24"/>
          <w:highlight w:val="none"/>
          <w:lang w:val="en-US" w:eastAsia="zh-CN"/>
        </w:rPr>
        <w:t>2000.00</w:t>
      </w:r>
      <w:r>
        <w:rPr>
          <w:rFonts w:hint="eastAsia" w:ascii="仿宋" w:hAnsi="仿宋" w:eastAsia="仿宋" w:cs="仿宋"/>
          <w:snapToGrid w:val="0"/>
          <w:color w:val="auto"/>
          <w:sz w:val="24"/>
          <w:szCs w:val="24"/>
          <w:highlight w:val="none"/>
        </w:rPr>
        <w:t>）</w:t>
      </w:r>
    </w:p>
    <w:p>
      <w:pPr>
        <w:snapToGrid w:val="0"/>
        <w:spacing w:line="360" w:lineRule="auto"/>
        <w:ind w:firstLine="480" w:firstLineChars="200"/>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rPr>
        <w:t>缴纳要求：</w:t>
      </w:r>
      <w:r>
        <w:rPr>
          <w:rFonts w:hint="eastAsia" w:ascii="仿宋" w:hAnsi="仿宋" w:eastAsia="仿宋" w:cs="仿宋"/>
          <w:snapToGrid w:val="0"/>
          <w:color w:val="auto"/>
          <w:sz w:val="24"/>
          <w:szCs w:val="24"/>
          <w:lang w:val="en-US" w:eastAsia="zh-CN"/>
        </w:rPr>
        <w:t>由中标单位领取中标通知书时一次性支付。</w:t>
      </w:r>
    </w:p>
    <w:p>
      <w:pPr>
        <w:snapToGrid w:val="0"/>
        <w:spacing w:line="360" w:lineRule="auto"/>
        <w:ind w:firstLine="480" w:firstLineChars="200"/>
        <w:rPr>
          <w:rFonts w:hint="eastAsia" w:ascii="仿宋" w:hAnsi="仿宋" w:eastAsia="仿宋" w:cs="仿宋"/>
          <w:snapToGrid w:val="0"/>
          <w:color w:val="auto"/>
          <w:sz w:val="24"/>
          <w:szCs w:val="24"/>
          <w:highlight w:val="none"/>
          <w:lang w:val="zh-CN" w:eastAsia="zh-CN"/>
        </w:rPr>
      </w:pPr>
      <w:r>
        <w:rPr>
          <w:rFonts w:hint="eastAsia" w:ascii="仿宋" w:hAnsi="仿宋" w:eastAsia="仿宋" w:cs="仿宋"/>
          <w:snapToGrid w:val="0"/>
          <w:color w:val="auto"/>
          <w:sz w:val="24"/>
          <w:szCs w:val="24"/>
          <w:highlight w:val="none"/>
          <w:lang w:val="zh-CN" w:eastAsia="zh-CN"/>
        </w:rPr>
        <w:t>缴纳账户信息：</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账户名称：新疆元皓工程管理咨询有限公司</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开户行：中国建设银行股份有限公司克拉玛依石油分行城南支行     </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地  址：新疆克拉玛依市克拉玛依区新兴路339-414号（四楼）</w:t>
      </w:r>
    </w:p>
    <w:p>
      <w:pPr>
        <w:snapToGrid w:val="0"/>
        <w:spacing w:line="360" w:lineRule="auto"/>
        <w:ind w:firstLine="480" w:firstLineChars="200"/>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银行账号：65050189864600000290</w:t>
      </w:r>
    </w:p>
    <w:p>
      <w:pPr>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3.</w:t>
      </w:r>
      <w:r>
        <w:rPr>
          <w:rFonts w:hint="eastAsia" w:ascii="仿宋" w:hAnsi="仿宋" w:eastAsia="仿宋" w:cs="仿宋"/>
          <w:snapToGrid w:val="0"/>
          <w:color w:val="auto"/>
          <w:sz w:val="24"/>
          <w:szCs w:val="24"/>
        </w:rPr>
        <w:t>不论询价结果如何，</w:t>
      </w:r>
      <w:r>
        <w:rPr>
          <w:rFonts w:hint="eastAsia" w:ascii="仿宋" w:hAnsi="仿宋" w:eastAsia="仿宋" w:cs="仿宋"/>
          <w:snapToGrid w:val="0"/>
          <w:color w:val="auto"/>
          <w:sz w:val="24"/>
          <w:szCs w:val="24"/>
          <w:lang w:eastAsia="zh-CN"/>
        </w:rPr>
        <w:t>供应商</w:t>
      </w:r>
      <w:r>
        <w:rPr>
          <w:rFonts w:hint="eastAsia" w:ascii="仿宋" w:hAnsi="仿宋" w:eastAsia="仿宋" w:cs="仿宋"/>
          <w:snapToGrid w:val="0"/>
          <w:color w:val="auto"/>
          <w:sz w:val="24"/>
          <w:szCs w:val="24"/>
        </w:rPr>
        <w:t>均应自行承担与询价报价有关的全部费用。</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询价文件</w:t>
      </w:r>
    </w:p>
    <w:p>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询价文件的内容</w:t>
      </w:r>
    </w:p>
    <w:p>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rPr>
        <w:t>询价文件</w:t>
      </w:r>
      <w:r>
        <w:rPr>
          <w:rFonts w:hint="eastAsia" w:ascii="仿宋" w:hAnsi="仿宋" w:eastAsia="仿宋" w:cs="仿宋"/>
          <w:color w:val="auto"/>
          <w:sz w:val="24"/>
          <w:szCs w:val="24"/>
          <w:lang w:val="zh-CN"/>
        </w:rPr>
        <w:t>由询价邀请书、</w:t>
      </w:r>
      <w:r>
        <w:rPr>
          <w:rFonts w:hint="eastAsia" w:ascii="仿宋" w:hAnsi="仿宋" w:eastAsia="仿宋" w:cs="仿宋"/>
          <w:color w:val="auto"/>
          <w:sz w:val="24"/>
          <w:szCs w:val="24"/>
        </w:rPr>
        <w:t>采购项目</w:t>
      </w:r>
      <w:r>
        <w:rPr>
          <w:rFonts w:hint="eastAsia" w:ascii="仿宋" w:hAnsi="仿宋" w:eastAsia="仿宋" w:cs="仿宋"/>
          <w:bCs/>
          <w:color w:val="auto"/>
          <w:sz w:val="24"/>
          <w:szCs w:val="24"/>
          <w:lang w:val="zh-CN"/>
        </w:rPr>
        <w:t>技术和商务要求、</w:t>
      </w:r>
      <w:r>
        <w:rPr>
          <w:rFonts w:hint="eastAsia" w:ascii="仿宋" w:hAnsi="仿宋" w:eastAsia="仿宋" w:cs="仿宋"/>
          <w:color w:val="auto"/>
          <w:sz w:val="24"/>
          <w:szCs w:val="24"/>
          <w:lang w:val="zh-CN"/>
        </w:rPr>
        <w:t>供应商须知、合同样本、附件/投标文件格式等内容构成。</w:t>
      </w:r>
    </w:p>
    <w:p>
      <w:pPr>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询价文件以中文编写。纸质询价文件与电子介质询价文件具有同等法律效力，两者出现不一致时，以纸质询价文件为准。</w:t>
      </w:r>
    </w:p>
    <w:p>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询价文件的澄清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对询价文件如有疑问要求澄清</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，应当在报价截止时间前以书面形式通知采购机构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采购机构应当视情以适当方式予以澄清，或以书面形式答复。如有必要，在不标明问题查询来源的情况下，采购机构可将答复内容以书面形式通知所有</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w:t>
      </w:r>
    </w:p>
    <w:p>
      <w:pPr>
        <w:numPr>
          <w:ilvl w:val="0"/>
          <w:numId w:val="6"/>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询价文件的修改</w:t>
      </w:r>
    </w:p>
    <w:p>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报价截止时间前，采购机构可对已发出的询价文件进行修改。询价文件修改内容是询价文件的组成部分。</w:t>
      </w:r>
    </w:p>
    <w:p>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询价文件的修改内容可能影响</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编制的，采购机构应在报价截止时间前，以书面形式通知所有购买询价文件的</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，并对</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具有约束力。</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在收到上述通知后，应立即以书面形式向采购机构确认。</w:t>
      </w:r>
    </w:p>
    <w:p>
      <w:pPr>
        <w:numPr>
          <w:ilvl w:val="0"/>
          <w:numId w:val="7"/>
        </w:numPr>
        <w:tabs>
          <w:tab w:val="left" w:pos="0"/>
        </w:tabs>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为使</w:t>
      </w:r>
      <w:r>
        <w:rPr>
          <w:rFonts w:hint="eastAsia" w:ascii="仿宋" w:hAnsi="仿宋" w:eastAsia="仿宋" w:cs="仿宋"/>
          <w:snapToGrid w:val="0"/>
          <w:color w:val="auto"/>
          <w:sz w:val="24"/>
          <w:szCs w:val="24"/>
          <w:lang w:eastAsia="zh-CN"/>
        </w:rPr>
        <w:t>供应商</w:t>
      </w:r>
      <w:r>
        <w:rPr>
          <w:rFonts w:hint="eastAsia" w:ascii="仿宋" w:hAnsi="仿宋" w:eastAsia="仿宋" w:cs="仿宋"/>
          <w:color w:val="auto"/>
          <w:sz w:val="24"/>
          <w:szCs w:val="24"/>
        </w:rPr>
        <w:t>有足够时间修改</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，采购机构可酌情推迟询价时间。</w:t>
      </w:r>
    </w:p>
    <w:p>
      <w:pPr>
        <w:numPr>
          <w:ilvl w:val="0"/>
          <w:numId w:val="4"/>
        </w:numPr>
        <w:spacing w:before="240" w:beforeLines="100" w:after="240" w:afterLines="100" w:line="360" w:lineRule="auto"/>
        <w:ind w:firstLine="482" w:firstLineChars="2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投标文件编制</w:t>
      </w:r>
    </w:p>
    <w:p>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注意事项</w:t>
      </w:r>
    </w:p>
    <w:p>
      <w:pPr>
        <w:autoSpaceDE w:val="0"/>
        <w:autoSpaceDN w:val="0"/>
        <w:adjustRightInd w:val="0"/>
        <w:spacing w:line="360" w:lineRule="auto"/>
        <w:ind w:firstLine="403" w:firstLineChars="168"/>
        <w:rPr>
          <w:rFonts w:hint="eastAsia" w:ascii="仿宋" w:hAnsi="仿宋" w:eastAsia="仿宋" w:cs="仿宋"/>
          <w:color w:val="auto"/>
          <w:sz w:val="24"/>
          <w:szCs w:val="24"/>
        </w:rPr>
      </w:pPr>
      <w:r>
        <w:rPr>
          <w:rFonts w:hint="eastAsia" w:ascii="仿宋" w:hAnsi="仿宋" w:eastAsia="仿宋" w:cs="仿宋"/>
          <w:snapToGrid w:val="0"/>
          <w:color w:val="auto"/>
          <w:sz w:val="24"/>
          <w:szCs w:val="24"/>
          <w:lang w:val="en-US" w:eastAsia="zh-CN"/>
        </w:rPr>
        <w:t>供应商</w:t>
      </w:r>
      <w:r>
        <w:rPr>
          <w:rFonts w:hint="eastAsia" w:ascii="仿宋" w:hAnsi="仿宋" w:eastAsia="仿宋" w:cs="仿宋"/>
          <w:snapToGrid w:val="0"/>
          <w:color w:val="auto"/>
          <w:sz w:val="24"/>
          <w:szCs w:val="24"/>
        </w:rPr>
        <w:t>应仔细阅读招标文件，在完全了解全部内容后，依法真实编制投标文件。</w:t>
      </w:r>
      <w:r>
        <w:rPr>
          <w:rFonts w:hint="eastAsia" w:ascii="仿宋" w:hAnsi="仿宋" w:eastAsia="仿宋" w:cs="仿宋"/>
          <w:bCs/>
          <w:snapToGrid w:val="0"/>
          <w:color w:val="auto"/>
          <w:sz w:val="24"/>
          <w:szCs w:val="24"/>
        </w:rPr>
        <w:t>如果没有对招标文件</w:t>
      </w:r>
      <w:r>
        <w:rPr>
          <w:rFonts w:hint="eastAsia" w:ascii="仿宋" w:hAnsi="仿宋" w:eastAsia="仿宋" w:cs="仿宋"/>
          <w:bCs/>
          <w:snapToGrid w:val="0"/>
          <w:color w:val="auto"/>
          <w:sz w:val="24"/>
          <w:szCs w:val="24"/>
          <w:lang w:eastAsia="zh-CN"/>
        </w:rPr>
        <w:t>进行</w:t>
      </w:r>
      <w:r>
        <w:rPr>
          <w:rFonts w:hint="eastAsia" w:ascii="仿宋" w:hAnsi="仿宋" w:eastAsia="仿宋" w:cs="仿宋"/>
          <w:bCs/>
          <w:snapToGrid w:val="0"/>
          <w:color w:val="auto"/>
          <w:sz w:val="24"/>
          <w:szCs w:val="24"/>
        </w:rPr>
        <w:t>实质性响应，将导致投标无效</w:t>
      </w:r>
      <w:r>
        <w:rPr>
          <w:rFonts w:hint="eastAsia" w:ascii="仿宋" w:hAnsi="仿宋" w:eastAsia="仿宋" w:cs="仿宋"/>
          <w:snapToGrid w:val="0"/>
          <w:color w:val="auto"/>
          <w:sz w:val="24"/>
          <w:szCs w:val="24"/>
        </w:rPr>
        <w:t>。</w:t>
      </w:r>
    </w:p>
    <w:p>
      <w:pPr>
        <w:numPr>
          <w:ilvl w:val="0"/>
          <w:numId w:val="8"/>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投标文件的语言及计量单位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1.投标文件和来往信函均以中文书写。确有需要时，相关内容可以使用其他语言书写。但必须同时提供中文译文。不同语言文本投标文件的解释发生异议的，以中文译文为准</w:t>
      </w:r>
      <w:r>
        <w:rPr>
          <w:rFonts w:hint="eastAsia" w:ascii="仿宋" w:hAnsi="仿宋" w:eastAsia="仿宋" w:cs="仿宋"/>
          <w:color w:val="auto"/>
          <w:sz w:val="24"/>
          <w:szCs w:val="24"/>
        </w:rPr>
        <w:t>。未提供中文译文的，该文本无效。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2.投标文件中所使用的计量单位，除投标文件中有特殊要求外，均采用国家法定计量单位</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（三）</w:t>
      </w:r>
      <w:r>
        <w:rPr>
          <w:rFonts w:hint="eastAsia" w:ascii="仿宋" w:hAnsi="仿宋" w:eastAsia="仿宋" w:cs="仿宋"/>
          <w:color w:val="auto"/>
          <w:sz w:val="24"/>
          <w:szCs w:val="24"/>
        </w:rPr>
        <w:t>投标文件组成</w:t>
      </w:r>
    </w:p>
    <w:p>
      <w:pPr>
        <w:spacing w:line="360" w:lineRule="auto"/>
        <w:ind w:firstLine="482" w:firstLineChars="200"/>
        <w:rPr>
          <w:rFonts w:hint="eastAsia" w:ascii="仿宋" w:hAnsi="仿宋" w:eastAsia="仿宋" w:cs="仿宋"/>
          <w:b/>
          <w:bCs/>
          <w:color w:val="auto"/>
          <w:sz w:val="24"/>
          <w:szCs w:val="24"/>
          <w:lang w:val="zh-CN" w:eastAsia="zh-CN"/>
        </w:rPr>
      </w:pPr>
      <w:r>
        <w:rPr>
          <w:rFonts w:hint="eastAsia" w:ascii="仿宋" w:hAnsi="仿宋" w:eastAsia="仿宋" w:cs="仿宋"/>
          <w:b/>
          <w:bCs/>
          <w:snapToGrid w:val="0"/>
          <w:color w:val="auto"/>
          <w:sz w:val="24"/>
          <w:szCs w:val="24"/>
          <w:highlight w:val="none"/>
          <w:lang w:eastAsia="zh-CN"/>
        </w:rPr>
        <w:t>一式</w:t>
      </w:r>
      <w:r>
        <w:rPr>
          <w:rFonts w:hint="eastAsia" w:ascii="仿宋" w:hAnsi="仿宋" w:eastAsia="仿宋" w:cs="仿宋"/>
          <w:b/>
          <w:bCs/>
          <w:snapToGrid w:val="0"/>
          <w:color w:val="auto"/>
          <w:sz w:val="24"/>
          <w:szCs w:val="24"/>
          <w:highlight w:val="none"/>
          <w:lang w:val="en-US" w:eastAsia="zh-CN"/>
        </w:rPr>
        <w:t>肆</w:t>
      </w:r>
      <w:r>
        <w:rPr>
          <w:rFonts w:hint="eastAsia" w:ascii="仿宋" w:hAnsi="仿宋" w:eastAsia="仿宋" w:cs="仿宋"/>
          <w:b/>
          <w:bCs/>
          <w:snapToGrid w:val="0"/>
          <w:color w:val="auto"/>
          <w:sz w:val="24"/>
          <w:szCs w:val="24"/>
          <w:highlight w:val="none"/>
          <w:lang w:eastAsia="zh-CN"/>
        </w:rPr>
        <w:t>份，其中正本壹份，副本</w:t>
      </w:r>
      <w:r>
        <w:rPr>
          <w:rFonts w:hint="eastAsia" w:ascii="仿宋" w:hAnsi="仿宋" w:eastAsia="仿宋" w:cs="仿宋"/>
          <w:b/>
          <w:bCs/>
          <w:snapToGrid w:val="0"/>
          <w:color w:val="auto"/>
          <w:sz w:val="24"/>
          <w:szCs w:val="24"/>
          <w:highlight w:val="none"/>
          <w:lang w:val="en-US" w:eastAsia="zh-CN"/>
        </w:rPr>
        <w:t>叁</w:t>
      </w:r>
      <w:r>
        <w:rPr>
          <w:rFonts w:hint="eastAsia" w:ascii="仿宋" w:hAnsi="仿宋" w:eastAsia="仿宋" w:cs="仿宋"/>
          <w:b/>
          <w:bCs/>
          <w:snapToGrid w:val="0"/>
          <w:color w:val="auto"/>
          <w:sz w:val="24"/>
          <w:szCs w:val="24"/>
          <w:highlight w:val="none"/>
          <w:lang w:eastAsia="zh-CN"/>
        </w:rPr>
        <w:t>份。电子版一份（</w:t>
      </w:r>
      <w:r>
        <w:rPr>
          <w:rFonts w:hint="eastAsia" w:ascii="仿宋" w:hAnsi="仿宋" w:eastAsia="仿宋" w:cs="仿宋"/>
          <w:b/>
          <w:bCs/>
          <w:snapToGrid w:val="0"/>
          <w:color w:val="auto"/>
          <w:sz w:val="24"/>
          <w:szCs w:val="24"/>
          <w:highlight w:val="none"/>
          <w:lang w:val="en-US" w:eastAsia="zh-CN"/>
        </w:rPr>
        <w:t>U盘/光盘</w:t>
      </w:r>
      <w:r>
        <w:rPr>
          <w:rFonts w:hint="eastAsia" w:ascii="仿宋" w:hAnsi="仿宋" w:eastAsia="仿宋" w:cs="仿宋"/>
          <w:b/>
          <w:bCs/>
          <w:snapToGrid w:val="0"/>
          <w:color w:val="auto"/>
          <w:sz w:val="24"/>
          <w:szCs w:val="24"/>
          <w:highlight w:val="none"/>
          <w:lang w:eastAsia="zh-CN"/>
        </w:rPr>
        <w:t>）</w:t>
      </w:r>
      <w:r>
        <w:rPr>
          <w:rFonts w:hint="eastAsia" w:ascii="仿宋" w:hAnsi="仿宋" w:eastAsia="仿宋" w:cs="仿宋"/>
          <w:b/>
          <w:bCs/>
          <w:color w:val="auto"/>
          <w:sz w:val="24"/>
          <w:szCs w:val="24"/>
          <w:lang w:val="zh-CN" w:eastAsia="zh-CN"/>
        </w:rPr>
        <w:t>，在每一份响应文件上要明确注明“正本”或“副本”字样，如正、副本之间有差异，以正本为准。响应文件包括但不限于以下内容，各供应商应对照“第</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val="zh-CN" w:eastAsia="zh-CN"/>
        </w:rPr>
        <w:t xml:space="preserve">章 </w:t>
      </w:r>
      <w:r>
        <w:rPr>
          <w:rFonts w:hint="eastAsia" w:ascii="仿宋" w:hAnsi="仿宋" w:eastAsia="仿宋" w:cs="仿宋"/>
          <w:b/>
          <w:bCs/>
          <w:color w:val="auto"/>
          <w:sz w:val="24"/>
          <w:szCs w:val="24"/>
          <w:lang w:val="en-US" w:eastAsia="zh-CN"/>
        </w:rPr>
        <w:t>采购需求</w:t>
      </w:r>
      <w:r>
        <w:rPr>
          <w:rFonts w:hint="eastAsia" w:ascii="仿宋" w:hAnsi="仿宋" w:eastAsia="仿宋" w:cs="仿宋"/>
          <w:b/>
          <w:bCs/>
          <w:color w:val="auto"/>
          <w:sz w:val="24"/>
          <w:szCs w:val="24"/>
          <w:lang w:val="zh-CN" w:eastAsia="zh-CN"/>
        </w:rPr>
        <w:t>”及“第五章 投标文件内容及格式”提供相关的证明资料：</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（1）投标文件封面</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（2）投标函（投标文件格式1）；</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（3）开标一览表（投标文件格式2）；</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（4）有效期内的企业营业执照副本；</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（5）法定代表人资格证明书（投标文件格式3）；</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（6）法定代表人授权委托书（投标文件格式4）；</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（7）投标人资格声明（投标文件格式5）；</w:t>
      </w:r>
    </w:p>
    <w:p>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）提供上一年度</w:t>
      </w:r>
      <w:r>
        <w:rPr>
          <w:rFonts w:hint="eastAsia" w:ascii="仿宋" w:hAnsi="仿宋" w:eastAsia="仿宋" w:cs="仿宋"/>
          <w:color w:val="auto"/>
          <w:sz w:val="24"/>
          <w:szCs w:val="24"/>
          <w:lang w:val="zh-CN"/>
        </w:rPr>
        <w:t>经过审计的财务审计报告（包括资产负债表、损益表及经营状况；新成立的公司提供说明）</w:t>
      </w:r>
      <w:r>
        <w:rPr>
          <w:rFonts w:hint="eastAsia" w:ascii="仿宋" w:hAnsi="仿宋" w:eastAsia="仿宋" w:cs="仿宋"/>
          <w:color w:val="auto"/>
          <w:sz w:val="24"/>
          <w:szCs w:val="24"/>
          <w:lang w:val="zh-CN" w:eastAsia="zh-CN"/>
        </w:rPr>
        <w:t>；</w:t>
      </w:r>
    </w:p>
    <w:p>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eastAsia="zh-CN"/>
        </w:rPr>
        <w:t>）上一年度依法缴纳税收和社会保障资金的良好记录的证明材料（附复印件）；</w:t>
      </w:r>
    </w:p>
    <w:p>
      <w:pPr>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zh-CN"/>
        </w:rPr>
        <w:t>近三年（</w:t>
      </w: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lang w:val="zh-CN"/>
        </w:rPr>
        <w:t>年1月1日至今）主要</w:t>
      </w:r>
      <w:r>
        <w:rPr>
          <w:rFonts w:hint="eastAsia" w:ascii="仿宋" w:hAnsi="仿宋" w:eastAsia="仿宋" w:cs="仿宋"/>
          <w:color w:val="auto"/>
          <w:sz w:val="24"/>
          <w:szCs w:val="24"/>
          <w:lang w:val="en-US" w:eastAsia="zh-CN"/>
        </w:rPr>
        <w:t>类似</w:t>
      </w:r>
      <w:r>
        <w:rPr>
          <w:rFonts w:hint="eastAsia" w:ascii="仿宋" w:hAnsi="仿宋" w:eastAsia="仿宋" w:cs="仿宋"/>
          <w:color w:val="auto"/>
          <w:sz w:val="24"/>
          <w:szCs w:val="24"/>
          <w:lang w:val="zh-CN"/>
        </w:rPr>
        <w:t>业绩表（投标文件格式</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）（附中标通知书或合同复印件）</w:t>
      </w:r>
      <w:r>
        <w:rPr>
          <w:rFonts w:hint="eastAsia" w:ascii="仿宋" w:hAnsi="仿宋" w:eastAsia="仿宋" w:cs="仿宋"/>
          <w:color w:val="auto"/>
          <w:sz w:val="24"/>
          <w:szCs w:val="24"/>
          <w:lang w:val="zh-CN" w:eastAsia="zh-CN"/>
        </w:rPr>
        <w:t>；</w:t>
      </w:r>
    </w:p>
    <w:p>
      <w:pPr>
        <w:spacing w:line="360" w:lineRule="auto"/>
        <w:ind w:firstLine="480" w:firstLineChars="200"/>
        <w:rPr>
          <w:rFonts w:hint="eastAsia" w:ascii="仿宋" w:hAnsi="仿宋" w:eastAsia="仿宋" w:cs="仿宋"/>
          <w:bCs/>
          <w:snapToGrid w:val="0"/>
          <w:color w:val="auto"/>
          <w:sz w:val="24"/>
          <w:szCs w:val="24"/>
        </w:rPr>
      </w:pPr>
      <w:r>
        <w:rPr>
          <w:rFonts w:hint="eastAsia" w:ascii="仿宋" w:hAnsi="仿宋" w:eastAsia="仿宋" w:cs="仿宋"/>
          <w:color w:val="auto"/>
          <w:sz w:val="24"/>
          <w:szCs w:val="24"/>
          <w:lang w:val="zh-CN" w:eastAsia="zh-CN"/>
        </w:rPr>
        <w:t>特别说明：①上述各种证件、证书复印件须加盖投标人公章，如未按要求加盖投标人公章，可能导致其投标文件无效。</w:t>
      </w:r>
      <w:r>
        <w:rPr>
          <w:rFonts w:hint="eastAsia" w:ascii="仿宋" w:hAnsi="仿宋" w:eastAsia="仿宋" w:cs="仿宋"/>
          <w:color w:val="auto"/>
          <w:sz w:val="24"/>
          <w:szCs w:val="24"/>
          <w:lang w:val="zh-CN" w:eastAsia="zh-CN"/>
        </w:rPr>
        <w:br w:type="textWrapping"/>
      </w:r>
      <w:r>
        <w:rPr>
          <w:rFonts w:hint="eastAsia" w:ascii="仿宋" w:hAnsi="仿宋" w:eastAsia="仿宋" w:cs="仿宋"/>
          <w:color w:val="auto"/>
          <w:sz w:val="24"/>
          <w:szCs w:val="24"/>
          <w:lang w:val="en-US" w:eastAsia="zh-CN"/>
        </w:rPr>
        <w:t xml:space="preserve">    </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lang w:val="en-US" w:eastAsia="zh-CN"/>
        </w:rPr>
        <w:t>四</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响应文件格式</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 xml:space="preserve"> 供应商应按</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文件提供的格式及商务报价说明完整地填写所提供的合同</w:t>
      </w:r>
      <w:r>
        <w:rPr>
          <w:rFonts w:hint="eastAsia" w:ascii="仿宋" w:hAnsi="仿宋" w:eastAsia="仿宋" w:cs="仿宋"/>
          <w:bCs/>
          <w:snapToGrid w:val="0"/>
          <w:color w:val="auto"/>
          <w:sz w:val="24"/>
          <w:szCs w:val="24"/>
          <w:lang w:eastAsia="zh-CN"/>
        </w:rPr>
        <w:t>、</w:t>
      </w:r>
      <w:r>
        <w:rPr>
          <w:rFonts w:hint="eastAsia" w:ascii="仿宋" w:hAnsi="仿宋" w:eastAsia="仿宋" w:cs="仿宋"/>
          <w:bCs/>
          <w:snapToGrid w:val="0"/>
          <w:color w:val="auto"/>
          <w:sz w:val="24"/>
          <w:szCs w:val="24"/>
        </w:rPr>
        <w:t>项目、服务以及单价等内容。</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eastAsia="zh-CN"/>
        </w:rPr>
        <w:t>（五）</w:t>
      </w:r>
      <w:r>
        <w:rPr>
          <w:rFonts w:hint="eastAsia" w:ascii="仿宋" w:hAnsi="仿宋" w:eastAsia="仿宋" w:cs="仿宋"/>
          <w:bCs/>
          <w:snapToGrid w:val="0"/>
          <w:color w:val="auto"/>
          <w:sz w:val="24"/>
          <w:szCs w:val="24"/>
        </w:rPr>
        <w:t>商务报价</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lang w:val="en-US" w:eastAsia="zh-CN"/>
        </w:rPr>
        <w:t xml:space="preserve"> </w:t>
      </w:r>
      <w:r>
        <w:rPr>
          <w:rFonts w:hint="eastAsia" w:ascii="仿宋" w:hAnsi="仿宋" w:eastAsia="仿宋" w:cs="仿宋"/>
          <w:bCs/>
          <w:snapToGrid w:val="0"/>
          <w:color w:val="auto"/>
          <w:sz w:val="24"/>
          <w:szCs w:val="24"/>
        </w:rPr>
        <w:t>供应商的商务报价应是为</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提供全部合同货物及服务，并保证货物正常运行和使用以及技术规范及标准、项目采购需求及合同条款、本</w:t>
      </w:r>
      <w:r>
        <w:rPr>
          <w:rFonts w:hint="eastAsia" w:ascii="仿宋" w:hAnsi="仿宋" w:eastAsia="仿宋" w:cs="仿宋"/>
          <w:bCs/>
          <w:snapToGrid w:val="0"/>
          <w:color w:val="auto"/>
          <w:sz w:val="24"/>
          <w:szCs w:val="24"/>
          <w:lang w:val="en-US" w:eastAsia="zh-CN"/>
        </w:rPr>
        <w:t>询价</w:t>
      </w:r>
      <w:r>
        <w:rPr>
          <w:rFonts w:hint="eastAsia" w:ascii="仿宋" w:hAnsi="仿宋" w:eastAsia="仿宋" w:cs="仿宋"/>
          <w:bCs/>
          <w:snapToGrid w:val="0"/>
          <w:color w:val="auto"/>
          <w:sz w:val="24"/>
          <w:szCs w:val="24"/>
        </w:rPr>
        <w:t>文件约定的所有费用的总和。</w:t>
      </w:r>
    </w:p>
    <w:p>
      <w:pPr>
        <w:autoSpaceDE w:val="0"/>
        <w:autoSpaceDN w:val="0"/>
        <w:adjustRightInd w:val="0"/>
        <w:spacing w:line="360" w:lineRule="auto"/>
        <w:ind w:firstLine="403" w:firstLineChars="168"/>
        <w:rPr>
          <w:rFonts w:hint="eastAsia" w:ascii="仿宋" w:hAnsi="仿宋" w:eastAsia="仿宋" w:cs="仿宋"/>
          <w:bCs/>
          <w:snapToGrid w:val="0"/>
          <w:color w:val="auto"/>
          <w:sz w:val="24"/>
          <w:szCs w:val="24"/>
        </w:rPr>
      </w:pPr>
      <w:r>
        <w:rPr>
          <w:rFonts w:hint="eastAsia" w:ascii="仿宋" w:hAnsi="仿宋" w:eastAsia="仿宋" w:cs="仿宋"/>
          <w:bCs/>
          <w:snapToGrid w:val="0"/>
          <w:color w:val="auto"/>
          <w:sz w:val="24"/>
          <w:szCs w:val="24"/>
        </w:rPr>
        <w:t>任何因供应商忽视或误解采购范围、技术规范及标准、项目采购需求及合同条款、合同条 款和项目现场情况，若成交，</w:t>
      </w:r>
      <w:r>
        <w:rPr>
          <w:rFonts w:hint="eastAsia" w:ascii="仿宋" w:hAnsi="仿宋" w:eastAsia="仿宋" w:cs="仿宋"/>
          <w:bCs/>
          <w:snapToGrid w:val="0"/>
          <w:color w:val="auto"/>
          <w:sz w:val="24"/>
          <w:szCs w:val="24"/>
          <w:lang w:eastAsia="zh-CN"/>
        </w:rPr>
        <w:t>招标人</w:t>
      </w:r>
      <w:r>
        <w:rPr>
          <w:rFonts w:hint="eastAsia" w:ascii="仿宋" w:hAnsi="仿宋" w:eastAsia="仿宋" w:cs="仿宋"/>
          <w:bCs/>
          <w:snapToGrid w:val="0"/>
          <w:color w:val="auto"/>
          <w:sz w:val="24"/>
          <w:szCs w:val="24"/>
        </w:rPr>
        <w:t>将不予批准由此而产生的索赔或服务期限延长申请。</w:t>
      </w:r>
    </w:p>
    <w:p>
      <w:pPr>
        <w:spacing w:line="360" w:lineRule="auto"/>
        <w:ind w:firstLine="482" w:firstLineChars="200"/>
        <w:rPr>
          <w:rFonts w:hint="eastAsia" w:ascii="仿宋" w:hAnsi="仿宋" w:eastAsia="仿宋" w:cs="仿宋"/>
          <w:b/>
          <w:bCs/>
          <w:snapToGrid w:val="0"/>
          <w:color w:val="auto"/>
          <w:sz w:val="24"/>
          <w:szCs w:val="24"/>
          <w:highlight w:val="none"/>
          <w:lang w:eastAsia="zh-CN"/>
        </w:rPr>
      </w:pPr>
      <w:r>
        <w:rPr>
          <w:rFonts w:hint="eastAsia" w:ascii="仿宋" w:hAnsi="仿宋" w:eastAsia="仿宋" w:cs="仿宋"/>
          <w:b/>
          <w:bCs/>
          <w:snapToGrid w:val="0"/>
          <w:color w:val="auto"/>
          <w:sz w:val="24"/>
          <w:szCs w:val="24"/>
          <w:highlight w:val="none"/>
          <w:lang w:eastAsia="zh-CN"/>
        </w:rPr>
        <w:t>商务报价中不得包含除技术规范及标准、项目采购需求及合同条款、本</w:t>
      </w:r>
      <w:r>
        <w:rPr>
          <w:rFonts w:hint="eastAsia" w:ascii="仿宋" w:hAnsi="仿宋" w:eastAsia="仿宋" w:cs="仿宋"/>
          <w:b/>
          <w:bCs/>
          <w:snapToGrid w:val="0"/>
          <w:color w:val="auto"/>
          <w:sz w:val="24"/>
          <w:szCs w:val="24"/>
          <w:highlight w:val="none"/>
          <w:lang w:val="en-US" w:eastAsia="zh-CN"/>
        </w:rPr>
        <w:t>询价</w:t>
      </w:r>
      <w:r>
        <w:rPr>
          <w:rFonts w:hint="eastAsia" w:ascii="仿宋" w:hAnsi="仿宋" w:eastAsia="仿宋" w:cs="仿宋"/>
          <w:b/>
          <w:bCs/>
          <w:snapToGrid w:val="0"/>
          <w:color w:val="auto"/>
          <w:sz w:val="24"/>
          <w:szCs w:val="24"/>
          <w:highlight w:val="none"/>
          <w:lang w:eastAsia="zh-CN"/>
        </w:rPr>
        <w:t>文件要求以外的其他内容。</w:t>
      </w:r>
    </w:p>
    <w:p>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有效期</w:t>
      </w:r>
    </w:p>
    <w:p>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投标文件自截止时间起</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日内保持有效。</w:t>
      </w:r>
    </w:p>
    <w:p>
      <w:pPr>
        <w:numPr>
          <w:ilvl w:val="0"/>
          <w:numId w:val="1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在询价过程中</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发生合并、分立、破产等重大变化时，应当及时书面告知采购机构。</w:t>
      </w:r>
    </w:p>
    <w:p>
      <w:pPr>
        <w:numPr>
          <w:ilvl w:val="0"/>
          <w:numId w:val="9"/>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报价</w:t>
      </w:r>
    </w:p>
    <w:p>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所有报价均以人民币为货币单位</w:t>
      </w:r>
      <w:r>
        <w:rPr>
          <w:rFonts w:hint="eastAsia" w:ascii="仿宋" w:hAnsi="仿宋" w:eastAsia="仿宋" w:cs="仿宋"/>
          <w:color w:val="auto"/>
          <w:sz w:val="24"/>
          <w:szCs w:val="24"/>
        </w:rPr>
        <w:t>。</w:t>
      </w:r>
    </w:p>
    <w:p>
      <w:pPr>
        <w:numPr>
          <w:ilvl w:val="0"/>
          <w:numId w:val="11"/>
        </w:numPr>
        <w:spacing w:line="360" w:lineRule="auto"/>
        <w:ind w:left="0" w:firstLine="480" w:firstLineChars="200"/>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lang w:val="zh-CN"/>
        </w:rPr>
        <w:t>所有单价和总价按照报价一览表和合同格式要求填报。</w:t>
      </w:r>
      <w:r>
        <w:rPr>
          <w:rFonts w:hint="eastAsia" w:ascii="仿宋" w:hAnsi="仿宋" w:eastAsia="仿宋" w:cs="仿宋"/>
          <w:snapToGrid w:val="0"/>
          <w:color w:val="auto"/>
          <w:sz w:val="24"/>
          <w:szCs w:val="24"/>
          <w:lang w:val="zh-CN"/>
        </w:rPr>
        <w:t>报价应包括货款、标准附件、</w:t>
      </w:r>
      <w:r>
        <w:rPr>
          <w:rFonts w:hint="eastAsia" w:ascii="仿宋" w:hAnsi="仿宋" w:eastAsia="仿宋" w:cs="仿宋"/>
          <w:snapToGrid w:val="0"/>
          <w:color w:val="auto"/>
          <w:sz w:val="24"/>
          <w:szCs w:val="24"/>
          <w:lang w:val="en-US" w:eastAsia="zh-CN"/>
        </w:rPr>
        <w:t>材料</w:t>
      </w:r>
      <w:r>
        <w:rPr>
          <w:rFonts w:hint="eastAsia" w:ascii="仿宋" w:hAnsi="仿宋" w:eastAsia="仿宋" w:cs="仿宋"/>
          <w:snapToGrid w:val="0"/>
          <w:color w:val="auto"/>
          <w:sz w:val="24"/>
          <w:szCs w:val="24"/>
          <w:lang w:val="zh-CN"/>
        </w:rPr>
        <w:t>、专用工具、包装、安装、调试、保修等</w:t>
      </w:r>
      <w:r>
        <w:rPr>
          <w:rFonts w:hint="eastAsia" w:ascii="仿宋" w:hAnsi="仿宋" w:eastAsia="仿宋" w:cs="仿宋"/>
          <w:snapToGrid w:val="0"/>
          <w:color w:val="auto"/>
          <w:sz w:val="24"/>
          <w:szCs w:val="24"/>
          <w:lang w:val="en-US" w:eastAsia="zh-CN"/>
        </w:rPr>
        <w:t>全部</w:t>
      </w:r>
      <w:r>
        <w:rPr>
          <w:rFonts w:hint="eastAsia" w:ascii="仿宋" w:hAnsi="仿宋" w:eastAsia="仿宋" w:cs="仿宋"/>
          <w:snapToGrid w:val="0"/>
          <w:color w:val="auto"/>
          <w:sz w:val="24"/>
          <w:szCs w:val="24"/>
          <w:lang w:val="zh-CN"/>
        </w:rPr>
        <w:t>费用和税金；</w:t>
      </w:r>
    </w:p>
    <w:p>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供应商不接受以上修正的视为无效报价。</w:t>
      </w:r>
    </w:p>
    <w:p>
      <w:pPr>
        <w:numPr>
          <w:ilvl w:val="0"/>
          <w:numId w:val="11"/>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w:t>
      </w:r>
      <w:r>
        <w:rPr>
          <w:rFonts w:hint="eastAsia" w:ascii="仿宋" w:hAnsi="仿宋" w:eastAsia="仿宋" w:cs="仿宋"/>
          <w:color w:val="auto"/>
          <w:sz w:val="24"/>
          <w:szCs w:val="24"/>
        </w:rPr>
        <w:t>对同一种货物只允许有一种报价，采购机构不接受任何有选择的报价或者有附加条件的报价。</w:t>
      </w:r>
    </w:p>
    <w:p>
      <w:pPr>
        <w:numPr>
          <w:ilvl w:val="0"/>
          <w:numId w:val="11"/>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询价小组对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每个项目各品种物资报价进行评定。若三分之二以上评委认定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递交</w:t>
      </w:r>
    </w:p>
    <w:p>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密封及标记</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均按A4复印纸页面编制、装订。所有</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均为明标。</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应将</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装订、密封，并在密封处加盖</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公章。</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密封袋上均应写明“项目名称”“</w:t>
      </w: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编号”“</w:t>
      </w: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名称”和“地址”等事项并注明“开启前不准启封”等字样。</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未按本要求密封、标记的</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采购人</w:t>
      </w:r>
      <w:r>
        <w:rPr>
          <w:rFonts w:hint="eastAsia" w:ascii="仿宋" w:hAnsi="仿宋" w:eastAsia="仿宋" w:cs="仿宋"/>
          <w:b/>
          <w:bCs/>
          <w:color w:val="auto"/>
          <w:sz w:val="24"/>
          <w:szCs w:val="24"/>
        </w:rPr>
        <w:t>（或</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）不对后果负责。</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snapToGrid w:val="0"/>
          <w:color w:val="auto"/>
          <w:sz w:val="24"/>
          <w:szCs w:val="24"/>
          <w:lang w:eastAsia="zh-CN"/>
        </w:rPr>
        <w:t>供应商</w:t>
      </w:r>
      <w:r>
        <w:rPr>
          <w:rFonts w:hint="eastAsia" w:ascii="仿宋" w:hAnsi="仿宋" w:eastAsia="仿宋" w:cs="仿宋"/>
          <w:b/>
          <w:bCs/>
          <w:color w:val="auto"/>
          <w:sz w:val="24"/>
          <w:szCs w:val="24"/>
        </w:rPr>
        <w:t>应当在</w:t>
      </w:r>
      <w:r>
        <w:rPr>
          <w:rFonts w:hint="eastAsia" w:ascii="仿宋" w:hAnsi="仿宋" w:eastAsia="仿宋" w:cs="仿宋"/>
          <w:b/>
          <w:bCs/>
          <w:color w:val="auto"/>
          <w:sz w:val="24"/>
          <w:szCs w:val="24"/>
          <w:lang w:eastAsia="zh-CN"/>
        </w:rPr>
        <w:t>采购文件</w:t>
      </w:r>
      <w:r>
        <w:rPr>
          <w:rFonts w:hint="eastAsia" w:ascii="仿宋" w:hAnsi="仿宋" w:eastAsia="仿宋" w:cs="仿宋"/>
          <w:b/>
          <w:bCs/>
          <w:color w:val="auto"/>
          <w:sz w:val="24"/>
          <w:szCs w:val="24"/>
        </w:rPr>
        <w:t>明确的递交</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截止时间前，将</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送达</w:t>
      </w:r>
      <w:r>
        <w:rPr>
          <w:rFonts w:hint="eastAsia" w:ascii="仿宋" w:hAnsi="仿宋" w:eastAsia="仿宋" w:cs="仿宋"/>
          <w:b/>
          <w:bCs/>
          <w:color w:val="auto"/>
          <w:sz w:val="24"/>
          <w:szCs w:val="24"/>
          <w:lang w:eastAsia="zh-CN"/>
        </w:rPr>
        <w:t>采购文件中</w:t>
      </w:r>
      <w:r>
        <w:rPr>
          <w:rFonts w:hint="eastAsia" w:ascii="仿宋" w:hAnsi="仿宋" w:eastAsia="仿宋" w:cs="仿宋"/>
          <w:b/>
          <w:bCs/>
          <w:color w:val="auto"/>
          <w:sz w:val="24"/>
          <w:szCs w:val="24"/>
        </w:rPr>
        <w:t>指定地点。逾期递交的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采购代理机构</w:t>
      </w:r>
      <w:r>
        <w:rPr>
          <w:rFonts w:hint="eastAsia" w:ascii="仿宋" w:hAnsi="仿宋" w:eastAsia="仿宋" w:cs="仿宋"/>
          <w:b/>
          <w:bCs/>
          <w:color w:val="auto"/>
          <w:sz w:val="24"/>
          <w:szCs w:val="24"/>
        </w:rPr>
        <w:t>将拒收。</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电报、电话、电传、邮寄等形式的</w:t>
      </w: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概不接受。</w:t>
      </w:r>
    </w:p>
    <w:p>
      <w:pPr>
        <w:numPr>
          <w:ilvl w:val="0"/>
          <w:numId w:val="13"/>
        </w:numPr>
        <w:spacing w:line="360" w:lineRule="auto"/>
        <w:ind w:left="0"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投标文件</w:t>
      </w:r>
      <w:r>
        <w:rPr>
          <w:rFonts w:hint="eastAsia" w:ascii="仿宋" w:hAnsi="仿宋" w:eastAsia="仿宋" w:cs="仿宋"/>
          <w:b/>
          <w:bCs/>
          <w:color w:val="auto"/>
          <w:sz w:val="24"/>
          <w:szCs w:val="24"/>
        </w:rPr>
        <w:t>未按要求密封、标记的，</w:t>
      </w:r>
      <w:r>
        <w:rPr>
          <w:rFonts w:hint="eastAsia" w:ascii="仿宋" w:hAnsi="仿宋" w:eastAsia="仿宋" w:cs="仿宋"/>
          <w:b/>
          <w:bCs/>
          <w:color w:val="auto"/>
          <w:sz w:val="24"/>
          <w:szCs w:val="24"/>
          <w:lang w:val="en-US" w:eastAsia="zh-CN"/>
        </w:rPr>
        <w:t>采购代理机构</w:t>
      </w:r>
      <w:r>
        <w:rPr>
          <w:rFonts w:hint="eastAsia" w:ascii="仿宋" w:hAnsi="仿宋" w:eastAsia="仿宋" w:cs="仿宋"/>
          <w:b/>
          <w:bCs/>
          <w:color w:val="auto"/>
          <w:sz w:val="24"/>
          <w:szCs w:val="24"/>
        </w:rPr>
        <w:t>将拒收。</w:t>
      </w:r>
    </w:p>
    <w:p>
      <w:pPr>
        <w:numPr>
          <w:ilvl w:val="0"/>
          <w:numId w:val="12"/>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的修改和撤回</w:t>
      </w:r>
    </w:p>
    <w:p>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供应商在报价截止时间前，可以对所提交的投标文件进行补充、修改或者撤回。补充、修改的内容应当以书面形式通知采购机构，并按照询价文件要求签署、盖章，作为投标文件的组成部分。</w:t>
      </w:r>
    </w:p>
    <w:p>
      <w:pPr>
        <w:numPr>
          <w:ilvl w:val="0"/>
          <w:numId w:val="14"/>
        </w:numPr>
        <w:spacing w:line="360" w:lineRule="auto"/>
        <w:ind w:left="0"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在报价截止时间之后，采购机构将不接受对投标文件内容的实质性修改。</w:t>
      </w:r>
    </w:p>
    <w:p>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zh-CN"/>
        </w:rPr>
        <w:t>供应商修改投标文件的书面材料，</w:t>
      </w:r>
      <w:r>
        <w:rPr>
          <w:rFonts w:hint="eastAsia" w:ascii="仿宋" w:hAnsi="仿宋" w:eastAsia="仿宋" w:cs="仿宋"/>
          <w:color w:val="auto"/>
          <w:sz w:val="24"/>
          <w:szCs w:val="24"/>
        </w:rPr>
        <w:t>须密封送达报价地点，并在封面上标明“报价修改文件、项目名称、项目编号、包号、</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名称”字样。</w:t>
      </w:r>
    </w:p>
    <w:p>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撤回报价应当以书面形式通知采购机构。采取电报或传真形式撤回报价的，必须补充法定代表人或授权代表签署、盖章的撤回报价的正式文件。撤回报价的时间以</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的书面撤回通知送达采购机构时间为准。</w:t>
      </w:r>
    </w:p>
    <w:p>
      <w:pPr>
        <w:numPr>
          <w:ilvl w:val="0"/>
          <w:numId w:val="14"/>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询价开始后，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不得撤回报价，否则报价保证金不予退还。</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询价评审</w:t>
      </w:r>
    </w:p>
    <w:p>
      <w:pPr>
        <w:pStyle w:val="4"/>
        <w:keepLines w:val="0"/>
        <w:pageBreakBefore w:val="0"/>
        <w:numPr>
          <w:ilvl w:val="0"/>
          <w:numId w:val="0"/>
        </w:numPr>
        <w:kinsoku/>
        <w:wordWrap/>
        <w:overflowPunct/>
        <w:topLinePunct w:val="0"/>
        <w:bidi w:val="0"/>
        <w:adjustRightInd w:val="0"/>
        <w:snapToGrid w:val="0"/>
        <w:spacing w:before="0" w:after="0" w:line="360" w:lineRule="auto"/>
        <w:ind w:left="0" w:firstLine="482" w:firstLineChars="200"/>
        <w:textAlignment w:val="auto"/>
        <w:rPr>
          <w:rFonts w:hint="eastAsia" w:ascii="仿宋" w:hAnsi="仿宋" w:eastAsia="仿宋" w:cs="仿宋"/>
          <w:color w:val="auto"/>
          <w:sz w:val="24"/>
          <w:szCs w:val="24"/>
          <w:highlight w:val="none"/>
        </w:rPr>
      </w:pPr>
      <w:bookmarkStart w:id="56" w:name="_Toc424211822"/>
      <w:bookmarkStart w:id="57" w:name="_Toc460703968"/>
      <w:bookmarkStart w:id="58" w:name="_Toc21528"/>
      <w:r>
        <w:rPr>
          <w:rFonts w:hint="eastAsia" w:ascii="仿宋" w:hAnsi="仿宋" w:eastAsia="仿宋" w:cs="仿宋"/>
          <w:color w:val="auto"/>
          <w:sz w:val="24"/>
          <w:szCs w:val="24"/>
          <w:highlight w:val="none"/>
        </w:rPr>
        <w:t>（一）</w:t>
      </w:r>
      <w:bookmarkEnd w:id="56"/>
      <w:bookmarkEnd w:id="57"/>
      <w:r>
        <w:rPr>
          <w:rFonts w:hint="eastAsia" w:ascii="仿宋" w:hAnsi="仿宋" w:eastAsia="仿宋" w:cs="仿宋"/>
          <w:color w:val="auto"/>
          <w:sz w:val="24"/>
          <w:szCs w:val="24"/>
          <w:highlight w:val="none"/>
        </w:rPr>
        <w:t>询价小组</w:t>
      </w:r>
      <w:bookmarkEnd w:id="58"/>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根据本项目的特点，依照《中华人民共和国政府采购法》《中华人民共和国政府采购法实施条例》《政府采购非招标采购方式管理办法》的有关规定组建询价小组，成员人数为3人（含）以上单数，包括技术、经济（金融）、法律等相关专业专家。</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参加询价的供应商代表应签名报到证明其出席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如未按时签到，将被视为供应商自动放弃询价采购权利。</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采购询价过程中，询价小组成员不得与供应商私下交换意见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并在采购询价工作结束后，不得将采购询价情况进行泄露。</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回避</w:t>
      </w:r>
    </w:p>
    <w:p>
      <w:pPr>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评审专家不得参加与自己有利害关系的政府采购项目的评审活动。对与自己有利害关系的评审项目，如受到邀请，应主动提出回避。财政部门、采购人或采购代理机构也可要求该评审专家回避。</w:t>
      </w:r>
    </w:p>
    <w:p>
      <w:pPr>
        <w:numPr>
          <w:ilvl w:val="0"/>
          <w:numId w:val="0"/>
        </w:numPr>
        <w:spacing w:line="360" w:lineRule="auto"/>
        <w:ind w:left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评审原则</w:t>
      </w:r>
    </w:p>
    <w:p>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评审工作严格遵守公平、公正、择优的原则；</w:t>
      </w:r>
    </w:p>
    <w:p>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对所有响应询价文件实质性要求的供应商一视同仁；</w:t>
      </w:r>
    </w:p>
    <w:p>
      <w:pPr>
        <w:numPr>
          <w:ilvl w:val="0"/>
          <w:numId w:val="0"/>
        </w:numPr>
        <w:spacing w:line="360" w:lineRule="auto"/>
        <w:ind w:left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根据符合采购需求、质量和服务相等且报价最低的原则确定成交供应商。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三</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终止询价采购活动的条款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出现下列情形之一的，采购中心将</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询价采购活动，发布项目</w:t>
      </w:r>
      <w:r>
        <w:rPr>
          <w:rFonts w:hint="eastAsia" w:ascii="仿宋" w:hAnsi="仿宋" w:eastAsia="仿宋" w:cs="仿宋"/>
          <w:color w:val="auto"/>
          <w:kern w:val="0"/>
          <w:sz w:val="24"/>
          <w:szCs w:val="24"/>
          <w:highlight w:val="none"/>
          <w:lang w:eastAsia="zh-CN"/>
        </w:rPr>
        <w:t>中止</w:t>
      </w:r>
      <w:r>
        <w:rPr>
          <w:rFonts w:hint="eastAsia" w:ascii="仿宋" w:hAnsi="仿宋" w:eastAsia="仿宋" w:cs="仿宋"/>
          <w:color w:val="auto"/>
          <w:kern w:val="0"/>
          <w:sz w:val="24"/>
          <w:szCs w:val="24"/>
          <w:highlight w:val="none"/>
        </w:rPr>
        <w:t>公告并说明原因，重新开展采购活动：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因情况变化，不再符合规定的询价采购采购方式适用情形的；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出现影响采购公正的违法、违规行为的；</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59" w:name="_Toc460703971"/>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采购评审的纪律与注意事项</w:t>
      </w:r>
      <w:bookmarkEnd w:id="59"/>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采购小组要求供应商</w:t>
      </w:r>
      <w:r>
        <w:rPr>
          <w:rFonts w:hint="eastAsia" w:ascii="仿宋" w:hAnsi="仿宋" w:eastAsia="仿宋" w:cs="仿宋"/>
          <w:color w:val="auto"/>
          <w:kern w:val="0"/>
          <w:sz w:val="24"/>
          <w:szCs w:val="24"/>
          <w:highlight w:val="none"/>
          <w:lang w:eastAsia="zh-CN"/>
        </w:rPr>
        <w:t>作出</w:t>
      </w:r>
      <w:r>
        <w:rPr>
          <w:rFonts w:hint="eastAsia" w:ascii="仿宋" w:hAnsi="仿宋" w:eastAsia="仿宋" w:cs="仿宋"/>
          <w:color w:val="auto"/>
          <w:kern w:val="0"/>
          <w:sz w:val="24"/>
          <w:szCs w:val="24"/>
          <w:highlight w:val="none"/>
        </w:rPr>
        <w:t>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采购过程中，采购小组可以根据采购文件和采购情况实质性变动采购需求中的技术、服务要求以及合同草案条款，但不得变动采购文件中的其他内容。对采购文件作出的实质性变动是采购文件的有效组成部分，采购小组应当及时以书面形式同时通知所有参加采购的供应商。供应商应当按照采购文件的变动情况和采购小组的要求重新提交响应文件，并由其法定代表人或授权代表签字或者加盖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已提交响应文件的供应商，在提交最后报价之前，可以根据采购情况退出采购。采购人、采购代理机构应当退还退出采购的供应商的采购保证金。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采购双方可以就采购询价项目所涉价格、服务等进行实质性</w:t>
      </w:r>
      <w:r>
        <w:rPr>
          <w:rFonts w:hint="eastAsia" w:ascii="仿宋" w:hAnsi="仿宋" w:eastAsia="仿宋" w:cs="仿宋"/>
          <w:color w:val="auto"/>
          <w:sz w:val="24"/>
          <w:szCs w:val="24"/>
          <w:highlight w:val="none"/>
        </w:rPr>
        <w:t>采购</w:t>
      </w:r>
      <w:r>
        <w:rPr>
          <w:rFonts w:hint="eastAsia" w:ascii="仿宋" w:hAnsi="仿宋" w:eastAsia="仿宋" w:cs="仿宋"/>
          <w:color w:val="auto"/>
          <w:kern w:val="0"/>
          <w:sz w:val="24"/>
          <w:szCs w:val="24"/>
          <w:highlight w:val="none"/>
        </w:rPr>
        <w:t>，但采购的任何一方不得透露与采购有关的其他供应商的资料、价格和其他信息。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采购结果由采购小组成员在采购记录上签字。</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五</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评审方法</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采用</w:t>
      </w:r>
      <w:r>
        <w:rPr>
          <w:rFonts w:hint="eastAsia" w:ascii="仿宋" w:hAnsi="仿宋" w:eastAsia="仿宋" w:cs="仿宋"/>
          <w:b/>
          <w:bCs/>
          <w:color w:val="auto"/>
          <w:kern w:val="0"/>
          <w:sz w:val="24"/>
          <w:szCs w:val="24"/>
          <w:highlight w:val="none"/>
        </w:rPr>
        <w:t>最低</w:t>
      </w:r>
      <w:r>
        <w:rPr>
          <w:rFonts w:hint="eastAsia" w:ascii="仿宋" w:hAnsi="仿宋" w:eastAsia="仿宋" w:cs="仿宋"/>
          <w:b/>
          <w:bCs/>
          <w:color w:val="auto"/>
          <w:kern w:val="0"/>
          <w:sz w:val="24"/>
          <w:szCs w:val="24"/>
          <w:highlight w:val="none"/>
          <w:lang w:val="en-US" w:eastAsia="zh-CN"/>
        </w:rPr>
        <w:t>评标</w:t>
      </w:r>
      <w:r>
        <w:rPr>
          <w:rFonts w:hint="eastAsia" w:ascii="仿宋" w:hAnsi="仿宋" w:eastAsia="仿宋" w:cs="仿宋"/>
          <w:b/>
          <w:bCs/>
          <w:color w:val="auto"/>
          <w:kern w:val="0"/>
          <w:sz w:val="24"/>
          <w:szCs w:val="24"/>
          <w:highlight w:val="none"/>
        </w:rPr>
        <w:t>价法。</w:t>
      </w:r>
      <w:r>
        <w:rPr>
          <w:rFonts w:hint="eastAsia" w:ascii="仿宋" w:hAnsi="仿宋" w:eastAsia="仿宋" w:cs="仿宋"/>
          <w:color w:val="auto"/>
          <w:kern w:val="0"/>
          <w:sz w:val="24"/>
          <w:szCs w:val="24"/>
          <w:highlight w:val="none"/>
          <w:lang w:val="en-US" w:eastAsia="zh-CN"/>
        </w:rPr>
        <w:t>初步</w:t>
      </w:r>
      <w:r>
        <w:rPr>
          <w:rFonts w:hint="eastAsia" w:ascii="仿宋" w:hAnsi="仿宋" w:eastAsia="仿宋" w:cs="仿宋"/>
          <w:color w:val="auto"/>
          <w:kern w:val="0"/>
          <w:sz w:val="24"/>
          <w:szCs w:val="24"/>
          <w:highlight w:val="none"/>
        </w:rPr>
        <w:t>评审合格的报价视为有效报价，按照报价由低到高顺序排列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报价相同的，按照技术指标优劣顺序排列，以提出最低报价的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作为预成交供应商。询价小组认定为低价恶意竞争的视为无效报价。</w:t>
      </w:r>
    </w:p>
    <w:p>
      <w:pPr>
        <w:keepNext w:val="0"/>
        <w:keepLines w:val="0"/>
        <w:pageBreakBefore w:val="0"/>
        <w:kinsoku/>
        <w:wordWrap/>
        <w:overflowPunct/>
        <w:topLinePunct w:val="0"/>
        <w:autoSpaceDE/>
        <w:autoSpaceDN/>
        <w:bidi w:val="0"/>
        <w:adjustRightInd/>
        <w:spacing w:line="480" w:lineRule="atLeas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（六）定标原则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询价小组应当从质量和服务均能满足采购文件实质性响应要求的供应商中，分别</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 xml:space="preserve">报价由低到高的顺序提出3名成交候选人，如报价相同，则按照技术指标优劣顺序推荐，并编写评审报告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采购小组按照评审报</w:t>
      </w:r>
      <w:r>
        <w:rPr>
          <w:rFonts w:hint="eastAsia" w:ascii="仿宋" w:hAnsi="仿宋" w:eastAsia="仿宋" w:cs="仿宋"/>
          <w:color w:val="auto"/>
          <w:sz w:val="24"/>
          <w:szCs w:val="24"/>
          <w:highlight w:val="none"/>
          <w:lang w:val="en-US" w:eastAsia="zh-CN"/>
        </w:rPr>
        <w:t>告提出的供应商排序确定成交供应商，成交候选人第一名为成交供应商。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成交供应商在履约过程中不能满足采购单位实际需求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服务不达标、提供项目结果低劣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以次充好或服务不到位，一经发现采购单位可按评标排名顺序选择第二成交候选人提供服务。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60" w:name="_Toc460703973"/>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七</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供应商需要注意的</w:t>
      </w:r>
      <w:r>
        <w:rPr>
          <w:rFonts w:hint="eastAsia" w:ascii="仿宋" w:hAnsi="仿宋" w:eastAsia="仿宋" w:cs="仿宋"/>
          <w:b/>
          <w:bCs/>
          <w:color w:val="auto"/>
          <w:kern w:val="0"/>
          <w:sz w:val="24"/>
          <w:szCs w:val="24"/>
          <w:highlight w:val="none"/>
          <w:lang w:eastAsia="zh-CN"/>
        </w:rPr>
        <w:t>其他</w:t>
      </w:r>
      <w:r>
        <w:rPr>
          <w:rFonts w:hint="eastAsia" w:ascii="仿宋" w:hAnsi="仿宋" w:eastAsia="仿宋" w:cs="仿宋"/>
          <w:b/>
          <w:bCs/>
          <w:color w:val="auto"/>
          <w:kern w:val="0"/>
          <w:sz w:val="24"/>
          <w:szCs w:val="24"/>
          <w:highlight w:val="none"/>
        </w:rPr>
        <w:t>事项</w:t>
      </w:r>
      <w:bookmarkEnd w:id="60"/>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bookmarkStart w:id="61" w:name="_Toc239822619"/>
      <w:bookmarkStart w:id="62" w:name="_Toc239822504"/>
      <w:bookmarkStart w:id="63" w:name="_Toc460703974"/>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供应商必须由法定代表人或其代理人参加招标，法定代表人委托代理人参加招标</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必须提供法定代表人授权委托书（原件）和代理人身份证（复印件）。随时接受招标小组的询问，并予以解答问题。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供应商应遵守有关法律、法规，不得采取不正当的竞争手段，否则，其后果由供应商自负。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在招标会直至宣布结果之前，供应商不得向招标评审专家询问招标情况，不得进行旨在影响成交结果的活动，否则，其招标无效并追究法律责任。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若供应商的响应文件中合格供应商应符合条件缺少任何一项，供应商将承担招标无效的风险。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采购文件</w:t>
      </w:r>
      <w:r>
        <w:rPr>
          <w:rFonts w:hint="eastAsia" w:ascii="仿宋" w:hAnsi="仿宋" w:eastAsia="仿宋" w:cs="仿宋"/>
          <w:color w:val="auto"/>
          <w:kern w:val="0"/>
          <w:sz w:val="24"/>
          <w:szCs w:val="24"/>
          <w:highlight w:val="none"/>
        </w:rPr>
        <w:t>的未尽事项，按现行的有关法律、法规及规章执行。</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八</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授予合同</w:t>
      </w:r>
      <w:bookmarkEnd w:id="61"/>
      <w:bookmarkEnd w:id="62"/>
      <w:bookmarkEnd w:id="63"/>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lang w:eastAsia="zh-CN"/>
        </w:rPr>
      </w:pPr>
      <w:bookmarkStart w:id="64" w:name="_Toc239648866"/>
      <w:bookmarkStart w:id="65" w:name="_Toc239649312"/>
      <w:bookmarkStart w:id="66" w:name="_Toc239822620"/>
      <w:bookmarkStart w:id="67" w:name="_Toc239651319"/>
      <w:bookmarkStart w:id="68" w:name="_Toc239648600"/>
      <w:bookmarkStart w:id="69" w:name="_Toc460703975"/>
      <w:bookmarkStart w:id="70" w:name="_Toc424059497"/>
      <w:bookmarkStart w:id="71" w:name="_Toc239822505"/>
      <w:bookmarkStart w:id="72" w:name="_Toc424211825"/>
      <w:bookmarkStart w:id="73" w:name="_Toc239649764"/>
      <w:bookmarkStart w:id="74" w:name="_Toc239649388"/>
      <w:bookmarkStart w:id="75" w:name="_Toc239650600"/>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成交通知</w:t>
      </w:r>
      <w:bookmarkEnd w:id="64"/>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b/>
          <w:bCs/>
          <w:color w:val="auto"/>
          <w:kern w:val="0"/>
          <w:sz w:val="24"/>
          <w:szCs w:val="24"/>
          <w:highlight w:val="none"/>
          <w:lang w:eastAsia="zh-CN"/>
        </w:rPr>
        <w:t>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（1）确定成交供应商后，采购代理机构向供应商发出</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通知书，并将成交结果依法公告。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通知书将作为签订合同的依据。如果成交供应商没有按采购文件的规定执行，成交供应商的成交资格将被取消，并对由此产生的一切后果负责。</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bookmarkStart w:id="76" w:name="_Toc424211826"/>
      <w:bookmarkStart w:id="77" w:name="_Toc239822506"/>
      <w:bookmarkStart w:id="78" w:name="_Toc239648601"/>
      <w:bookmarkStart w:id="79" w:name="_Toc239648867"/>
      <w:bookmarkStart w:id="80" w:name="_Toc424059498"/>
      <w:bookmarkStart w:id="81" w:name="_Toc239649313"/>
      <w:bookmarkStart w:id="82" w:name="_Toc239650601"/>
      <w:bookmarkStart w:id="83" w:name="_Toc239822621"/>
      <w:bookmarkStart w:id="84" w:name="_Toc239651320"/>
      <w:bookmarkStart w:id="85" w:name="_Toc460703976"/>
      <w:bookmarkStart w:id="86" w:name="_Toc239649765"/>
      <w:bookmarkStart w:id="87" w:name="_Toc239649389"/>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签订合同</w:t>
      </w:r>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（1）采购文件、成交供应商的响应文件及修改或澄清文件等，均为签订合同的依据。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（2）采购人与成交供应商应当在</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通知书发出之日起</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日内，按照采购文件确定的合同文本以及采购标的、采购金额、技术和服务要求等事项签订政府采购合同。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（3）采购人不得向成交供应商提出超出采购文件以外的任何要求作为签订合同的条件，不得与成交供应商订立背离采购文件确定的合同文本以及采购标的、采购金额、技术和服务要求等实质性内容的协议。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（4）采购文件所附《合同主要条款》是采购人与成交供应商签订合同的基本条款，成交供应商应认真阅读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在没有实质性违反采购文件及响应文件的前提下，采购人有权在合同签订前对合同条款进行适当修改、增加、删除，成交供应商不得以此为由拒绝签订合同。对此，请供应商</w:t>
      </w:r>
      <w:r>
        <w:rPr>
          <w:rFonts w:hint="eastAsia" w:ascii="仿宋" w:hAnsi="仿宋" w:eastAsia="仿宋" w:cs="仿宋"/>
          <w:color w:val="auto"/>
          <w:kern w:val="0"/>
          <w:sz w:val="24"/>
          <w:szCs w:val="24"/>
          <w:highlight w:val="none"/>
          <w:lang w:eastAsia="zh-CN"/>
        </w:rPr>
        <w:t>在</w:t>
      </w:r>
      <w:r>
        <w:rPr>
          <w:rFonts w:hint="eastAsia" w:ascii="仿宋" w:hAnsi="仿宋" w:eastAsia="仿宋" w:cs="仿宋"/>
          <w:color w:val="auto"/>
          <w:kern w:val="0"/>
          <w:sz w:val="24"/>
          <w:szCs w:val="24"/>
          <w:highlight w:val="none"/>
        </w:rPr>
        <w:t>参加询价采购前慎重考虑相关商业风险。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）合同签订后不允许将合同转与其他单位。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）成交供应商因不可抗力或者自身原因不能履行政府采购合同的，采购人可以与排位在成交供应商之后第一位的成交候选人签订政府采购合同，或重新组织采购。</w:t>
      </w:r>
    </w:p>
    <w:p>
      <w:pPr>
        <w:numPr>
          <w:ilvl w:val="0"/>
          <w:numId w:val="4"/>
        </w:numPr>
        <w:spacing w:before="240" w:beforeLines="100" w:after="240" w:afterLines="10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质疑与投诉</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应当按照规定的程序和渠道实名质疑、投诉，其质疑、投诉应当有具体的质疑、投诉事项及证明因采购活动违反相关规定而使其利益受到损害的事实根据，不得进行虚假、恶意的质疑和投诉，匿名质疑、投诉不予受理。</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质疑由采购机构设立的质疑处理机构受理，投诉由单位采购投诉处理办公室受理。供应商投诉事项应当是经过质疑的事项，未质疑的事项，投诉不予受理。</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采购机构质疑处理机构</w:t>
      </w:r>
      <w:r>
        <w:rPr>
          <w:rFonts w:hint="eastAsia" w:ascii="仿宋" w:hAnsi="仿宋" w:eastAsia="仿宋" w:cs="仿宋"/>
          <w:snapToGrid w:val="0"/>
          <w:color w:val="auto"/>
          <w:sz w:val="24"/>
          <w:szCs w:val="24"/>
          <w:lang w:eastAsia="zh-CN"/>
        </w:rPr>
        <w:t>的</w:t>
      </w:r>
      <w:r>
        <w:rPr>
          <w:rFonts w:hint="eastAsia" w:ascii="仿宋" w:hAnsi="仿宋" w:eastAsia="仿宋" w:cs="仿宋"/>
          <w:snapToGrid w:val="0"/>
          <w:color w:val="auto"/>
          <w:sz w:val="24"/>
          <w:szCs w:val="24"/>
        </w:rPr>
        <w:t>联系方式</w:t>
      </w:r>
    </w:p>
    <w:p>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李祥维</w:t>
      </w:r>
      <w:r>
        <w:rPr>
          <w:rFonts w:hint="eastAsia" w:ascii="仿宋" w:hAnsi="仿宋" w:eastAsia="仿宋" w:cs="仿宋"/>
          <w:color w:val="auto"/>
          <w:sz w:val="24"/>
          <w:szCs w:val="24"/>
          <w:u w:val="single"/>
        </w:rPr>
        <w:t xml:space="preserve">                   </w:t>
      </w:r>
    </w:p>
    <w:p>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0990-</w:t>
      </w:r>
      <w:r>
        <w:rPr>
          <w:rFonts w:hint="eastAsia" w:ascii="仿宋" w:hAnsi="仿宋" w:eastAsia="仿宋" w:cs="仿宋"/>
          <w:color w:val="auto"/>
          <w:sz w:val="24"/>
          <w:szCs w:val="24"/>
          <w:u w:val="single"/>
          <w:lang w:val="en-US" w:eastAsia="zh-CN"/>
        </w:rPr>
        <w:t>6247705  13565458118</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rPr>
        <w:t xml:space="preserve">       </w:t>
      </w:r>
    </w:p>
    <w:p>
      <w:pPr>
        <w:numPr>
          <w:ilvl w:val="0"/>
          <w:numId w:val="16"/>
        </w:numPr>
        <w:spacing w:line="360" w:lineRule="auto"/>
        <w:ind w:left="0"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新疆维吾尔自治区克拉玛依市克拉玛依区新兴路339号A座416号 </w:t>
      </w:r>
    </w:p>
    <w:p>
      <w:pPr>
        <w:numPr>
          <w:ilvl w:val="0"/>
          <w:numId w:val="16"/>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邮  编：</w:t>
      </w:r>
      <w:r>
        <w:rPr>
          <w:rFonts w:hint="eastAsia" w:ascii="仿宋" w:hAnsi="仿宋" w:eastAsia="仿宋" w:cs="仿宋"/>
          <w:color w:val="auto"/>
          <w:sz w:val="24"/>
          <w:szCs w:val="24"/>
          <w:u w:val="single"/>
        </w:rPr>
        <w:t xml:space="preserve">                    834000                   </w:t>
      </w:r>
      <w:r>
        <w:rPr>
          <w:rFonts w:hint="eastAsia" w:ascii="仿宋" w:hAnsi="仿宋" w:eastAsia="仿宋" w:cs="仿宋"/>
          <w:color w:val="auto"/>
          <w:sz w:val="24"/>
          <w:szCs w:val="24"/>
        </w:rPr>
        <w:t xml:space="preserve"> </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供应商认为询价文件存在限制性、倾向性、排他性条款，使自己权益受到损害的，可以在递交</w:t>
      </w:r>
      <w:r>
        <w:rPr>
          <w:rFonts w:hint="eastAsia" w:ascii="仿宋" w:hAnsi="仿宋" w:eastAsia="仿宋" w:cs="仿宋"/>
          <w:snapToGrid w:val="0"/>
          <w:color w:val="auto"/>
          <w:sz w:val="24"/>
          <w:szCs w:val="24"/>
          <w:lang w:eastAsia="zh-CN"/>
        </w:rPr>
        <w:t>投标文件</w:t>
      </w:r>
      <w:r>
        <w:rPr>
          <w:rFonts w:hint="eastAsia" w:ascii="仿宋" w:hAnsi="仿宋" w:eastAsia="仿宋" w:cs="仿宋"/>
          <w:snapToGrid w:val="0"/>
          <w:color w:val="auto"/>
          <w:sz w:val="24"/>
          <w:szCs w:val="24"/>
        </w:rPr>
        <w:t>截止时间3日前向</w:t>
      </w:r>
      <w:r>
        <w:rPr>
          <w:rFonts w:hint="eastAsia" w:ascii="仿宋" w:hAnsi="仿宋" w:eastAsia="仿宋" w:cs="仿宋"/>
          <w:snapToGrid w:val="0"/>
          <w:color w:val="auto"/>
          <w:sz w:val="24"/>
          <w:szCs w:val="24"/>
          <w:lang w:eastAsia="zh-CN"/>
        </w:rPr>
        <w:t>采购人</w:t>
      </w:r>
      <w:r>
        <w:rPr>
          <w:rFonts w:hint="eastAsia" w:ascii="仿宋" w:hAnsi="仿宋" w:eastAsia="仿宋" w:cs="仿宋"/>
          <w:snapToGrid w:val="0"/>
          <w:color w:val="auto"/>
          <w:sz w:val="24"/>
          <w:szCs w:val="24"/>
        </w:rPr>
        <w:t>设立的质疑处理机构提出书面质疑和相关证明材料。</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供应商认为下列事项使自己权益受到损害的，可以在评审结果公示期内，向采购机构设立的质疑处理机构提出书面质疑和相关证明材料：</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采购机构或者相关人员与供应商有利害关系，应当回避而没有回避的；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采购程序违反单位采购相关规定的；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供应商之间或者采购机构与供应商之间存在串通行为的；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提供虚假资料骗取成交的；</w:t>
      </w:r>
    </w:p>
    <w:p>
      <w:pPr>
        <w:numPr>
          <w:ilvl w:val="0"/>
          <w:numId w:val="17"/>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违反采购相关法律法规使自己权益受到损害的其他事项。</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书面质疑应由法定代表人签字并加盖单位公章，同时出具法定代表人资格证明书。由全权代表签字的，必须有法定代表人授权书和法定代表人资格证明书，并加盖单位公章。书面质疑主要包括下列内容：</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质疑的采购项目</w:t>
      </w:r>
      <w:r>
        <w:rPr>
          <w:rFonts w:hint="eastAsia" w:ascii="仿宋" w:hAnsi="仿宋" w:eastAsia="仿宋" w:cs="仿宋"/>
          <w:color w:val="auto"/>
          <w:sz w:val="24"/>
          <w:szCs w:val="24"/>
          <w:lang w:eastAsia="zh-CN"/>
        </w:rPr>
        <w:t>名称</w:t>
      </w:r>
      <w:r>
        <w:rPr>
          <w:rFonts w:hint="eastAsia" w:ascii="仿宋" w:hAnsi="仿宋" w:eastAsia="仿宋" w:cs="仿宋"/>
          <w:color w:val="auto"/>
          <w:sz w:val="24"/>
          <w:szCs w:val="24"/>
        </w:rPr>
        <w:t>和项目编号；</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质疑人和被质疑人的名称，质疑人的地址、联系方式等；</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具体的质疑事项、事实依据及相关证明材料；</w:t>
      </w:r>
    </w:p>
    <w:p>
      <w:pPr>
        <w:numPr>
          <w:ilvl w:val="0"/>
          <w:numId w:val="18"/>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提起质疑的日期。</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质疑有以下情形之一的，质疑处理机构不予受理：</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未按规定程序和渠道质疑的；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质疑超过质疑限期的；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书面质疑的形式和内容不符合上述要求的；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提出的质疑事项已经明确答复的；</w:t>
      </w:r>
    </w:p>
    <w:p>
      <w:pPr>
        <w:numPr>
          <w:ilvl w:val="0"/>
          <w:numId w:val="19"/>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法律法规规定的其他不予受理的条件。</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质疑处理机构应当自质疑签收之日起7个工作日内做出书面答复。答复内容同时通知与处理结果有关的供应商，但答复内容不得涉及供应商的商业秘密。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质疑处理机构在作出书面答复之前，可以采取现场解答的方式向质疑人通报初步处理结果。供应商认可处理结果的，可在出具书面申请后撤回质疑或者放弃质疑，质疑处理机构不再进行书面答复。</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供应商质疑有下列情形之一的，视为无效质疑，质疑处理机构应当驳回质疑：</w:t>
      </w:r>
    </w:p>
    <w:p>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无具体的质疑事项，或者质疑事项缺乏事实和法律依据的；</w:t>
      </w:r>
    </w:p>
    <w:p>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质疑内容涉及评审工作细节、其他供应商报价资料等保密事项且无法提供信息的合法来源的；</w:t>
      </w:r>
    </w:p>
    <w:p>
      <w:pPr>
        <w:numPr>
          <w:ilvl w:val="0"/>
          <w:numId w:val="20"/>
        </w:numPr>
        <w:spacing w:line="360" w:lineRule="auto"/>
        <w:ind w:left="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质疑已经处理并明确答复后，质疑人就同一事项再次提起质疑且未提供新的有效证据的。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质疑处理机构应当对供应商无效质疑情况记录并存档备查。</w:t>
      </w:r>
    </w:p>
    <w:p>
      <w:pPr>
        <w:numPr>
          <w:ilvl w:val="0"/>
          <w:numId w:val="15"/>
        </w:numPr>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质疑人进行虚假和恶意质疑，干扰单位采购活动的，质疑处理机构可以申请上级采购管理部门作出处罚。</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初步评审标准</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1资格性审查</w:t>
      </w:r>
    </w:p>
    <w:tbl>
      <w:tblPr>
        <w:tblStyle w:val="20"/>
        <w:tblW w:w="9619"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327"/>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序号</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评审因素</w:t>
            </w:r>
          </w:p>
        </w:tc>
        <w:tc>
          <w:tcPr>
            <w:tcW w:w="64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基本条件</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满足《中华人民共和国政府采购法》第二十二条规定</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highlight w:val="none"/>
              </w:rPr>
              <w:t>落实政府采购政策</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落实政府采购政策需满足的资格要求：供应商为中小企业；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特定资格条件</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具有市场监管总局检验检测机构资质认定（CMA认定）和中国合格评定国家认可委员会认可（CNAS认可），并具备相应的成品油涉税产品检测能力；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89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232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sz w:val="24"/>
                <w:szCs w:val="24"/>
                <w:lang w:val="zh-CN"/>
              </w:rPr>
            </w:pPr>
            <w:r>
              <w:rPr>
                <w:rFonts w:hint="eastAsia" w:ascii="仿宋" w:hAnsi="仿宋" w:eastAsia="仿宋" w:cs="仿宋"/>
                <w:b w:val="0"/>
                <w:bCs w:val="0"/>
                <w:color w:val="auto"/>
                <w:sz w:val="24"/>
                <w:szCs w:val="24"/>
                <w:lang w:val="zh-CN"/>
              </w:rPr>
              <w:t>联合体</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接受联合体投标</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注：未通过资格性审查的响应文件将按照无效响应处理。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2符合性审查</w:t>
      </w:r>
    </w:p>
    <w:tbl>
      <w:tblPr>
        <w:tblStyle w:val="20"/>
        <w:tblpPr w:leftFromText="180" w:rightFromText="180" w:vertAnchor="text" w:horzAnchor="page" w:tblpX="849" w:tblpY="17"/>
        <w:tblOverlap w:val="never"/>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781"/>
        <w:gridCol w:w="2324"/>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41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有效性审查</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响应文件已</w:t>
            </w:r>
            <w:r>
              <w:rPr>
                <w:rFonts w:hint="eastAsia" w:ascii="仿宋" w:hAnsi="仿宋" w:eastAsia="仿宋" w:cs="仿宋"/>
                <w:color w:val="auto"/>
                <w:sz w:val="24"/>
                <w:szCs w:val="24"/>
                <w:highlight w:val="none"/>
              </w:rPr>
              <w:t>签署</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法定代表人身份证明及授权委托书有效，且符合采购文件规定的格式。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完整性审查</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响应文件份数</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响应文件正本、副本、电子版等响应文件数量符合</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采购文件的响应程度审查</w:t>
            </w: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内容</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质量技术</w:t>
            </w:r>
            <w:r>
              <w:rPr>
                <w:rFonts w:hint="eastAsia" w:ascii="仿宋" w:hAnsi="仿宋" w:eastAsia="仿宋" w:cs="仿宋"/>
                <w:color w:val="auto"/>
                <w:sz w:val="24"/>
                <w:szCs w:val="24"/>
                <w:highlight w:val="none"/>
                <w:lang w:eastAsia="zh-CN"/>
              </w:rPr>
              <w:t>监督</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服务周期</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响应文件</w:t>
            </w:r>
            <w:r>
              <w:rPr>
                <w:rFonts w:hint="eastAsia" w:ascii="仿宋" w:hAnsi="仿宋" w:eastAsia="仿宋" w:cs="仿宋"/>
                <w:color w:val="auto"/>
                <w:sz w:val="24"/>
                <w:szCs w:val="24"/>
                <w:highlight w:val="none"/>
              </w:rPr>
              <w:t>有效期</w:t>
            </w:r>
          </w:p>
        </w:tc>
        <w:tc>
          <w:tcPr>
            <w:tcW w:w="52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w:t>
            </w:r>
            <w:r>
              <w:rPr>
                <w:rFonts w:hint="eastAsia" w:ascii="仿宋" w:hAnsi="仿宋" w:eastAsia="仿宋" w:cs="仿宋"/>
                <w:color w:val="auto"/>
                <w:sz w:val="24"/>
                <w:szCs w:val="24"/>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6"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rPr>
            </w:pPr>
          </w:p>
        </w:tc>
        <w:tc>
          <w:tcPr>
            <w:tcW w:w="1781"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 w:hAnsi="仿宋" w:eastAsia="仿宋" w:cs="仿宋"/>
                <w:color w:val="auto"/>
                <w:sz w:val="24"/>
                <w:szCs w:val="24"/>
                <w:highlight w:val="none"/>
                <w:lang w:val="zh-CN"/>
              </w:rPr>
            </w:pPr>
          </w:p>
        </w:tc>
        <w:tc>
          <w:tcPr>
            <w:tcW w:w="232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2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满足采购文件相关</w:t>
            </w:r>
            <w:r>
              <w:rPr>
                <w:rFonts w:hint="eastAsia" w:ascii="仿宋" w:hAnsi="仿宋" w:eastAsia="仿宋" w:cs="仿宋"/>
                <w:color w:val="auto"/>
                <w:sz w:val="24"/>
                <w:szCs w:val="24"/>
                <w:highlight w:val="none"/>
                <w:lang w:val="zh-CN"/>
              </w:rPr>
              <w:t>规定。</w:t>
            </w:r>
          </w:p>
        </w:tc>
      </w:tr>
    </w:tbl>
    <w:p>
      <w:pPr>
        <w:rPr>
          <w:rFonts w:hint="eastAsia"/>
          <w:color w:val="auto"/>
        </w:rPr>
        <w:sectPr>
          <w:pgSz w:w="11906" w:h="16838"/>
          <w:pgMar w:top="1440" w:right="1080" w:bottom="1440" w:left="1080" w:header="851" w:footer="851" w:gutter="0"/>
          <w:pgNumType w:fmt="decimal"/>
          <w:cols w:space="720" w:num="1"/>
          <w:docGrid w:linePitch="388" w:charSpace="-1260"/>
        </w:sectPr>
      </w:pPr>
    </w:p>
    <w:p>
      <w:pPr>
        <w:spacing w:line="360" w:lineRule="auto"/>
        <w:jc w:val="center"/>
        <w:outlineLvl w:val="0"/>
        <w:rPr>
          <w:rFonts w:hint="eastAsia" w:ascii="仿宋" w:hAnsi="仿宋" w:eastAsia="仿宋" w:cs="仿宋"/>
          <w:b/>
          <w:bCs w:val="0"/>
          <w:color w:val="auto"/>
          <w:sz w:val="32"/>
          <w:szCs w:val="32"/>
        </w:rPr>
      </w:pPr>
      <w:bookmarkStart w:id="88" w:name="_Toc285612603"/>
      <w:bookmarkStart w:id="89" w:name="_Toc390713969"/>
      <w:bookmarkStart w:id="90" w:name="_Toc21190"/>
      <w:r>
        <w:rPr>
          <w:rFonts w:hint="eastAsia" w:ascii="仿宋" w:hAnsi="仿宋" w:eastAsia="仿宋" w:cs="仿宋"/>
          <w:b/>
          <w:bCs w:val="0"/>
          <w:color w:val="auto"/>
          <w:sz w:val="32"/>
          <w:szCs w:val="32"/>
        </w:rPr>
        <w:t xml:space="preserve">第四部分  </w:t>
      </w:r>
      <w:bookmarkEnd w:id="88"/>
      <w:bookmarkEnd w:id="89"/>
      <w:bookmarkStart w:id="91" w:name="_Toc285612604"/>
      <w:bookmarkStart w:id="92" w:name="_Toc240432233"/>
      <w:bookmarkStart w:id="93" w:name="_Toc351203494"/>
      <w:bookmarkStart w:id="94" w:name="_Toc390713970"/>
      <w:r>
        <w:rPr>
          <w:rFonts w:hint="eastAsia" w:ascii="仿宋" w:hAnsi="仿宋" w:eastAsia="仿宋" w:cs="仿宋"/>
          <w:b/>
          <w:bCs w:val="0"/>
          <w:color w:val="auto"/>
          <w:sz w:val="32"/>
          <w:szCs w:val="32"/>
        </w:rPr>
        <w:t>拟订立的合同样本</w:t>
      </w:r>
      <w:bookmarkEnd w:id="90"/>
    </w:p>
    <w:bookmarkEnd w:id="91"/>
    <w:bookmarkEnd w:id="92"/>
    <w:bookmarkEnd w:id="93"/>
    <w:bookmarkEnd w:id="94"/>
    <w:p>
      <w:pPr>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（此合同为格式范本，最终合同以双方协商为准）</w:t>
      </w:r>
    </w:p>
    <w:p>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pPr>
        <w:pStyle w:val="28"/>
        <w:tabs>
          <w:tab w:val="left" w:pos="720"/>
        </w:tabs>
        <w:autoSpaceDE w:val="0"/>
        <w:autoSpaceDN w:val="0"/>
        <w:ind w:left="1360" w:firstLine="1285" w:firstLineChars="400"/>
        <w:contextualSpacing/>
        <w:jc w:val="both"/>
        <w:rPr>
          <w:rFonts w:hint="eastAsia" w:ascii="仿宋" w:hAnsi="仿宋" w:eastAsia="仿宋" w:cs="仿宋"/>
          <w:b/>
          <w:color w:val="auto"/>
          <w:sz w:val="32"/>
          <w:szCs w:val="32"/>
          <w:highlight w:val="none"/>
        </w:rPr>
      </w:pPr>
    </w:p>
    <w:p>
      <w:pPr>
        <w:pStyle w:val="28"/>
        <w:tabs>
          <w:tab w:val="left" w:pos="720"/>
        </w:tabs>
        <w:autoSpaceDE w:val="0"/>
        <w:autoSpaceDN w:val="0"/>
        <w:ind w:left="1360" w:firstLine="2249" w:firstLineChars="400"/>
        <w:contextualSpacing/>
        <w:jc w:val="both"/>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合　同　书</w:t>
      </w: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tabs>
          <w:tab w:val="left" w:pos="720"/>
        </w:tabs>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采购编号：</w:t>
      </w: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1360" w:firstLine="0" w:firstLineChars="0"/>
        <w:contextualSpacing/>
        <w:rPr>
          <w:rFonts w:hint="eastAsia" w:ascii="仿宋" w:hAnsi="仿宋" w:eastAsia="仿宋" w:cs="仿宋"/>
          <w:b/>
          <w:color w:val="auto"/>
          <w:sz w:val="32"/>
          <w:szCs w:val="32"/>
          <w:highlight w:val="none"/>
        </w:rPr>
      </w:pPr>
    </w:p>
    <w:p>
      <w:pPr>
        <w:pStyle w:val="28"/>
        <w:autoSpaceDE w:val="0"/>
        <w:autoSpaceDN w:val="0"/>
        <w:ind w:left="0" w:leftChars="0" w:firstLine="0" w:firstLineChars="0"/>
        <w:contextualSpacing/>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注：本合同仅为合同的参考文本，合同签订双方可根据项目的具体要求进行修订。</w:t>
      </w:r>
    </w:p>
    <w:p>
      <w:pPr>
        <w:pStyle w:val="31"/>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br w:type="page"/>
      </w:r>
      <w:bookmarkStart w:id="95" w:name="_Toc490756174"/>
      <w:r>
        <w:rPr>
          <w:rFonts w:hint="eastAsia" w:ascii="仿宋" w:hAnsi="仿宋" w:eastAsia="仿宋" w:cs="仿宋"/>
          <w:color w:val="auto"/>
          <w:sz w:val="24"/>
          <w:szCs w:val="24"/>
          <w:highlight w:val="none"/>
        </w:rPr>
        <w:t>一、合同主要条款</w:t>
      </w:r>
      <w:bookmarkEnd w:id="95"/>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1.1甲方（需方）即</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，是指通过招标采购，接受合同货物及服务的各级国家机关、事业单位和团体组织。</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1.2乙方（供方）即中标人，是指中标后提供合同货物和服务的自然人、法人及其他组织。</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1.3合同是指由甲乙双方按照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的实质性内容，通过协商一致达成的书面协议。</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1.4合同价格指以中标价格为依据，在供方全面履行合同义务后，需方（或财政部门）应支付给供方的金额。</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合同包括以下内容：服务项目名称、服务提供地点、服务期限、服务标准等内容。</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3、合同价格</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3.1合同价格即合同总价。</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3.2合同价格包括人员工资、各类社保费用、税费、为保证服务质量所购买或租赁设备的费用等。</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4、转包或分包</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4.1本合同范围的服务内容，应由乙方直接供应，不得转让他人供应；</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4.2非经甲方书面同意，乙方不得将本合同范围的服务全部或部分分包给他人；</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4.3如有转让和未经甲方同意的分包行为，甲方有权解除合同，没收履约保证金并追究乙方的违约责任。</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5、服务质量保证</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5.1乙方应按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规定的服务标准向甲方提供服务。</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5.2乙方提供的服务标准达不到</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规定者，除承担相应责任外，将按失信行为处置。</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6、付款</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6.1本合同使用货币币制如未作特别说明均为人民币。</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6.2付款方式：银行转账、现金支票。</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6.3付款方法：同本项目“第三篇 商务条款”中关于付款方式的约定。</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7、检查考核</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7.1按甲乙双方约定的考核办法监督检查。</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8、合同争议的解决</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8.1当事人友好协商达成一致</w:t>
      </w:r>
      <w:r>
        <w:rPr>
          <w:rFonts w:hint="eastAsia" w:cs="仿宋"/>
          <w:color w:val="auto"/>
          <w:sz w:val="24"/>
          <w:szCs w:val="24"/>
          <w:highlight w:val="none"/>
          <w:lang w:eastAsia="zh-CN"/>
        </w:rPr>
        <w:t>。</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8.2在60天内当事人协商不能达成协议的，可提请</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当地仲裁机构仲裁。</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9、违约责任</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》、《中华人民共和国政府采购法》有关条款，或由供需双方约定。</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10、合同生效及其它</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10.1合同生效及其效力应符合《</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》有关规定。</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10.2合同应经当事人法定代表人或委托代理人签字，加盖双方合同专用章或公章。</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10.3合同所包括附件，是合同不可分割的一部分，具有同等法律效力。</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10.4合同需提供担保的，按《中华人民共和国民法典》规定执行。</w:t>
      </w:r>
    </w:p>
    <w:p>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10.5本合同条件未尽事宜依照《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》，由供需双方共同协商确定。</w:t>
      </w:r>
    </w:p>
    <w:p>
      <w:pPr>
        <w:pStyle w:val="32"/>
        <w:rPr>
          <w:rFonts w:hint="eastAsia" w:ascii="仿宋" w:hAnsi="仿宋" w:eastAsia="仿宋" w:cs="仿宋"/>
          <w:color w:val="auto"/>
          <w:sz w:val="24"/>
          <w:szCs w:val="24"/>
          <w:highlight w:val="none"/>
        </w:rPr>
        <w:sectPr>
          <w:footerReference r:id="rId10" w:type="default"/>
          <w:pgSz w:w="11907" w:h="16840"/>
          <w:pgMar w:top="1440" w:right="1080" w:bottom="1440" w:left="1080" w:header="964" w:footer="992" w:gutter="0"/>
          <w:pgNumType w:fmt="numberInDash" w:start="1"/>
          <w:cols w:space="720" w:num="1"/>
          <w:docGrid w:linePitch="312" w:charSpace="0"/>
        </w:sectPr>
      </w:pPr>
    </w:p>
    <w:p>
      <w:pPr>
        <w:pStyle w:val="31"/>
        <w:ind w:firstLine="480"/>
        <w:jc w:val="center"/>
        <w:rPr>
          <w:rFonts w:hint="eastAsia" w:ascii="仿宋" w:hAnsi="仿宋" w:eastAsia="仿宋" w:cs="仿宋"/>
          <w:color w:val="auto"/>
          <w:sz w:val="32"/>
          <w:szCs w:val="32"/>
          <w:highlight w:val="none"/>
        </w:rPr>
      </w:pPr>
      <w:bookmarkStart w:id="96" w:name="_Toc490756175"/>
      <w:r>
        <w:rPr>
          <w:rFonts w:hint="eastAsia" w:ascii="仿宋" w:hAnsi="仿宋" w:eastAsia="仿宋" w:cs="仿宋"/>
          <w:color w:val="auto"/>
          <w:sz w:val="32"/>
          <w:szCs w:val="32"/>
          <w:highlight w:val="none"/>
        </w:rPr>
        <w:t>二、合同（格式）</w:t>
      </w:r>
      <w:bookmarkEnd w:id="96"/>
    </w:p>
    <w:p>
      <w:pPr>
        <w:tabs>
          <w:tab w:val="left" w:pos="720"/>
        </w:tabs>
        <w:spacing w:line="360" w:lineRule="auto"/>
        <w:ind w:firstLine="420"/>
        <w:rPr>
          <w:rFonts w:hint="eastAsia" w:ascii="仿宋" w:hAnsi="仿宋" w:eastAsia="仿宋" w:cs="仿宋"/>
          <w:b/>
          <w:color w:val="auto"/>
          <w:sz w:val="32"/>
          <w:szCs w:val="32"/>
          <w:highlight w:val="none"/>
        </w:rPr>
      </w:pPr>
    </w:p>
    <w:p>
      <w:pPr>
        <w:tabs>
          <w:tab w:val="left" w:pos="720"/>
        </w:tabs>
        <w:spacing w:line="360" w:lineRule="auto"/>
        <w:ind w:firstLine="420"/>
        <w:rPr>
          <w:rFonts w:hint="eastAsia" w:ascii="仿宋" w:hAnsi="仿宋" w:eastAsia="仿宋" w:cs="仿宋"/>
          <w:b/>
          <w:color w:val="auto"/>
          <w:sz w:val="32"/>
          <w:szCs w:val="32"/>
          <w:highlight w:val="none"/>
        </w:rPr>
      </w:pPr>
    </w:p>
    <w:p>
      <w:pPr>
        <w:tabs>
          <w:tab w:val="left" w:pos="720"/>
        </w:tabs>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合　同　书</w:t>
      </w:r>
    </w:p>
    <w:p>
      <w:pPr>
        <w:tabs>
          <w:tab w:val="left" w:pos="720"/>
        </w:tabs>
        <w:spacing w:line="360" w:lineRule="auto"/>
        <w:ind w:firstLine="721"/>
        <w:jc w:val="center"/>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p>
      <w:pPr>
        <w:tabs>
          <w:tab w:val="left" w:pos="720"/>
        </w:tabs>
        <w:spacing w:line="360" w:lineRule="auto"/>
        <w:ind w:firstLine="420"/>
        <w:rPr>
          <w:rFonts w:hint="eastAsia" w:ascii="仿宋" w:hAnsi="仿宋" w:eastAsia="仿宋" w:cs="仿宋"/>
          <w:b/>
          <w:color w:val="auto"/>
          <w:sz w:val="24"/>
          <w:szCs w:val="24"/>
          <w:highlight w:val="none"/>
        </w:rPr>
      </w:pPr>
    </w:p>
    <w:tbl>
      <w:tblPr>
        <w:tblStyle w:val="20"/>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采购编号：</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u w:val="single"/>
              </w:rPr>
            </w:pP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ind w:firstLine="420"/>
              <w:rPr>
                <w:rFonts w:hint="eastAsia" w:ascii="仿宋" w:hAnsi="仿宋" w:eastAsia="仿宋" w:cs="仿宋"/>
                <w:b/>
                <w:color w:val="auto"/>
                <w:sz w:val="24"/>
                <w:szCs w:val="24"/>
                <w:highlight w:val="none"/>
              </w:rPr>
            </w:pPr>
          </w:p>
        </w:tc>
      </w:tr>
    </w:tbl>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color w:val="auto"/>
          <w:sz w:val="24"/>
          <w:szCs w:val="24"/>
          <w:highlight w:val="none"/>
        </w:rPr>
      </w:pPr>
    </w:p>
    <w:p>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的采购结果，按照《中华人民共和国政府采购法》、《中华人民共和国民法典》的规定，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元（￥_______________</w:t>
      </w:r>
      <w:r>
        <w:rPr>
          <w:rFonts w:hint="eastAsia" w:ascii="仿宋" w:hAnsi="仿宋" w:eastAsia="仿宋" w:cs="仿宋"/>
          <w:color w:val="auto"/>
          <w:sz w:val="24"/>
          <w:szCs w:val="24"/>
          <w:highlight w:val="none"/>
          <w:lang w:eastAsia="zh-CN"/>
        </w:rPr>
        <w:t>万</w:t>
      </w:r>
      <w:r>
        <w:rPr>
          <w:rFonts w:hint="eastAsia" w:ascii="仿宋" w:hAnsi="仿宋" w:eastAsia="仿宋" w:cs="仿宋"/>
          <w:color w:val="auto"/>
          <w:sz w:val="24"/>
          <w:szCs w:val="24"/>
          <w:highlight w:val="none"/>
        </w:rPr>
        <w:t>元）人民币。</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服务要求及标准</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服务期限、服务地点</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付款方式</w:t>
      </w:r>
    </w:p>
    <w:p>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服务考核办法</w:t>
      </w:r>
    </w:p>
    <w:p>
      <w:pPr>
        <w:pStyle w:val="3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z w:val="24"/>
          <w:szCs w:val="24"/>
          <w:highlight w:val="none"/>
        </w:rPr>
      </w:pP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违约责任与赔偿损失</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其它违约责任按《</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bCs/>
          <w:color w:val="auto"/>
          <w:sz w:val="24"/>
          <w:szCs w:val="24"/>
          <w:highlight w:val="none"/>
        </w:rPr>
        <w:t>》处理。</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争议的解决</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合同执行过程中发生的任何争议，如双方不能通过友好协商解决，按相关法律法规处理(合同双方一致同意提请克拉玛依区仲裁委员会仲裁或向甲方所在地的人民法院提起诉讼)。</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不可抗力</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税费</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pPr>
        <w:keepNext w:val="0"/>
        <w:keepLines w:val="0"/>
        <w:pageBreakBefore w:val="0"/>
        <w:numPr>
          <w:ilvl w:val="0"/>
          <w:numId w:val="1"/>
        </w:numPr>
        <w:tabs>
          <w:tab w:val="left" w:pos="851"/>
        </w:tabs>
        <w:kinsoku/>
        <w:wordWrap/>
        <w:overflowPunct/>
        <w:topLinePunct w:val="0"/>
        <w:autoSpaceDE/>
        <w:autoSpaceDN/>
        <w:bidi w:val="0"/>
        <w:adjustRightInd/>
        <w:snapToGrid/>
        <w:spacing w:line="360" w:lineRule="auto"/>
        <w:ind w:left="0" w:hanging="971" w:hangingChars="403"/>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其它</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、中标通知书均为合同的有效组成部分，与本合同具有同等法律效力。</w:t>
      </w:r>
    </w:p>
    <w:p>
      <w:pPr>
        <w:keepNext w:val="0"/>
        <w:keepLines w:val="0"/>
        <w:pageBreakBefore w:val="0"/>
        <w:tabs>
          <w:tab w:val="left" w:pos="851"/>
        </w:tabs>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pPr>
        <w:pStyle w:val="28"/>
        <w:keepNext w:val="0"/>
        <w:keepLines w:val="0"/>
        <w:pageBreakBefore w:val="0"/>
        <w:tabs>
          <w:tab w:val="left" w:pos="4635"/>
        </w:tabs>
        <w:kinsoku/>
        <w:wordWrap/>
        <w:overflowPunct/>
        <w:topLinePunct w:val="0"/>
        <w:autoSpaceDE/>
        <w:autoSpaceDN/>
        <w:bidi w:val="0"/>
        <w:adjustRightInd/>
        <w:snapToGrid/>
        <w:spacing w:line="360" w:lineRule="auto"/>
        <w:ind w:left="0"/>
        <w:textAlignment w:val="auto"/>
        <w:rPr>
          <w:rFonts w:hint="eastAsia" w:ascii="仿宋" w:hAnsi="仿宋" w:eastAsia="仿宋" w:cs="仿宋"/>
          <w:color w:val="auto"/>
          <w:sz w:val="24"/>
          <w:szCs w:val="24"/>
          <w:highlight w:val="none"/>
          <w:lang w:eastAsia="zh-CN"/>
        </w:rPr>
        <w:sectPr>
          <w:pgSz w:w="11907" w:h="16840"/>
          <w:pgMar w:top="1440" w:right="1080" w:bottom="1440" w:left="1080" w:header="964" w:footer="992" w:gutter="0"/>
          <w:pgNumType w:fmt="numberInDash"/>
          <w:cols w:space="720" w:num="1"/>
          <w:docGrid w:linePitch="354" w:charSpace="0"/>
        </w:sectPr>
      </w:pPr>
    </w:p>
    <w:p>
      <w:pPr>
        <w:rPr>
          <w:rFonts w:hint="eastAsia" w:ascii="仿宋" w:hAnsi="仿宋" w:eastAsia="仿宋" w:cs="仿宋"/>
          <w:color w:val="auto"/>
          <w:sz w:val="24"/>
          <w:szCs w:val="24"/>
        </w:rPr>
      </w:pPr>
    </w:p>
    <w:p>
      <w:pPr>
        <w:pStyle w:val="19"/>
        <w:rPr>
          <w:rFonts w:hint="eastAsia" w:ascii="仿宋" w:hAnsi="仿宋" w:eastAsia="仿宋" w:cs="仿宋"/>
          <w:color w:val="auto"/>
          <w:sz w:val="24"/>
          <w:szCs w:val="24"/>
        </w:rPr>
      </w:pPr>
    </w:p>
    <w:p>
      <w:pPr>
        <w:spacing w:line="360" w:lineRule="auto"/>
        <w:jc w:val="center"/>
        <w:outlineLvl w:val="0"/>
        <w:rPr>
          <w:rFonts w:hint="default" w:ascii="仿宋" w:hAnsi="仿宋" w:eastAsia="仿宋" w:cs="仿宋"/>
          <w:b/>
          <w:bCs w:val="0"/>
          <w:color w:val="auto"/>
          <w:sz w:val="36"/>
          <w:szCs w:val="36"/>
          <w:lang w:val="en-US" w:eastAsia="zh-CN"/>
        </w:rPr>
      </w:pPr>
      <w:r>
        <w:rPr>
          <w:rFonts w:hint="eastAsia" w:ascii="仿宋" w:hAnsi="仿宋" w:eastAsia="仿宋" w:cs="仿宋"/>
          <w:b/>
          <w:bCs w:val="0"/>
          <w:color w:val="auto"/>
          <w:sz w:val="36"/>
          <w:szCs w:val="36"/>
          <w:lang w:val="en-US" w:eastAsia="zh-CN"/>
        </w:rPr>
        <w:t>第五部分  投标文件格式</w:t>
      </w:r>
    </w:p>
    <w:p>
      <w:pPr>
        <w:tabs>
          <w:tab w:val="left" w:pos="360"/>
          <w:tab w:val="left" w:pos="1800"/>
        </w:tabs>
        <w:snapToGrid w:val="0"/>
        <w:spacing w:line="480" w:lineRule="exact"/>
        <w:jc w:val="center"/>
        <w:rPr>
          <w:rFonts w:hint="eastAsia" w:ascii="仿宋" w:hAnsi="仿宋" w:eastAsia="仿宋" w:cs="仿宋"/>
          <w:b/>
          <w:bCs/>
          <w:color w:val="auto"/>
          <w:sz w:val="48"/>
          <w:szCs w:val="48"/>
          <w:highlight w:val="none"/>
          <w:lang w:eastAsia="zh-CN"/>
        </w:rPr>
      </w:pPr>
    </w:p>
    <w:p>
      <w:pPr>
        <w:pStyle w:val="19"/>
        <w:rPr>
          <w:rFonts w:hint="eastAsia"/>
          <w:color w:val="auto"/>
          <w:lang w:eastAsia="zh-CN"/>
        </w:rPr>
      </w:pPr>
    </w:p>
    <w:p>
      <w:pPr>
        <w:pStyle w:val="19"/>
        <w:rPr>
          <w:rFonts w:hint="eastAsia"/>
          <w:color w:val="auto"/>
          <w:lang w:eastAsia="zh-CN"/>
        </w:rPr>
      </w:pPr>
    </w:p>
    <w:p>
      <w:pPr>
        <w:keepNext w:val="0"/>
        <w:keepLines w:val="0"/>
        <w:pageBreakBefore w:val="0"/>
        <w:widowControl w:val="0"/>
        <w:tabs>
          <w:tab w:val="left" w:pos="360"/>
          <w:tab w:val="left" w:pos="1800"/>
        </w:tabs>
        <w:kinsoku w:val="0"/>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48"/>
          <w:szCs w:val="48"/>
          <w:highlight w:val="none"/>
        </w:rPr>
      </w:pPr>
      <w:r>
        <w:rPr>
          <w:rFonts w:hint="eastAsia" w:ascii="仿宋" w:hAnsi="仿宋" w:eastAsia="仿宋" w:cs="仿宋"/>
          <w:b/>
          <w:bCs/>
          <w:color w:val="auto"/>
          <w:sz w:val="48"/>
          <w:szCs w:val="48"/>
          <w:highlight w:val="none"/>
          <w:lang w:eastAsia="zh-CN"/>
        </w:rPr>
        <w:t>中国石油天然气股份有限公司克拉玛依润滑油厂变压器油类产品检测项目（二次）</w:t>
      </w:r>
    </w:p>
    <w:p>
      <w:pPr>
        <w:tabs>
          <w:tab w:val="left" w:pos="360"/>
          <w:tab w:val="left" w:pos="1800"/>
        </w:tabs>
        <w:snapToGrid w:val="0"/>
        <w:spacing w:line="480" w:lineRule="exact"/>
        <w:rPr>
          <w:rFonts w:hint="eastAsia" w:ascii="仿宋" w:hAnsi="仿宋" w:eastAsia="仿宋" w:cs="仿宋"/>
          <w:bCs/>
          <w:color w:val="auto"/>
          <w:sz w:val="48"/>
          <w:szCs w:val="48"/>
          <w:highlight w:val="none"/>
        </w:rPr>
      </w:pPr>
    </w:p>
    <w:p>
      <w:pPr>
        <w:tabs>
          <w:tab w:val="left" w:pos="360"/>
          <w:tab w:val="left" w:pos="1800"/>
        </w:tabs>
        <w:snapToGrid w:val="0"/>
        <w:spacing w:line="360" w:lineRule="auto"/>
        <w:jc w:val="center"/>
        <w:outlineLvl w:val="0"/>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en-US" w:eastAsia="zh-CN"/>
        </w:rPr>
        <w:t xml:space="preserve">响 应 </w:t>
      </w:r>
      <w:r>
        <w:rPr>
          <w:rFonts w:hint="eastAsia" w:ascii="仿宋" w:hAnsi="仿宋" w:eastAsia="仿宋" w:cs="仿宋"/>
          <w:b/>
          <w:bCs/>
          <w:color w:val="auto"/>
          <w:sz w:val="48"/>
          <w:szCs w:val="48"/>
          <w:highlight w:val="none"/>
        </w:rPr>
        <w:t>文 件</w:t>
      </w: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4"/>
          <w:szCs w:val="24"/>
          <w:highlight w:val="none"/>
        </w:rPr>
      </w:pPr>
    </w:p>
    <w:p>
      <w:pPr>
        <w:tabs>
          <w:tab w:val="left" w:pos="360"/>
          <w:tab w:val="left" w:pos="1800"/>
        </w:tabs>
        <w:snapToGrid w:val="0"/>
        <w:spacing w:line="480" w:lineRule="exact"/>
        <w:rPr>
          <w:rFonts w:hint="eastAsia" w:ascii="仿宋" w:hAnsi="仿宋" w:eastAsia="仿宋" w:cs="仿宋"/>
          <w:bCs/>
          <w:color w:val="auto"/>
          <w:sz w:val="28"/>
          <w:szCs w:val="28"/>
          <w:highlight w:val="none"/>
        </w:rPr>
      </w:pPr>
    </w:p>
    <w:p>
      <w:pPr>
        <w:tabs>
          <w:tab w:val="left" w:pos="360"/>
          <w:tab w:val="left" w:pos="1800"/>
        </w:tabs>
        <w:snapToGrid w:val="0"/>
        <w:spacing w:line="480" w:lineRule="exact"/>
        <w:rPr>
          <w:rFonts w:hint="eastAsia" w:ascii="仿宋" w:hAnsi="仿宋" w:eastAsia="仿宋" w:cs="仿宋"/>
          <w:bCs/>
          <w:color w:val="auto"/>
          <w:sz w:val="28"/>
          <w:szCs w:val="28"/>
          <w:highlight w:val="none"/>
        </w:rPr>
      </w:pP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w:t>
      </w:r>
      <w:r>
        <w:rPr>
          <w:rFonts w:hint="eastAsia" w:ascii="仿宋" w:hAnsi="仿宋" w:eastAsia="仿宋" w:cs="仿宋"/>
          <w:bCs/>
          <w:color w:val="auto"/>
          <w:sz w:val="28"/>
          <w:szCs w:val="28"/>
          <w:highlight w:val="none"/>
          <w:u w:val="single"/>
        </w:rPr>
        <w:t xml:space="preserve">                                 （单位名称）</w:t>
      </w:r>
    </w:p>
    <w:p>
      <w:pPr>
        <w:tabs>
          <w:tab w:val="left" w:pos="360"/>
          <w:tab w:val="left" w:pos="1800"/>
        </w:tabs>
        <w:snapToGrid w:val="0"/>
        <w:spacing w:line="360" w:lineRule="auto"/>
        <w:ind w:firstLine="6300" w:firstLineChars="225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（单位盖章）</w:t>
      </w: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单位地址：</w:t>
      </w:r>
      <w:r>
        <w:rPr>
          <w:rFonts w:hint="eastAsia" w:ascii="仿宋" w:hAnsi="仿宋" w:eastAsia="仿宋" w:cs="仿宋"/>
          <w:bCs/>
          <w:color w:val="auto"/>
          <w:sz w:val="28"/>
          <w:szCs w:val="28"/>
          <w:highlight w:val="none"/>
          <w:u w:val="single"/>
        </w:rPr>
        <w:t xml:space="preserve">                                           </w:t>
      </w: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联系人：                                  </w:t>
      </w: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p>
    <w:p>
      <w:pPr>
        <w:tabs>
          <w:tab w:val="left" w:pos="360"/>
          <w:tab w:val="left" w:pos="1800"/>
        </w:tabs>
        <w:snapToGrid w:val="0"/>
        <w:spacing w:line="360" w:lineRule="auto"/>
        <w:ind w:firstLine="560" w:firstLineChars="200"/>
        <w:outlineLvl w:val="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pPr>
        <w:tabs>
          <w:tab w:val="left" w:pos="360"/>
          <w:tab w:val="left" w:pos="1800"/>
        </w:tabs>
        <w:snapToGrid w:val="0"/>
        <w:spacing w:line="480" w:lineRule="exact"/>
        <w:jc w:val="center"/>
        <w:outlineLvl w:val="1"/>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年      月     日</w:t>
      </w:r>
    </w:p>
    <w:p>
      <w:pPr>
        <w:pStyle w:val="19"/>
        <w:rPr>
          <w:rFonts w:hint="eastAsia"/>
          <w:color w:val="auto"/>
        </w:rPr>
      </w:pPr>
    </w:p>
    <w:p>
      <w:pPr>
        <w:pStyle w:val="19"/>
        <w:rPr>
          <w:rFonts w:hint="eastAsia"/>
          <w:color w:val="auto"/>
        </w:rPr>
      </w:pPr>
    </w:p>
    <w:p>
      <w:pPr>
        <w:tabs>
          <w:tab w:val="left" w:pos="360"/>
          <w:tab w:val="left" w:pos="1800"/>
        </w:tabs>
        <w:snapToGrid w:val="0"/>
        <w:spacing w:line="480" w:lineRule="exact"/>
        <w:jc w:val="left"/>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1</w:t>
      </w:r>
    </w:p>
    <w:p>
      <w:pPr>
        <w:tabs>
          <w:tab w:val="left" w:pos="360"/>
          <w:tab w:val="left" w:pos="1800"/>
        </w:tabs>
        <w:snapToGrid w:val="0"/>
        <w:spacing w:line="480" w:lineRule="exact"/>
        <w:jc w:val="center"/>
        <w:outlineLvl w:val="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1.投标函</w:t>
      </w:r>
    </w:p>
    <w:p>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根据贵方单位为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（招标项目名称）的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文件，签字或盖章代表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（全名、职务）经正式授权并代表投标方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（投标人名称、地址）提交按照招标文件所要求的全部文件及规定的份数（即：投标文件一式</w:t>
      </w:r>
      <w:r>
        <w:rPr>
          <w:rFonts w:hint="eastAsia" w:ascii="仿宋" w:hAnsi="仿宋" w:eastAsia="仿宋" w:cs="仿宋"/>
          <w:bCs/>
          <w:color w:val="auto"/>
          <w:sz w:val="24"/>
          <w:szCs w:val="24"/>
          <w:highlight w:val="none"/>
          <w:lang w:val="en-US" w:eastAsia="zh-CN"/>
        </w:rPr>
        <w:t>肆</w:t>
      </w:r>
      <w:r>
        <w:rPr>
          <w:rFonts w:hint="eastAsia" w:ascii="仿宋" w:hAnsi="仿宋" w:eastAsia="仿宋" w:cs="仿宋"/>
          <w:bCs/>
          <w:color w:val="auto"/>
          <w:sz w:val="24"/>
          <w:szCs w:val="24"/>
          <w:highlight w:val="none"/>
        </w:rPr>
        <w:t>份，其中正本壹份，副本</w:t>
      </w:r>
      <w:r>
        <w:rPr>
          <w:rFonts w:hint="eastAsia" w:ascii="仿宋" w:hAnsi="仿宋" w:eastAsia="仿宋" w:cs="仿宋"/>
          <w:bCs/>
          <w:color w:val="auto"/>
          <w:sz w:val="24"/>
          <w:szCs w:val="24"/>
          <w:highlight w:val="none"/>
          <w:lang w:val="en-US" w:eastAsia="zh-CN"/>
        </w:rPr>
        <w:t>叁</w:t>
      </w:r>
      <w:r>
        <w:rPr>
          <w:rFonts w:hint="eastAsia" w:ascii="仿宋" w:hAnsi="仿宋" w:eastAsia="仿宋" w:cs="仿宋"/>
          <w:bCs/>
          <w:color w:val="auto"/>
          <w:sz w:val="24"/>
          <w:szCs w:val="24"/>
          <w:highlight w:val="none"/>
        </w:rPr>
        <w:t>份，电子文件（光盘）一式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w:t>
      </w:r>
    </w:p>
    <w:p>
      <w:pPr>
        <w:tabs>
          <w:tab w:val="left" w:pos="360"/>
          <w:tab w:val="left" w:pos="1800"/>
        </w:tabs>
        <w:snapToGrid w:val="0"/>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据此函，我方宣布同意如下：</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1.根据贵方</w:t>
      </w:r>
      <w:r>
        <w:rPr>
          <w:rFonts w:hint="eastAsia" w:ascii="仿宋" w:hAnsi="仿宋" w:eastAsia="仿宋" w:cs="仿宋"/>
          <w:bCs/>
          <w:color w:val="auto"/>
          <w:sz w:val="24"/>
          <w:szCs w:val="24"/>
          <w:highlight w:val="none"/>
          <w:lang w:eastAsia="zh-CN"/>
        </w:rPr>
        <w:t>中国石油天然气股份有限公司克拉玛依润滑油厂变压器油类产品检测项目（二次）</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文件,遵照《中国人民共和国招标投标法》等有关法律法规的规定,经研究</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文件,技术规格及要求,合同条款后,我方愿</w:t>
      </w:r>
      <w:r>
        <w:rPr>
          <w:rFonts w:hint="eastAsia" w:ascii="仿宋" w:hAnsi="仿宋" w:eastAsia="仿宋" w:cs="仿宋"/>
          <w:b w:val="0"/>
          <w:bCs/>
          <w:color w:val="auto"/>
          <w:sz w:val="24"/>
          <w:szCs w:val="24"/>
          <w:highlight w:val="none"/>
          <w:lang w:eastAsia="zh-CN"/>
        </w:rPr>
        <w:t>人民币</w:t>
      </w:r>
      <w:r>
        <w:rPr>
          <w:rFonts w:hint="eastAsia" w:ascii="仿宋" w:hAnsi="仿宋" w:eastAsia="仿宋" w:cs="仿宋"/>
          <w:b w:val="0"/>
          <w:bCs/>
          <w:color w:val="auto"/>
          <w:sz w:val="24"/>
          <w:szCs w:val="24"/>
          <w:highlight w:val="none"/>
          <w:u w:val="single"/>
          <w:lang w:eastAsia="zh-CN"/>
        </w:rPr>
        <w:t>（小写）</w:t>
      </w:r>
      <w:r>
        <w:rPr>
          <w:rFonts w:hint="eastAsia" w:ascii="仿宋" w:hAnsi="仿宋" w:eastAsia="仿宋" w:cs="仿宋"/>
          <w:b w:val="0"/>
          <w:bCs/>
          <w:color w:val="auto"/>
          <w:sz w:val="24"/>
          <w:szCs w:val="24"/>
          <w:highlight w:val="none"/>
          <w:u w:val="single"/>
          <w:lang w:val="en-US" w:eastAsia="zh-CN"/>
        </w:rPr>
        <w:t xml:space="preserve">         元 （大写）     元</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w:t>
      </w:r>
      <w:r>
        <w:rPr>
          <w:rFonts w:hint="eastAsia" w:ascii="仿宋" w:hAnsi="仿宋" w:eastAsia="仿宋" w:cs="仿宋"/>
          <w:b w:val="0"/>
          <w:bCs w:val="0"/>
          <w:color w:val="auto"/>
          <w:kern w:val="0"/>
          <w:sz w:val="24"/>
          <w:szCs w:val="24"/>
          <w:highlight w:val="none"/>
          <w:lang w:val="en-US" w:eastAsia="zh-CN"/>
        </w:rPr>
        <w:t>投标单价合计</w:t>
      </w:r>
      <w:r>
        <w:rPr>
          <w:rFonts w:hint="eastAsia" w:ascii="仿宋" w:hAnsi="仿宋" w:eastAsia="仿宋" w:cs="仿宋"/>
          <w:bCs/>
          <w:color w:val="auto"/>
          <w:sz w:val="24"/>
          <w:szCs w:val="24"/>
          <w:highlight w:val="none"/>
        </w:rPr>
        <w:t xml:space="preserve">完成招标项目的所有内容。    </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2.我方已详细阅读全部</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文件【包括补充标文件(补遗书),澄清或者修改文件】、技术规格及要求、合同条款。我们完全理解并同意放弃对上述文件中不明确或误解的权力。</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3.若我方中标,我方保证按</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文件要求和投标承诺完成</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文件,合同条款约定的全部责任和义务。</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4.其投标自递交</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文件截止之日起有效期为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60</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个日历日,如果我们的投标被接受,则至合同生效时止,本投标始终有效,我们将合同条款,投标承诺及</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文件的规定履行合同责任和义务。</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5.如果在规定的开标时间后,投标人在投标有效期内撤回投标,其投标保证金将被贵方全部不予退还。</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6.我方同意提供按照贵方可能要求的与其投标有关的一切数据成资料,完全理解贵方不一定要接受最低价的投标或收到的任何投标。</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7.除非达成另外协议并生效,你方的中标通知书和本投标文件及投标承诺、招标文件将成为约束双方的合同文件的组成部分。</w:t>
      </w:r>
    </w:p>
    <w:p>
      <w:pPr>
        <w:tabs>
          <w:tab w:val="left" w:pos="360"/>
          <w:tab w:val="left" w:pos="1800"/>
        </w:tabs>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8.与本投标有关的一切正式往来通讯请寄：</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投标入代表姓名、职务:</w:t>
      </w:r>
      <w:r>
        <w:rPr>
          <w:rFonts w:hint="eastAsia" w:ascii="仿宋" w:hAnsi="仿宋" w:eastAsia="仿宋" w:cs="仿宋"/>
          <w:bCs/>
          <w:color w:val="auto"/>
          <w:sz w:val="24"/>
          <w:szCs w:val="24"/>
          <w:highlight w:val="none"/>
          <w:u w:val="single"/>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邮编：</w:t>
      </w:r>
      <w:r>
        <w:rPr>
          <w:rFonts w:hint="eastAsia" w:ascii="仿宋" w:hAnsi="仿宋" w:eastAsia="仿宋" w:cs="仿宋"/>
          <w:bCs/>
          <w:color w:val="auto"/>
          <w:sz w:val="24"/>
          <w:szCs w:val="24"/>
          <w:highlight w:val="none"/>
          <w:u w:val="single"/>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电话：</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传真：</w:t>
      </w:r>
      <w:r>
        <w:rPr>
          <w:rFonts w:hint="eastAsia" w:ascii="仿宋" w:hAnsi="仿宋" w:eastAsia="仿宋" w:cs="仿宋"/>
          <w:bCs/>
          <w:color w:val="auto"/>
          <w:sz w:val="24"/>
          <w:szCs w:val="24"/>
          <w:highlight w:val="none"/>
          <w:u w:val="single"/>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法定代表人或委托代理人签字或盖章：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pPr>
        <w:tabs>
          <w:tab w:val="left" w:pos="360"/>
          <w:tab w:val="left" w:pos="1800"/>
        </w:tabs>
        <w:snapToGrid w:val="0"/>
        <w:spacing w:line="360" w:lineRule="auto"/>
        <w:jc w:val="left"/>
        <w:outlineLvl w:val="0"/>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2</w:t>
      </w:r>
    </w:p>
    <w:p>
      <w:pPr>
        <w:tabs>
          <w:tab w:val="left" w:pos="360"/>
          <w:tab w:val="left" w:pos="1800"/>
        </w:tabs>
        <w:snapToGrid w:val="0"/>
        <w:spacing w:line="360" w:lineRule="auto"/>
        <w:jc w:val="center"/>
        <w:outlineLvl w:val="0"/>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2.</w:t>
      </w:r>
      <w:r>
        <w:rPr>
          <w:rFonts w:hint="eastAsia" w:ascii="仿宋" w:hAnsi="仿宋" w:eastAsia="仿宋" w:cs="仿宋"/>
          <w:b/>
          <w:bCs w:val="0"/>
          <w:color w:val="auto"/>
          <w:sz w:val="28"/>
          <w:szCs w:val="28"/>
          <w:highlight w:val="none"/>
          <w:lang w:val="en-US" w:eastAsia="zh-CN"/>
        </w:rPr>
        <w:t>商务报价</w:t>
      </w:r>
      <w:r>
        <w:rPr>
          <w:rFonts w:hint="eastAsia" w:ascii="仿宋" w:hAnsi="仿宋" w:eastAsia="仿宋" w:cs="仿宋"/>
          <w:b/>
          <w:bCs w:val="0"/>
          <w:color w:val="auto"/>
          <w:sz w:val="28"/>
          <w:szCs w:val="28"/>
          <w:highlight w:val="none"/>
        </w:rPr>
        <w:t>一览表</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首次</w:t>
      </w:r>
      <w:r>
        <w:rPr>
          <w:rFonts w:hint="eastAsia" w:ascii="仿宋" w:hAnsi="仿宋" w:eastAsia="仿宋" w:cs="仿宋"/>
          <w:b/>
          <w:bCs w:val="0"/>
          <w:color w:val="auto"/>
          <w:sz w:val="28"/>
          <w:szCs w:val="28"/>
          <w:highlight w:val="none"/>
          <w:lang w:eastAsia="zh-CN"/>
        </w:rPr>
        <w:t>）</w:t>
      </w: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投标人名称：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货币单位：人民币（元）</w:t>
      </w:r>
    </w:p>
    <w:tbl>
      <w:tblPr>
        <w:tblStyle w:val="20"/>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205"/>
        <w:gridCol w:w="3866"/>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7" w:hRule="atLeast"/>
          <w:jc w:val="center"/>
        </w:trPr>
        <w:tc>
          <w:tcPr>
            <w:tcW w:w="643" w:type="dxa"/>
            <w:tcBorders>
              <w:top w:val="single" w:color="000000" w:sz="2" w:space="0"/>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5071" w:type="dxa"/>
            <w:gridSpan w:val="2"/>
            <w:tcBorders>
              <w:top w:val="single" w:color="000000" w:sz="2" w:space="0"/>
              <w:right w:val="single" w:color="000000" w:sz="2" w:space="0"/>
            </w:tcBorders>
            <w:noWrap w:val="0"/>
            <w:vAlign w:val="center"/>
          </w:tcPr>
          <w:p>
            <w:pPr>
              <w:widowControl/>
              <w:wordWrap/>
              <w:adjustRightInd/>
              <w:snapToGrid/>
              <w:spacing w:line="240" w:lineRule="auto"/>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sz w:val="24"/>
                <w:szCs w:val="24"/>
                <w:highlight w:val="none"/>
                <w:lang w:eastAsia="zh-CN"/>
              </w:rPr>
              <w:t>项目名称</w:t>
            </w:r>
          </w:p>
        </w:tc>
        <w:tc>
          <w:tcPr>
            <w:tcW w:w="4804" w:type="dxa"/>
            <w:tcBorders>
              <w:top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报</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价</w:t>
            </w:r>
            <w:r>
              <w:rPr>
                <w:rFonts w:hint="eastAsia" w:ascii="仿宋" w:hAnsi="仿宋" w:eastAsia="仿宋" w:cs="仿宋"/>
                <w:b w:val="0"/>
                <w:bCs w:val="0"/>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205" w:type="dxa"/>
            <w:vMerge w:val="restart"/>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投标单价（元）</w:t>
            </w: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昆仑KI25X变压器油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昆仑KI45X变压器油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昆仑KI50X变压器油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昆仑Petro45U变压器油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45X Plus变压器油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 xml:space="preserve">昆仑PETRO 45X TRANSFORMER OIL </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昆仑Petro 25X变压器油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05" w:type="dxa"/>
            <w:vMerge w:val="continue"/>
            <w:tcBorders>
              <w:right w:val="single" w:color="000000" w:sz="2" w:space="0"/>
            </w:tcBorders>
            <w:noWrap w:val="0"/>
            <w:vAlign w:val="center"/>
          </w:tcPr>
          <w:p>
            <w:pPr>
              <w:widowControl/>
              <w:wordWrap/>
              <w:adjustRightInd/>
              <w:snapToGrid/>
              <w:spacing w:line="240" w:lineRule="auto"/>
              <w:jc w:val="center"/>
              <w:textAlignment w:val="center"/>
              <w:rPr>
                <w:rFonts w:hint="eastAsia" w:ascii="仿宋" w:hAnsi="仿宋" w:eastAsia="仿宋" w:cs="仿宋"/>
                <w:b w:val="0"/>
                <w:bCs w:val="0"/>
                <w:color w:val="auto"/>
                <w:kern w:val="0"/>
                <w:sz w:val="24"/>
                <w:szCs w:val="24"/>
                <w:highlight w:val="none"/>
                <w:lang w:val="en-US" w:eastAsia="zh-CN"/>
              </w:rPr>
            </w:pPr>
          </w:p>
        </w:tc>
        <w:tc>
          <w:tcPr>
            <w:tcW w:w="3866" w:type="dxa"/>
            <w:tcBorders>
              <w:right w:val="single" w:color="000000" w:sz="2"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Petro50GX负析气性变压器油</w:t>
            </w:r>
          </w:p>
        </w:tc>
        <w:tc>
          <w:tcPr>
            <w:tcW w:w="4804" w:type="dxa"/>
            <w:tcBorders>
              <w:right w:val="single" w:color="000000" w:sz="2" w:space="0"/>
            </w:tcBorders>
            <w:noWrap w:val="0"/>
            <w:vAlign w:val="center"/>
          </w:tcPr>
          <w:p>
            <w:pPr>
              <w:widowControl/>
              <w:wordWrap/>
              <w:adjustRightInd/>
              <w:snapToGrid/>
              <w:spacing w:line="240" w:lineRule="auto"/>
              <w:jc w:val="left"/>
              <w:textAlignment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restart"/>
            <w:tcBorders>
              <w:left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5071" w:type="dxa"/>
            <w:gridSpan w:val="2"/>
            <w:vMerge w:val="restart"/>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投标单价合计（元）</w:t>
            </w:r>
          </w:p>
        </w:tc>
        <w:tc>
          <w:tcPr>
            <w:tcW w:w="4804" w:type="dxa"/>
            <w:tcBorders>
              <w:bottom w:val="single" w:color="000000" w:sz="2" w:space="0"/>
              <w:right w:val="single" w:color="000000" w:sz="2" w:space="0"/>
            </w:tcBorders>
            <w:noWrap w:val="0"/>
            <w:vAlign w:val="bottom"/>
          </w:tcPr>
          <w:p>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vMerge w:val="continue"/>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p>
        </w:tc>
        <w:tc>
          <w:tcPr>
            <w:tcW w:w="5071" w:type="dxa"/>
            <w:gridSpan w:val="2"/>
            <w:vMerge w:val="continue"/>
            <w:tcBorders>
              <w:bottom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kern w:val="0"/>
                <w:sz w:val="24"/>
                <w:szCs w:val="24"/>
                <w:highlight w:val="none"/>
                <w:lang w:val="en-US" w:eastAsia="zh-CN"/>
              </w:rPr>
            </w:pPr>
          </w:p>
        </w:tc>
        <w:tc>
          <w:tcPr>
            <w:tcW w:w="4804" w:type="dxa"/>
            <w:tcBorders>
              <w:bottom w:val="single" w:color="000000" w:sz="2" w:space="0"/>
              <w:right w:val="single" w:color="000000" w:sz="2" w:space="0"/>
            </w:tcBorders>
            <w:noWrap w:val="0"/>
            <w:vAlign w:val="bottom"/>
          </w:tcPr>
          <w:p>
            <w:pPr>
              <w:keepNext w:val="0"/>
              <w:keepLines w:val="0"/>
              <w:pageBreakBefore w:val="0"/>
              <w:widowControl w:val="0"/>
              <w:kinsoku w:val="0"/>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5071" w:type="dxa"/>
            <w:gridSpan w:val="2"/>
            <w:tcBorders>
              <w:bottom w:val="single" w:color="000000" w:sz="2" w:space="0"/>
            </w:tcBorders>
            <w:shd w:val="clear" w:color="auto" w:fill="auto"/>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rPr>
              <w:t>服务期</w:t>
            </w:r>
            <w:r>
              <w:rPr>
                <w:rFonts w:hint="eastAsia" w:ascii="仿宋" w:hAnsi="仿宋" w:eastAsia="仿宋" w:cs="仿宋"/>
                <w:b w:val="0"/>
                <w:bCs w:val="0"/>
                <w:color w:val="auto"/>
                <w:sz w:val="24"/>
                <w:szCs w:val="24"/>
                <w:highlight w:val="none"/>
                <w:lang w:eastAsia="zh-CN"/>
              </w:rPr>
              <w:t>限</w:t>
            </w:r>
          </w:p>
        </w:tc>
        <w:tc>
          <w:tcPr>
            <w:tcW w:w="4804" w:type="dxa"/>
            <w:tcBorders>
              <w:bottom w:val="single" w:color="000000" w:sz="2" w:space="0"/>
              <w:right w:val="single" w:color="000000" w:sz="2" w:space="0"/>
            </w:tcBorders>
            <w:shd w:val="clear" w:color="auto" w:fill="auto"/>
            <w:noWrap w:val="0"/>
            <w:vAlign w:val="center"/>
          </w:tcPr>
          <w:p>
            <w:pPr>
              <w:wordWrap/>
              <w:adjustRightInd/>
              <w:snapToGrid/>
              <w:spacing w:line="240" w:lineRule="auto"/>
              <w:jc w:val="both"/>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日至</w:t>
            </w:r>
            <w:r>
              <w:rPr>
                <w:rFonts w:hint="eastAsia" w:ascii="仿宋" w:hAnsi="仿宋" w:eastAsia="仿宋"/>
                <w:color w:val="auto"/>
                <w:sz w:val="24"/>
                <w:szCs w:val="24"/>
                <w:highlight w:val="none"/>
                <w:lang w:val="en-US" w:eastAsia="zh-CN"/>
              </w:rPr>
              <w:t>2025</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12</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31</w:t>
            </w:r>
            <w:r>
              <w:rPr>
                <w:rFonts w:hint="eastAsia" w:ascii="仿宋" w:hAnsi="仿宋" w:eastAsia="仿宋"/>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643" w:type="dxa"/>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5071" w:type="dxa"/>
            <w:gridSpan w:val="2"/>
            <w:tcBorders>
              <w:bottom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w:t>
            </w:r>
          </w:p>
        </w:tc>
        <w:tc>
          <w:tcPr>
            <w:tcW w:w="4804" w:type="dxa"/>
            <w:tcBorders>
              <w:bottom w:val="single" w:color="000000" w:sz="2" w:space="0"/>
              <w:right w:val="single" w:color="000000" w:sz="2" w:space="0"/>
            </w:tcBorders>
            <w:noWrap w:val="0"/>
            <w:vAlign w:val="center"/>
          </w:tcPr>
          <w:p>
            <w:pPr>
              <w:wordWrap/>
              <w:adjustRightInd/>
              <w:snapToGrid/>
              <w:spacing w:line="240" w:lineRule="auto"/>
              <w:jc w:val="center"/>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643" w:type="dxa"/>
            <w:tcBorders>
              <w:left w:val="single" w:color="000000" w:sz="2" w:space="0"/>
              <w:bottom w:val="single" w:color="000000" w:sz="2" w:space="0"/>
              <w:right w:val="single" w:color="000000" w:sz="2" w:space="0"/>
            </w:tcBorders>
            <w:noWrap w:val="0"/>
            <w:vAlign w:val="center"/>
          </w:tcPr>
          <w:p>
            <w:pPr>
              <w:wordWrap/>
              <w:adjustRightInd/>
              <w:snapToGrid/>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5071" w:type="dxa"/>
            <w:gridSpan w:val="2"/>
            <w:tcBorders>
              <w:bottom w:val="single" w:color="000000" w:sz="2" w:space="0"/>
            </w:tcBorders>
            <w:noWrap w:val="0"/>
            <w:vAlign w:val="center"/>
          </w:tcPr>
          <w:p>
            <w:pPr>
              <w:wordWrap/>
              <w:adjustRightInd/>
              <w:snapToGrid/>
              <w:spacing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供应商其它说明（由各供应商根据本采购项目要求自行列出需说明及承诺内容）</w:t>
            </w:r>
          </w:p>
        </w:tc>
        <w:tc>
          <w:tcPr>
            <w:tcW w:w="4804" w:type="dxa"/>
            <w:tcBorders>
              <w:bottom w:val="single" w:color="000000" w:sz="2" w:space="0"/>
              <w:right w:val="single" w:color="000000" w:sz="2" w:space="0"/>
            </w:tcBorders>
            <w:noWrap w:val="0"/>
            <w:vAlign w:val="center"/>
          </w:tcPr>
          <w:p>
            <w:pPr>
              <w:wordWrap/>
              <w:adjustRightInd/>
              <w:snapToGrid/>
              <w:spacing w:line="240" w:lineRule="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10518" w:type="dxa"/>
            <w:gridSpan w:val="4"/>
            <w:tcBorders>
              <w:left w:val="single" w:color="000000" w:sz="2" w:space="0"/>
              <w:bottom w:val="single" w:color="000000" w:sz="2" w:space="0"/>
              <w:right w:val="single" w:color="000000" w:sz="2" w:space="0"/>
            </w:tcBorders>
            <w:noWrap w:val="0"/>
            <w:vAlign w:val="center"/>
          </w:tcPr>
          <w:p>
            <w:pPr>
              <w:wordWrap/>
              <w:adjustRightInd/>
              <w:snapToGrid/>
              <w:spacing w:line="24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报价包含的内容：</w:t>
            </w:r>
            <w:r>
              <w:rPr>
                <w:rFonts w:hint="eastAsia" w:ascii="仿宋" w:hAnsi="仿宋" w:eastAsia="仿宋" w:cs="仿宋"/>
                <w:color w:val="auto"/>
                <w:sz w:val="24"/>
                <w:szCs w:val="24"/>
                <w:lang w:val="en-US" w:eastAsia="zh-CN" w:bidi="ar-SA"/>
              </w:rPr>
              <w:t>对中国石油天然气股份有限公司克拉玛依润滑油厂变压器油类产品进行油类产品检测服务等以及合同条款、技术规范及标准、项目采购需求、本询价文件约定的全部内容及责任和义务</w:t>
            </w:r>
            <w:r>
              <w:rPr>
                <w:rFonts w:hint="eastAsia" w:ascii="仿宋" w:hAnsi="仿宋" w:eastAsia="仿宋" w:cs="仿宋"/>
                <w:color w:val="auto"/>
                <w:sz w:val="24"/>
                <w:szCs w:val="24"/>
                <w:highlight w:val="none"/>
                <w:lang w:eastAsia="zh-CN"/>
              </w:rPr>
              <w:t>。</w:t>
            </w:r>
          </w:p>
        </w:tc>
      </w:tr>
    </w:tbl>
    <w:p>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注：1.按序号顺序填写；</w:t>
      </w:r>
    </w:p>
    <w:p>
      <w:pPr>
        <w:keepNext w:val="0"/>
        <w:keepLines w:val="0"/>
        <w:pageBreakBefore w:val="0"/>
        <w:tabs>
          <w:tab w:val="left" w:pos="360"/>
          <w:tab w:val="left" w:pos="1800"/>
        </w:tabs>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2.需要说明事项在备注栏中填写。</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pPr>
        <w:tabs>
          <w:tab w:val="left" w:pos="360"/>
          <w:tab w:val="left" w:pos="18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日</w:t>
      </w:r>
    </w:p>
    <w:p>
      <w:pPr>
        <w:tabs>
          <w:tab w:val="left" w:pos="360"/>
          <w:tab w:val="left" w:pos="1800"/>
        </w:tabs>
        <w:snapToGrid w:val="0"/>
        <w:spacing w:line="360" w:lineRule="auto"/>
        <w:jc w:val="left"/>
        <w:rPr>
          <w:rFonts w:hint="eastAsia" w:ascii="仿宋" w:hAnsi="仿宋" w:eastAsia="仿宋" w:cs="仿宋"/>
          <w:color w:val="auto"/>
          <w:kern w:val="0"/>
          <w:sz w:val="24"/>
          <w:szCs w:val="24"/>
          <w:highlight w:val="none"/>
          <w:lang w:bidi="ar"/>
        </w:rPr>
        <w:sectPr>
          <w:headerReference r:id="rId11" w:type="default"/>
          <w:footerReference r:id="rId12" w:type="default"/>
          <w:pgSz w:w="11906" w:h="16838"/>
          <w:pgMar w:top="1440" w:right="1080" w:bottom="1440" w:left="1080" w:header="851" w:footer="851" w:gutter="0"/>
          <w:pgNumType w:fmt="decimal"/>
          <w:cols w:space="720" w:num="1"/>
        </w:sectPr>
      </w:pPr>
      <w:r>
        <w:rPr>
          <w:rFonts w:hint="eastAsia" w:ascii="仿宋" w:hAnsi="仿宋" w:eastAsia="仿宋" w:cs="仿宋"/>
          <w:color w:val="auto"/>
          <w:kern w:val="0"/>
          <w:sz w:val="24"/>
          <w:szCs w:val="24"/>
          <w:highlight w:val="none"/>
          <w:lang w:bidi="ar"/>
        </w:rPr>
        <w:br w:type="page"/>
      </w:r>
    </w:p>
    <w:p>
      <w:pPr>
        <w:tabs>
          <w:tab w:val="left" w:pos="360"/>
          <w:tab w:val="left" w:pos="1800"/>
        </w:tabs>
        <w:snapToGrid w:val="0"/>
        <w:spacing w:line="360" w:lineRule="auto"/>
        <w:jc w:val="left"/>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3</w:t>
      </w:r>
    </w:p>
    <w:p>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法定代表人资格证明书</w:t>
      </w:r>
    </w:p>
    <w:p>
      <w:pPr>
        <w:tabs>
          <w:tab w:val="left" w:pos="360"/>
          <w:tab w:val="left" w:pos="1800"/>
        </w:tabs>
        <w:snapToGrid w:val="0"/>
        <w:spacing w:line="480" w:lineRule="exact"/>
        <w:ind w:left="540"/>
        <w:rPr>
          <w:rFonts w:hint="eastAsia" w:ascii="仿宋" w:hAnsi="仿宋" w:eastAsia="仿宋" w:cs="仿宋"/>
          <w:bCs/>
          <w:color w:val="auto"/>
          <w:sz w:val="24"/>
          <w:szCs w:val="24"/>
          <w:highlight w:val="none"/>
        </w:rPr>
      </w:pP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tabs>
          <w:tab w:val="left" w:pos="360"/>
          <w:tab w:val="left" w:pos="720"/>
          <w:tab w:val="left" w:pos="90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的工程，签署上述工程的投标文件、进行合同谈判、签署合同和处理与之有关的一切事务。</w:t>
      </w:r>
    </w:p>
    <w:p>
      <w:pPr>
        <w:tabs>
          <w:tab w:val="left" w:pos="360"/>
          <w:tab w:val="left" w:pos="1800"/>
        </w:tabs>
        <w:snapToGrid w:val="0"/>
        <w:spacing w:line="360" w:lineRule="auto"/>
        <w:rPr>
          <w:rFonts w:hint="eastAsia" w:ascii="仿宋" w:hAnsi="仿宋" w:eastAsia="仿宋" w:cs="仿宋"/>
          <w:color w:val="auto"/>
          <w:sz w:val="24"/>
          <w:szCs w:val="24"/>
          <w:highlight w:val="none"/>
        </w:rPr>
      </w:pPr>
    </w:p>
    <w:p>
      <w:pPr>
        <w:tabs>
          <w:tab w:val="left" w:pos="360"/>
          <w:tab w:val="left" w:pos="18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tabs>
          <w:tab w:val="left" w:pos="360"/>
          <w:tab w:val="left" w:pos="1800"/>
        </w:tabs>
        <w:snapToGrid w:val="0"/>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月   日</w:t>
      </w:r>
    </w:p>
    <w:p>
      <w:pPr>
        <w:tabs>
          <w:tab w:val="left" w:pos="360"/>
          <w:tab w:val="left" w:pos="1800"/>
        </w:tabs>
        <w:snapToGrid w:val="0"/>
        <w:spacing w:line="360" w:lineRule="auto"/>
        <w:ind w:firstLine="6000" w:firstLineChars="2500"/>
        <w:rPr>
          <w:rFonts w:hint="eastAsia" w:ascii="仿宋" w:hAnsi="仿宋" w:eastAsia="仿宋" w:cs="仿宋"/>
          <w:bCs/>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8623" w:type="dxa"/>
            <w:noWrap w:val="0"/>
            <w:vAlign w:val="top"/>
          </w:tcPr>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pPr>
        <w:tabs>
          <w:tab w:val="left" w:pos="360"/>
          <w:tab w:val="left" w:pos="1800"/>
        </w:tabs>
        <w:snapToGrid w:val="0"/>
        <w:spacing w:line="4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pPr>
        <w:tabs>
          <w:tab w:val="left" w:pos="360"/>
          <w:tab w:val="left" w:pos="1800"/>
        </w:tabs>
        <w:snapToGrid w:val="0"/>
        <w:spacing w:line="480" w:lineRule="exact"/>
        <w:ind w:left="1980" w:firstLine="1080"/>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pStyle w:val="8"/>
        <w:rPr>
          <w:rFonts w:hint="eastAsia" w:ascii="仿宋" w:hAnsi="仿宋" w:eastAsia="仿宋" w:cs="仿宋"/>
          <w:color w:val="auto"/>
          <w:sz w:val="24"/>
          <w:szCs w:val="24"/>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4</w:t>
      </w:r>
    </w:p>
    <w:p>
      <w:pPr>
        <w:tabs>
          <w:tab w:val="left" w:pos="360"/>
          <w:tab w:val="left" w:pos="1800"/>
        </w:tabs>
        <w:snapToGrid w:val="0"/>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.法定代表人授权委托书</w:t>
      </w:r>
    </w:p>
    <w:p>
      <w:pPr>
        <w:tabs>
          <w:tab w:val="left" w:pos="360"/>
          <w:tab w:val="left" w:pos="1800"/>
        </w:tabs>
        <w:snapToGrid w:val="0"/>
        <w:spacing w:line="480" w:lineRule="exact"/>
        <w:ind w:firstLine="555"/>
        <w:rPr>
          <w:rFonts w:hint="eastAsia" w:ascii="仿宋" w:hAnsi="仿宋" w:eastAsia="仿宋" w:cs="仿宋"/>
          <w:color w:val="auto"/>
          <w:sz w:val="24"/>
          <w:szCs w:val="24"/>
          <w:highlight w:val="none"/>
        </w:rPr>
      </w:pP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，为我公司代理人，以本公司的名义参加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（招标项目名称）的投标活动。</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代理人在开标、评标、合同谈判过程中所签署的一切文件和处理与之有关的一切事务，我均予以承认。</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pPr>
        <w:tabs>
          <w:tab w:val="left" w:pos="360"/>
          <w:tab w:val="left" w:pos="18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                  部门：           职务：</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tabs>
          <w:tab w:val="left" w:pos="360"/>
          <w:tab w:val="left" w:pos="1800"/>
        </w:tabs>
        <w:snapToGrid w:val="0"/>
        <w:spacing w:line="480" w:lineRule="exact"/>
        <w:ind w:firstLine="3600"/>
        <w:rPr>
          <w:rFonts w:hint="eastAsia" w:ascii="仿宋" w:hAnsi="仿宋" w:eastAsia="仿宋" w:cs="仿宋"/>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6" w:hRule="atLeast"/>
          <w:jc w:val="center"/>
        </w:trPr>
        <w:tc>
          <w:tcPr>
            <w:tcW w:w="6952" w:type="dxa"/>
            <w:noWrap w:val="0"/>
            <w:vAlign w:val="top"/>
          </w:tcPr>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p>
          <w:p>
            <w:pPr>
              <w:tabs>
                <w:tab w:val="left" w:pos="360"/>
                <w:tab w:val="left" w:pos="1800"/>
              </w:tabs>
              <w:snapToGrid w:val="0"/>
              <w:spacing w:line="48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pPr>
        <w:tabs>
          <w:tab w:val="left" w:pos="360"/>
          <w:tab w:val="left" w:pos="1800"/>
        </w:tabs>
        <w:snapToGrid w:val="0"/>
        <w:spacing w:line="48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委托代理人身份证复印件或扫描件应反映出证件有效期等所载内容，</w:t>
      </w:r>
      <w:r>
        <w:rPr>
          <w:rFonts w:hint="eastAsia" w:ascii="仿宋" w:hAnsi="仿宋" w:eastAsia="仿宋" w:cs="仿宋"/>
          <w:b/>
          <w:color w:val="auto"/>
          <w:sz w:val="24"/>
          <w:szCs w:val="24"/>
          <w:highlight w:val="none"/>
        </w:rPr>
        <w:t>作为本</w:t>
      </w:r>
      <w:r>
        <w:rPr>
          <w:rFonts w:hint="eastAsia" w:ascii="仿宋" w:hAnsi="仿宋" w:eastAsia="仿宋" w:cs="仿宋"/>
          <w:b/>
          <w:bCs/>
          <w:color w:val="auto"/>
          <w:sz w:val="24"/>
          <w:szCs w:val="24"/>
          <w:highlight w:val="none"/>
        </w:rPr>
        <w:t>法定代表人授权书的附件。</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pStyle w:val="19"/>
        <w:rPr>
          <w:rFonts w:hint="eastAsia" w:ascii="仿宋" w:hAnsi="仿宋" w:eastAsia="仿宋" w:cs="仿宋"/>
          <w:bCs/>
          <w:color w:val="auto"/>
          <w:sz w:val="24"/>
          <w:szCs w:val="24"/>
          <w:highlight w:val="none"/>
        </w:rPr>
      </w:pPr>
    </w:p>
    <w:p>
      <w:pPr>
        <w:rPr>
          <w:rFonts w:hint="eastAsia"/>
          <w:color w:val="auto"/>
        </w:rPr>
      </w:pPr>
    </w:p>
    <w:p>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5</w:t>
      </w:r>
    </w:p>
    <w:p>
      <w:pPr>
        <w:tabs>
          <w:tab w:val="left" w:pos="360"/>
          <w:tab w:val="left" w:pos="1800"/>
        </w:tabs>
        <w:snapToGrid w:val="0"/>
        <w:spacing w:line="480" w:lineRule="exact"/>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5. 中小企业声明函（服务）</w:t>
      </w:r>
    </w:p>
    <w:p>
      <w:pPr>
        <w:pStyle w:val="29"/>
        <w:shd w:val="clear" w:color="auto" w:fill="auto"/>
        <w:spacing w:line="360" w:lineRule="auto"/>
        <w:rPr>
          <w:rFonts w:hint="eastAsia" w:ascii="仿宋" w:hAnsi="仿宋" w:eastAsia="仿宋" w:cs="仿宋"/>
          <w:color w:val="auto"/>
          <w:highlight w:val="none"/>
        </w:r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采购活动，提供的服务全部由符合政策要求的中小企业制造。相关企业（含联合体中的中小</w:t>
      </w:r>
      <w:r>
        <w:rPr>
          <w:rFonts w:hint="eastAsia" w:ascii="仿宋" w:hAnsi="仿宋" w:eastAsia="仿宋" w:cs="仿宋"/>
          <w:color w:val="auto"/>
          <w:kern w:val="2"/>
          <w:highlight w:val="none"/>
          <w:u w:val="single"/>
        </w:rPr>
        <w:t>企业、签订分包意向协议的中小企业）的具体情况如下：</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u w:val="none"/>
          <w:lang w:val="en-US" w:eastAsia="zh-CN"/>
        </w:rPr>
        <w:t>1、</w:t>
      </w:r>
      <w:r>
        <w:rPr>
          <w:rFonts w:hint="eastAsia" w:ascii="仿宋" w:hAnsi="仿宋" w:eastAsia="仿宋" w:cs="仿宋"/>
          <w:color w:val="auto"/>
          <w:kern w:val="2"/>
          <w:highlight w:val="none"/>
          <w:u w:val="single"/>
        </w:rPr>
        <w:t xml:space="preserve">      （标的名称）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val="en-US" w:eastAsia="zh-CN"/>
        </w:rPr>
        <w:t xml:space="preserve">  服务  </w:t>
      </w:r>
      <w:r>
        <w:rPr>
          <w:rFonts w:hint="eastAsia" w:ascii="仿宋" w:hAnsi="仿宋" w:eastAsia="仿宋" w:cs="仿宋"/>
          <w:color w:val="auto"/>
          <w:kern w:val="2"/>
          <w:highlight w:val="none"/>
        </w:rPr>
        <w:t>（采购文件中明确的所属行业）；制造商为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本企业对上述声明内容的真实性负责。如有虚假，将依法承担相应责任。</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从业人员、营业收入、资产总额填报上一年度数据，无上一年度数据的新成立企业可不填报</w:t>
      </w:r>
    </w:p>
    <w:p>
      <w:pPr>
        <w:shd w:val="clear" w:color="auto" w:fill="auto"/>
        <w:spacing w:line="360" w:lineRule="auto"/>
        <w:jc w:val="right"/>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p>
    <w:p>
      <w:pPr>
        <w:shd w:val="clear" w:color="auto" w:fill="auto"/>
        <w:spacing w:line="360" w:lineRule="auto"/>
        <w:jc w:val="center"/>
        <w:rPr>
          <w:rFonts w:hint="eastAsia" w:ascii="仿宋" w:hAnsi="仿宋" w:eastAsia="仿宋" w:cs="仿宋"/>
          <w:b/>
          <w:bCs/>
          <w:color w:val="auto"/>
          <w:sz w:val="24"/>
          <w:highlight w:val="none"/>
        </w:rPr>
      </w:pPr>
    </w:p>
    <w:p>
      <w:pPr>
        <w:pStyle w:val="19"/>
        <w:shd w:val="clear" w:color="auto" w:fill="auto"/>
        <w:spacing w:line="360" w:lineRule="auto"/>
        <w:ind w:firstLine="482"/>
        <w:rPr>
          <w:rFonts w:hint="eastAsia" w:ascii="仿宋" w:hAnsi="仿宋" w:eastAsia="仿宋" w:cs="仿宋"/>
          <w:b/>
          <w:bCs/>
          <w:color w:val="auto"/>
          <w:highlight w:val="none"/>
        </w:rPr>
      </w:pPr>
    </w:p>
    <w:p>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kern w:val="0"/>
          <w:sz w:val="24"/>
          <w:szCs w:val="24"/>
          <w:highlight w:val="none"/>
          <w:lang w:bidi="ar"/>
        </w:rPr>
        <w:t>投标人</w:t>
      </w:r>
      <w:r>
        <w:rPr>
          <w:rFonts w:hint="eastAsia" w:ascii="仿宋" w:hAnsi="仿宋" w:eastAsia="仿宋" w:cs="仿宋"/>
          <w:color w:val="auto"/>
          <w:sz w:val="24"/>
          <w:highlight w:val="none"/>
        </w:rPr>
        <w:t>（盖章）：</w:t>
      </w:r>
    </w:p>
    <w:p>
      <w:pPr>
        <w:tabs>
          <w:tab w:val="left" w:pos="360"/>
          <w:tab w:val="left" w:pos="1800"/>
        </w:tabs>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      年     月     日</w:t>
      </w:r>
    </w:p>
    <w:p>
      <w:pPr>
        <w:pStyle w:val="19"/>
        <w:shd w:val="clear" w:color="auto" w:fill="auto"/>
        <w:spacing w:line="360" w:lineRule="auto"/>
        <w:ind w:firstLine="4320" w:firstLineChars="18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tabs>
          <w:tab w:val="left" w:pos="360"/>
          <w:tab w:val="left" w:pos="1800"/>
        </w:tabs>
        <w:snapToGrid w:val="0"/>
        <w:spacing w:line="360" w:lineRule="auto"/>
        <w:rPr>
          <w:rFonts w:hint="eastAsia" w:ascii="仿宋" w:hAnsi="仿宋" w:eastAsia="仿宋" w:cs="仿宋"/>
          <w:b/>
          <w:bCs w:val="0"/>
          <w:color w:val="auto"/>
          <w:sz w:val="24"/>
          <w:szCs w:val="24"/>
          <w:highlight w:val="none"/>
          <w:lang w:eastAsia="zh-CN"/>
        </w:rPr>
        <w:sectPr>
          <w:pgSz w:w="11906" w:h="16838"/>
          <w:pgMar w:top="1440" w:right="1080" w:bottom="1440" w:left="1080" w:header="851" w:footer="851" w:gutter="0"/>
          <w:pgNumType w:fmt="decimal"/>
          <w:cols w:space="720" w:num="1"/>
        </w:sectPr>
      </w:pPr>
    </w:p>
    <w:p>
      <w:pPr>
        <w:tabs>
          <w:tab w:val="left" w:pos="360"/>
          <w:tab w:val="left" w:pos="1800"/>
        </w:tabs>
        <w:snapToGrid w:val="0"/>
        <w:spacing w:line="360" w:lineRule="auto"/>
        <w:rPr>
          <w:rFonts w:hint="eastAsia"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6</w:t>
      </w:r>
    </w:p>
    <w:p>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6</w:t>
      </w:r>
      <w:r>
        <w:rPr>
          <w:rFonts w:hint="eastAsia" w:ascii="仿宋" w:hAnsi="仿宋" w:eastAsia="仿宋" w:cs="仿宋"/>
          <w:b/>
          <w:bCs w:val="0"/>
          <w:color w:val="auto"/>
          <w:sz w:val="28"/>
          <w:szCs w:val="28"/>
          <w:highlight w:val="none"/>
        </w:rPr>
        <w:t>.投标人资格声明</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（招标人）</w:t>
      </w:r>
    </w:p>
    <w:p>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为响应你方组织的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(项目名称）的招标文件，我方愿参与投标,提交的投标文件中所有关于投标资格的文件、证明和陈述是真实的,正确的。</w:t>
      </w:r>
    </w:p>
    <w:p>
      <w:pPr>
        <w:keepNext w:val="0"/>
        <w:keepLines w:val="0"/>
        <w:pageBreakBefore w:val="0"/>
        <w:tabs>
          <w:tab w:val="left" w:pos="360"/>
          <w:tab w:val="left" w:pos="1800"/>
        </w:tabs>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若与真实情况不符,本公司愿意承担由此而产生的一切后果。并提供了全部能提供的资料和数落我们同意遵照贵方要求提供更进一步的资格资料并出示有关证明文件。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val="0"/>
        <w:snapToGrid w:val="0"/>
        <w:spacing w:line="480" w:lineRule="auto"/>
        <w:ind w:left="0"/>
        <w:jc w:val="left"/>
        <w:textAlignment w:val="auto"/>
        <w:rPr>
          <w:rFonts w:hint="eastAsia" w:ascii="仿宋" w:hAnsi="仿宋" w:eastAsia="仿宋" w:cs="仿宋"/>
          <w:color w:val="auto"/>
          <w:kern w:val="0"/>
          <w:sz w:val="24"/>
          <w:szCs w:val="24"/>
          <w:highlight w:val="none"/>
          <w:lang w:bidi="ar"/>
        </w:rPr>
      </w:pP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法定代表人或委托代理人签字或盖章:</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地址：</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电话：</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传真：</w:t>
      </w:r>
      <w:r>
        <w:rPr>
          <w:rFonts w:hint="eastAsia" w:ascii="仿宋" w:hAnsi="仿宋" w:eastAsia="仿宋" w:cs="仿宋"/>
          <w:color w:val="auto"/>
          <w:kern w:val="0"/>
          <w:sz w:val="24"/>
          <w:szCs w:val="24"/>
          <w:highlight w:val="none"/>
          <w:u w:val="single"/>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left="0" w:firstLine="480" w:firstLineChars="200"/>
        <w:jc w:val="left"/>
        <w:textAlignment w:val="auto"/>
        <w:rPr>
          <w:rFonts w:hint="eastAsia" w:ascii="仿宋" w:hAnsi="仿宋" w:eastAsia="仿宋" w:cs="仿宋"/>
          <w:color w:val="auto"/>
          <w:kern w:val="0"/>
          <w:sz w:val="24"/>
          <w:szCs w:val="24"/>
          <w:highlight w:val="none"/>
          <w:u w:val="single"/>
          <w:lang w:bidi="ar"/>
        </w:rPr>
      </w:pPr>
      <w:r>
        <w:rPr>
          <w:rFonts w:hint="eastAsia" w:ascii="仿宋" w:hAnsi="仿宋" w:eastAsia="仿宋" w:cs="仿宋"/>
          <w:color w:val="auto"/>
          <w:kern w:val="0"/>
          <w:sz w:val="24"/>
          <w:szCs w:val="24"/>
          <w:highlight w:val="none"/>
          <w:lang w:bidi="ar"/>
        </w:rPr>
        <w:t>邮编：</w:t>
      </w:r>
      <w:r>
        <w:rPr>
          <w:rFonts w:hint="eastAsia" w:ascii="仿宋" w:hAnsi="仿宋" w:eastAsia="仿宋" w:cs="仿宋"/>
          <w:color w:val="auto"/>
          <w:kern w:val="0"/>
          <w:sz w:val="24"/>
          <w:szCs w:val="24"/>
          <w:highlight w:val="none"/>
          <w:u w:val="single"/>
          <w:lang w:bidi="ar"/>
        </w:rPr>
        <w:t xml:space="preserve">                                        </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pStyle w:val="19"/>
        <w:rPr>
          <w:rFonts w:hint="eastAsia" w:ascii="仿宋" w:hAnsi="仿宋" w:eastAsia="仿宋" w:cs="仿宋"/>
          <w:color w:val="auto"/>
          <w:sz w:val="24"/>
          <w:szCs w:val="24"/>
        </w:rPr>
      </w:pPr>
    </w:p>
    <w:p>
      <w:pPr>
        <w:tabs>
          <w:tab w:val="left" w:pos="360"/>
          <w:tab w:val="left" w:pos="1800"/>
        </w:tabs>
        <w:snapToGrid w:val="0"/>
        <w:spacing w:line="360" w:lineRule="auto"/>
        <w:jc w:val="left"/>
        <w:rPr>
          <w:rFonts w:hint="default" w:ascii="仿宋" w:hAnsi="仿宋" w:eastAsia="仿宋" w:cs="仿宋"/>
          <w:bCs/>
          <w:color w:val="auto"/>
          <w:sz w:val="24"/>
          <w:szCs w:val="24"/>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7</w:t>
      </w:r>
    </w:p>
    <w:p>
      <w:pPr>
        <w:tabs>
          <w:tab w:val="left" w:pos="360"/>
          <w:tab w:val="left" w:pos="1800"/>
        </w:tabs>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rPr>
        <w:t>.近三年（20</w:t>
      </w:r>
      <w:r>
        <w:rPr>
          <w:rFonts w:hint="eastAsia" w:ascii="仿宋" w:hAnsi="仿宋" w:eastAsia="仿宋" w:cs="仿宋"/>
          <w:b/>
          <w:bCs w:val="0"/>
          <w:color w:val="auto"/>
          <w:sz w:val="28"/>
          <w:szCs w:val="28"/>
          <w:highlight w:val="none"/>
          <w:lang w:val="en-US" w:eastAsia="zh-CN"/>
        </w:rPr>
        <w:t>22年1</w:t>
      </w:r>
      <w:r>
        <w:rPr>
          <w:rFonts w:hint="eastAsia" w:ascii="仿宋" w:hAnsi="仿宋" w:eastAsia="仿宋" w:cs="仿宋"/>
          <w:b/>
          <w:bCs w:val="0"/>
          <w:color w:val="auto"/>
          <w:sz w:val="28"/>
          <w:szCs w:val="28"/>
          <w:highlight w:val="none"/>
        </w:rPr>
        <w:t>月1日至今）主要业绩表</w:t>
      </w:r>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3"/>
        <w:gridCol w:w="1647"/>
        <w:gridCol w:w="1511"/>
        <w:gridCol w:w="1328"/>
        <w:gridCol w:w="1431"/>
        <w:gridCol w:w="2008"/>
        <w:gridCol w:w="10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序号</w:t>
            </w:r>
          </w:p>
        </w:tc>
        <w:tc>
          <w:tcPr>
            <w:tcW w:w="1647"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511"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8"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431"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2008" w:type="dxa"/>
            <w:tcBorders>
              <w:lef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1008" w:type="dxa"/>
            <w:tcBorders>
              <w:lef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647"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511"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328"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431" w:type="dxa"/>
            <w:tcBorders>
              <w:left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0" w:hRule="atLeast"/>
          <w:jc w:val="center"/>
        </w:trPr>
        <w:tc>
          <w:tcPr>
            <w:tcW w:w="823"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0" w:hRule="atLeast"/>
          <w:jc w:val="center"/>
        </w:trPr>
        <w:tc>
          <w:tcPr>
            <w:tcW w:w="823"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bottom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bottom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0" w:hRule="atLeast"/>
          <w:jc w:val="center"/>
        </w:trPr>
        <w:tc>
          <w:tcPr>
            <w:tcW w:w="823"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647"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511"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328" w:type="dxa"/>
            <w:tcBorders>
              <w:top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431" w:type="dxa"/>
            <w:tcBorders>
              <w:top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2008" w:type="dxa"/>
            <w:tcBorders>
              <w:top w:val="single" w:color="auto" w:sz="4" w:space="0"/>
              <w:left w:val="single" w:color="auto" w:sz="4" w:space="0"/>
            </w:tcBorders>
            <w:noWrap w:val="0"/>
            <w:vAlign w:val="center"/>
          </w:tcPr>
          <w:p>
            <w:pPr>
              <w:spacing w:line="360" w:lineRule="auto"/>
              <w:ind w:firstLine="480" w:firstLineChars="200"/>
              <w:jc w:val="center"/>
              <w:rPr>
                <w:rFonts w:hint="eastAsia" w:ascii="仿宋" w:hAnsi="仿宋" w:eastAsia="仿宋" w:cs="仿宋"/>
                <w:color w:val="auto"/>
                <w:sz w:val="24"/>
                <w:szCs w:val="24"/>
                <w:highlight w:val="none"/>
              </w:rPr>
            </w:pPr>
          </w:p>
        </w:tc>
        <w:tc>
          <w:tcPr>
            <w:tcW w:w="1008" w:type="dxa"/>
            <w:tcBorders>
              <w:top w:val="single" w:color="auto" w:sz="4" w:space="0"/>
              <w:left w:val="single" w:color="auto" w:sz="4" w:space="0"/>
            </w:tcBorders>
            <w:noWrap w:val="0"/>
            <w:vAlign w:val="top"/>
          </w:tcPr>
          <w:p>
            <w:pPr>
              <w:spacing w:line="360" w:lineRule="auto"/>
              <w:ind w:firstLine="480" w:firstLineChars="200"/>
              <w:jc w:val="center"/>
              <w:rPr>
                <w:rFonts w:hint="eastAsia" w:ascii="仿宋" w:hAnsi="仿宋" w:eastAsia="仿宋" w:cs="仿宋"/>
                <w:color w:val="auto"/>
                <w:sz w:val="24"/>
                <w:szCs w:val="24"/>
                <w:highlight w:val="none"/>
              </w:rPr>
            </w:pPr>
          </w:p>
        </w:tc>
      </w:tr>
    </w:tbl>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注：提供近三年（20</w:t>
      </w: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年1月1日至今）主要</w:t>
      </w:r>
      <w:r>
        <w:rPr>
          <w:rFonts w:hint="eastAsia" w:ascii="仿宋" w:hAnsi="仿宋" w:eastAsia="仿宋" w:cs="仿宋"/>
          <w:bCs/>
          <w:color w:val="auto"/>
          <w:sz w:val="24"/>
          <w:szCs w:val="24"/>
          <w:highlight w:val="none"/>
          <w:lang w:val="en-US" w:eastAsia="zh-CN"/>
        </w:rPr>
        <w:t>同类</w:t>
      </w:r>
      <w:r>
        <w:rPr>
          <w:rFonts w:hint="eastAsia" w:ascii="仿宋" w:hAnsi="仿宋" w:eastAsia="仿宋" w:cs="仿宋"/>
          <w:bCs/>
          <w:color w:val="auto"/>
          <w:sz w:val="24"/>
          <w:szCs w:val="24"/>
          <w:highlight w:val="none"/>
        </w:rPr>
        <w:t>业绩证明资料（如中标通知书或合同等复印件）并加盖投标人公章。</w:t>
      </w: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法定代表人或委托代理人签字或盖章: </w:t>
      </w:r>
    </w:p>
    <w:p>
      <w:pPr>
        <w:widowControl/>
        <w:snapToGrid w:val="0"/>
        <w:spacing w:line="360" w:lineRule="auto"/>
        <w:jc w:val="left"/>
        <w:rPr>
          <w:rFonts w:hint="eastAsia" w:ascii="仿宋" w:hAnsi="仿宋" w:eastAsia="仿宋" w:cs="仿宋"/>
          <w:color w:val="auto"/>
          <w:kern w:val="0"/>
          <w:sz w:val="24"/>
          <w:szCs w:val="24"/>
          <w:highlight w:val="none"/>
          <w:lang w:bidi="ar"/>
        </w:rPr>
      </w:pPr>
    </w:p>
    <w:p>
      <w:pPr>
        <w:widowControl/>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pPr>
        <w:pStyle w:val="19"/>
        <w:rPr>
          <w:rFonts w:hint="eastAsia" w:ascii="仿宋" w:hAnsi="仿宋" w:eastAsia="仿宋" w:cs="仿宋"/>
          <w:bCs/>
          <w:color w:val="auto"/>
          <w:sz w:val="24"/>
          <w:szCs w:val="24"/>
          <w:highlight w:val="none"/>
        </w:rPr>
      </w:pPr>
    </w:p>
    <w:p>
      <w:pPr>
        <w:rPr>
          <w:rFonts w:hint="eastAsia"/>
          <w:color w:val="auto"/>
        </w:rPr>
      </w:pPr>
    </w:p>
    <w:p>
      <w:pPr>
        <w:tabs>
          <w:tab w:val="left" w:pos="360"/>
          <w:tab w:val="left" w:pos="1800"/>
        </w:tabs>
        <w:snapToGrid w:val="0"/>
        <w:spacing w:line="360" w:lineRule="auto"/>
        <w:jc w:val="left"/>
        <w:rPr>
          <w:rFonts w:hint="default" w:ascii="仿宋" w:hAnsi="仿宋" w:eastAsia="仿宋" w:cs="仿宋"/>
          <w:bCs/>
          <w:color w:val="auto"/>
          <w:sz w:val="28"/>
          <w:szCs w:val="28"/>
          <w:highlight w:val="none"/>
          <w:lang w:val="en-US"/>
        </w:rPr>
      </w:pPr>
      <w:r>
        <w:rPr>
          <w:rFonts w:hint="eastAsia" w:ascii="仿宋" w:hAnsi="仿宋" w:eastAsia="仿宋" w:cs="仿宋"/>
          <w:b/>
          <w:bCs w:val="0"/>
          <w:color w:val="auto"/>
          <w:sz w:val="24"/>
          <w:szCs w:val="24"/>
          <w:highlight w:val="none"/>
          <w:lang w:eastAsia="zh-CN"/>
        </w:rPr>
        <w:t>格式</w:t>
      </w:r>
      <w:r>
        <w:rPr>
          <w:rFonts w:hint="eastAsia" w:ascii="仿宋" w:hAnsi="仿宋" w:eastAsia="仿宋" w:cs="仿宋"/>
          <w:b/>
          <w:bCs w:val="0"/>
          <w:color w:val="auto"/>
          <w:sz w:val="24"/>
          <w:szCs w:val="24"/>
          <w:highlight w:val="none"/>
          <w:lang w:val="en-US" w:eastAsia="zh-CN"/>
        </w:rPr>
        <w:t>8</w:t>
      </w:r>
    </w:p>
    <w:p>
      <w:pPr>
        <w:tabs>
          <w:tab w:val="left" w:pos="360"/>
          <w:tab w:val="left" w:pos="1800"/>
        </w:tabs>
        <w:snapToGrid w:val="0"/>
        <w:spacing w:line="300" w:lineRule="exact"/>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8</w:t>
      </w:r>
      <w:r>
        <w:rPr>
          <w:rFonts w:hint="eastAsia" w:ascii="仿宋" w:hAnsi="仿宋" w:eastAsia="仿宋" w:cs="仿宋"/>
          <w:b/>
          <w:bCs w:val="0"/>
          <w:color w:val="auto"/>
          <w:sz w:val="28"/>
          <w:szCs w:val="28"/>
          <w:highlight w:val="none"/>
        </w:rPr>
        <w:t>.主要管理人员表</w:t>
      </w:r>
    </w:p>
    <w:tbl>
      <w:tblPr>
        <w:tblStyle w:val="20"/>
        <w:tblpPr w:leftFromText="180" w:rightFromText="180" w:vertAnchor="text" w:horzAnchor="margin" w:tblpXSpec="center" w:tblpY="146"/>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snapToGrid w:val="0"/>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napToGrid w:val="0"/>
              <w:jc w:val="center"/>
              <w:rPr>
                <w:rFonts w:hint="eastAsia" w:ascii="仿宋" w:hAnsi="仿宋" w:eastAsia="仿宋" w:cs="仿宋"/>
                <w:color w:val="auto"/>
                <w:sz w:val="24"/>
                <w:szCs w:val="24"/>
                <w:highlight w:val="none"/>
              </w:rPr>
            </w:pPr>
          </w:p>
        </w:tc>
      </w:tr>
    </w:tbl>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widowControl/>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投标人(盖章)：</w:t>
      </w:r>
      <w:r>
        <w:rPr>
          <w:rFonts w:hint="eastAsia" w:ascii="仿宋" w:hAnsi="仿宋" w:eastAsia="仿宋" w:cs="仿宋"/>
          <w:color w:val="auto"/>
          <w:kern w:val="0"/>
          <w:sz w:val="24"/>
          <w:szCs w:val="24"/>
          <w:highlight w:val="none"/>
          <w:lang w:bidi="ar"/>
        </w:rPr>
        <w:br w:type="textWrapping"/>
      </w:r>
    </w:p>
    <w:p>
      <w:pPr>
        <w:widowControl/>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法定代表人或委托代理人签字或盖章: </w:t>
      </w:r>
    </w:p>
    <w:p>
      <w:pPr>
        <w:tabs>
          <w:tab w:val="left" w:pos="360"/>
          <w:tab w:val="left" w:pos="1800"/>
        </w:tabs>
        <w:snapToGrid w:val="0"/>
        <w:spacing w:line="360" w:lineRule="auto"/>
        <w:rPr>
          <w:rFonts w:hint="eastAsia" w:ascii="仿宋" w:hAnsi="仿宋" w:eastAsia="仿宋" w:cs="仿宋"/>
          <w:bCs/>
          <w:color w:val="auto"/>
          <w:sz w:val="24"/>
          <w:szCs w:val="24"/>
          <w:highlight w:val="none"/>
        </w:rPr>
      </w:pPr>
    </w:p>
    <w:p>
      <w:pPr>
        <w:tabs>
          <w:tab w:val="left" w:pos="360"/>
          <w:tab w:val="left" w:pos="1800"/>
        </w:tabs>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年   月   日</w:t>
      </w:r>
    </w:p>
    <w:p>
      <w:pPr>
        <w:tabs>
          <w:tab w:val="left" w:pos="360"/>
          <w:tab w:val="left" w:pos="1800"/>
        </w:tabs>
        <w:snapToGrid w:val="0"/>
        <w:spacing w:line="300" w:lineRule="exact"/>
        <w:jc w:val="both"/>
        <w:rPr>
          <w:rFonts w:hint="default" w:ascii="仿宋" w:hAnsi="仿宋" w:eastAsia="仿宋" w:cs="仿宋"/>
          <w:b/>
          <w:bCs w:val="0"/>
          <w:color w:val="auto"/>
          <w:sz w:val="28"/>
          <w:szCs w:val="28"/>
          <w:highlight w:val="none"/>
          <w:lang w:val="en-US" w:eastAsia="zh-CN"/>
        </w:rPr>
      </w:pPr>
    </w:p>
    <w:sectPr>
      <w:pgSz w:w="11906" w:h="16838"/>
      <w:pgMar w:top="1440" w:right="1080" w:bottom="1440" w:left="1080"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wordWrap w:val="0"/>
                      <w:jc w:val="right"/>
                    </w:pPr>
                    <w:r>
                      <w:rPr>
                        <w:rFonts w:hint="eastAsia"/>
                      </w:rPr>
                      <w:t>—</w:t>
                    </w:r>
                    <w:r>
                      <w:rPr>
                        <w:rFonts w:hint="eastAsia"/>
                        <w:sz w:val="21"/>
                        <w:szCs w:val="21"/>
                      </w:rPr>
                      <w:t xml:space="preserve"> </w:t>
                    </w:r>
                    <w:r>
                      <w:rPr>
                        <w:sz w:val="21"/>
                        <w:szCs w:val="21"/>
                      </w:rPr>
                      <w:fldChar w:fldCharType="begin"/>
                    </w:r>
                    <w:r>
                      <w:rPr>
                        <w:rStyle w:val="22"/>
                        <w:sz w:val="21"/>
                        <w:szCs w:val="21"/>
                      </w:rPr>
                      <w:instrText xml:space="preserve"> PAGE </w:instrText>
                    </w:r>
                    <w:r>
                      <w:rPr>
                        <w:sz w:val="21"/>
                        <w:szCs w:val="21"/>
                      </w:rPr>
                      <w:fldChar w:fldCharType="separate"/>
                    </w:r>
                    <w:r>
                      <w:rPr>
                        <w:rStyle w:val="22"/>
                        <w:sz w:val="21"/>
                        <w:szCs w:val="21"/>
                      </w:rPr>
                      <w:t>22</w:t>
                    </w:r>
                    <w:r>
                      <w:rPr>
                        <w:sz w:val="21"/>
                        <w:szCs w:val="21"/>
                      </w:rPr>
                      <w:fldChar w:fldCharType="end"/>
                    </w:r>
                    <w:r>
                      <w:rPr>
                        <w:rFonts w:hint="eastAsia"/>
                        <w:sz w:val="21"/>
                        <w:szCs w:val="21"/>
                      </w:rPr>
                      <w:t xml:space="preserve"> </w:t>
                    </w:r>
                    <w:r>
                      <w:rPr>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wordWrap w:val="0"/>
                      <w:jc w:val="right"/>
                    </w:pPr>
                    <w:r>
                      <w:rPr>
                        <w:rFonts w:hint="eastAsia" w:ascii="宋体"/>
                      </w:rPr>
                      <w:t>—</w:t>
                    </w:r>
                    <w:r>
                      <w:rPr>
                        <w:rFonts w:hint="eastAsia" w:ascii="宋体"/>
                        <w:sz w:val="24"/>
                        <w:szCs w:val="24"/>
                      </w:rPr>
                      <w:t xml:space="preserve"> </w:t>
                    </w:r>
                    <w:r>
                      <w:rPr>
                        <w:sz w:val="24"/>
                        <w:szCs w:val="24"/>
                      </w:rPr>
                      <w:fldChar w:fldCharType="begin"/>
                    </w:r>
                    <w:r>
                      <w:rPr>
                        <w:rStyle w:val="22"/>
                        <w:sz w:val="24"/>
                        <w:szCs w:val="24"/>
                      </w:rPr>
                      <w:instrText xml:space="preserve"> PAGE </w:instrText>
                    </w:r>
                    <w:r>
                      <w:rPr>
                        <w:sz w:val="24"/>
                        <w:szCs w:val="24"/>
                      </w:rPr>
                      <w:fldChar w:fldCharType="separate"/>
                    </w:r>
                    <w:r>
                      <w:rPr>
                        <w:rStyle w:val="22"/>
                        <w:sz w:val="24"/>
                        <w:szCs w:val="24"/>
                      </w:rPr>
                      <w:t>42</w:t>
                    </w:r>
                    <w:r>
                      <w:rPr>
                        <w:sz w:val="24"/>
                        <w:szCs w:val="24"/>
                      </w:rPr>
                      <w:fldChar w:fldCharType="end"/>
                    </w:r>
                    <w:r>
                      <w:rPr>
                        <w:rFonts w:hint="eastAsia" w:ascii="宋体"/>
                        <w:sz w:val="24"/>
                        <w:szCs w:val="24"/>
                      </w:rPr>
                      <w:t xml:space="preserve"> </w:t>
                    </w:r>
                    <w:r>
                      <w:rPr>
                        <w:rFonts w:hint="eastAsia" w:ascii="宋体"/>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default"/>
        <w:lang w:val="en-US" w:eastAsia="zh-CN"/>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楷体_GB2312" w:eastAsia="楷体_GB2312"/>
        <w:bCs/>
        <w:sz w:val="21"/>
        <w:szCs w:val="21"/>
      </w:rPr>
    </w:pPr>
    <w:r>
      <w:rPr>
        <w:rFonts w:ascii="楷体_GB2312" w:eastAsia="楷体_GB2312"/>
        <w:bCs/>
        <w:sz w:val="21"/>
        <w:szCs w:val="21"/>
      </w:rPr>
      <w:t xml:space="preserve">                                                           </w:t>
    </w:r>
    <w:r>
      <w:rPr>
        <w:rFonts w:ascii="楷体_GB2312" w:hAnsi="华文中宋"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9D9BE"/>
    <w:multiLevelType w:val="singleLevel"/>
    <w:tmpl w:val="83C9D9BE"/>
    <w:lvl w:ilvl="0" w:tentative="0">
      <w:start w:val="3"/>
      <w:numFmt w:val="chineseCounting"/>
      <w:suff w:val="nothing"/>
      <w:lvlText w:val="%1、"/>
      <w:lvlJc w:val="left"/>
      <w:rPr>
        <w:rFonts w:hint="eastAsia"/>
      </w:rPr>
    </w:lvl>
  </w:abstractNum>
  <w:abstractNum w:abstractNumId="1">
    <w:nsid w:val="B66A2E14"/>
    <w:multiLevelType w:val="singleLevel"/>
    <w:tmpl w:val="B66A2E14"/>
    <w:lvl w:ilvl="0" w:tentative="0">
      <w:start w:val="7"/>
      <w:numFmt w:val="chineseCounting"/>
      <w:suff w:val="nothing"/>
      <w:lvlText w:val="%1、"/>
      <w:lvlJc w:val="left"/>
      <w:rPr>
        <w:rFonts w:hint="eastAsia"/>
      </w:rPr>
    </w:lvl>
  </w:abstractNum>
  <w:abstractNum w:abstractNumId="2">
    <w:nsid w:val="0B461EF2"/>
    <w:multiLevelType w:val="multilevel"/>
    <w:tmpl w:val="0B461EF2"/>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3">
    <w:nsid w:val="0D907DB2"/>
    <w:multiLevelType w:val="multilevel"/>
    <w:tmpl w:val="0D907DB2"/>
    <w:lvl w:ilvl="0" w:tentative="0">
      <w:start w:val="1"/>
      <w:numFmt w:val="decimal"/>
      <w:suff w:val="nothing"/>
      <w:lvlText w:val="%1."/>
      <w:lvlJc w:val="left"/>
      <w:pPr>
        <w:ind w:left="1005" w:hanging="420"/>
      </w:pPr>
      <w:rPr>
        <w:rFonts w:hint="eastAsia" w:ascii="宋体" w:hAnsi="宋体" w:eastAsia="宋体" w:cs="Times New Roman"/>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4">
    <w:nsid w:val="0E7C6F8E"/>
    <w:multiLevelType w:val="multilevel"/>
    <w:tmpl w:val="0E7C6F8E"/>
    <w:lvl w:ilvl="0" w:tentative="0">
      <w:start w:val="1"/>
      <w:numFmt w:val="decimal"/>
      <w:suff w:val="nothing"/>
      <w:lvlText w:val="%1."/>
      <w:lvlJc w:val="left"/>
      <w:pPr>
        <w:ind w:left="1005" w:hanging="420"/>
      </w:pPr>
      <w:rPr>
        <w:rFonts w:hint="default" w:ascii="仿宋" w:hAnsi="仿宋" w:eastAsia="仿宋" w:cs="仿宋"/>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5">
    <w:nsid w:val="1112224F"/>
    <w:multiLevelType w:val="multilevel"/>
    <w:tmpl w:val="1112224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3C604A"/>
    <w:multiLevelType w:val="singleLevel"/>
    <w:tmpl w:val="183C604A"/>
    <w:lvl w:ilvl="0" w:tentative="0">
      <w:start w:val="1"/>
      <w:numFmt w:val="japaneseCounting"/>
      <w:pStyle w:val="33"/>
      <w:lvlText w:val="%1、"/>
      <w:lvlJc w:val="left"/>
      <w:pPr>
        <w:tabs>
          <w:tab w:val="left" w:pos="960"/>
        </w:tabs>
        <w:ind w:left="960" w:hanging="480"/>
      </w:pPr>
      <w:rPr>
        <w:rFonts w:hint="eastAsia"/>
        <w:b/>
      </w:rPr>
    </w:lvl>
  </w:abstractNum>
  <w:abstractNum w:abstractNumId="7">
    <w:nsid w:val="24910E89"/>
    <w:multiLevelType w:val="multilevel"/>
    <w:tmpl w:val="24910E89"/>
    <w:lvl w:ilvl="0" w:tentative="0">
      <w:start w:val="1"/>
      <w:numFmt w:val="decimal"/>
      <w:suff w:val="nothing"/>
      <w:lvlText w:val="%1."/>
      <w:lvlJc w:val="left"/>
      <w:pPr>
        <w:ind w:left="888" w:hanging="420"/>
      </w:pPr>
      <w:rPr>
        <w:rFonts w:hint="default" w:ascii="仿宋" w:hAnsi="仿宋" w:eastAsia="仿宋" w:cs="仿宋"/>
      </w:rPr>
    </w:lvl>
    <w:lvl w:ilvl="1" w:tentative="0">
      <w:start w:val="1"/>
      <w:numFmt w:val="lowerLetter"/>
      <w:lvlText w:val="%2)"/>
      <w:lvlJc w:val="left"/>
      <w:pPr>
        <w:tabs>
          <w:tab w:val="left" w:pos="-95"/>
        </w:tabs>
        <w:ind w:left="-95" w:hanging="420"/>
      </w:pPr>
      <w:rPr>
        <w:rFonts w:cs="Times New Roman"/>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8">
    <w:nsid w:val="29CA6B97"/>
    <w:multiLevelType w:val="multilevel"/>
    <w:tmpl w:val="29CA6B97"/>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33812CAE"/>
    <w:multiLevelType w:val="multilevel"/>
    <w:tmpl w:val="33812CAE"/>
    <w:lvl w:ilvl="0" w:tentative="0">
      <w:start w:val="1"/>
      <w:numFmt w:val="decimal"/>
      <w:suff w:val="nothing"/>
      <w:lvlText w:val="%1."/>
      <w:lvlJc w:val="left"/>
      <w:pPr>
        <w:ind w:left="1824"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357162AD"/>
    <w:multiLevelType w:val="multilevel"/>
    <w:tmpl w:val="357162AD"/>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abstractNum w:abstractNumId="11">
    <w:nsid w:val="3F642EB0"/>
    <w:multiLevelType w:val="multilevel"/>
    <w:tmpl w:val="3F642EB0"/>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7746C9F"/>
    <w:multiLevelType w:val="multilevel"/>
    <w:tmpl w:val="47746C9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291E3F"/>
    <w:multiLevelType w:val="multilevel"/>
    <w:tmpl w:val="48291E3F"/>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0DA13D0"/>
    <w:multiLevelType w:val="multilevel"/>
    <w:tmpl w:val="50DA13D0"/>
    <w:lvl w:ilvl="0" w:tentative="0">
      <w:start w:val="1"/>
      <w:numFmt w:val="chineseCountingThousand"/>
      <w:lvlText w:val="%1、"/>
      <w:lvlJc w:val="left"/>
      <w:pPr>
        <w:tabs>
          <w:tab w:val="left" w:pos="0"/>
        </w:tabs>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83D52D8"/>
    <w:multiLevelType w:val="multilevel"/>
    <w:tmpl w:val="583D52D8"/>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6">
    <w:nsid w:val="6B6A00D1"/>
    <w:multiLevelType w:val="multilevel"/>
    <w:tmpl w:val="6B6A00D1"/>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6E383C93"/>
    <w:multiLevelType w:val="multilevel"/>
    <w:tmpl w:val="6E383C93"/>
    <w:lvl w:ilvl="0" w:tentative="0">
      <w:start w:val="1"/>
      <w:numFmt w:val="decimal"/>
      <w:suff w:val="nothing"/>
      <w:lvlText w:val="%1."/>
      <w:lvlJc w:val="left"/>
      <w:pPr>
        <w:ind w:left="1356" w:hanging="420"/>
      </w:pPr>
      <w:rPr>
        <w:rFonts w:hint="default" w:ascii="仿宋" w:hAnsi="仿宋" w:eastAsia="仿宋" w:cs="仿宋"/>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E673902"/>
    <w:multiLevelType w:val="multilevel"/>
    <w:tmpl w:val="6E673902"/>
    <w:lvl w:ilvl="0" w:tentative="0">
      <w:start w:val="1"/>
      <w:numFmt w:val="chineseCountingThousand"/>
      <w:lvlText w:val="（%1）"/>
      <w:lvlJc w:val="left"/>
      <w:pPr>
        <w:tabs>
          <w:tab w:val="left" w:pos="0"/>
        </w:tabs>
        <w:ind w:left="0" w:firstLine="0"/>
      </w:pPr>
      <w:rPr>
        <w:rFonts w:hint="eastAsia"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E8E6CF5"/>
    <w:multiLevelType w:val="multilevel"/>
    <w:tmpl w:val="7E8E6CF5"/>
    <w:lvl w:ilvl="0" w:tentative="0">
      <w:start w:val="1"/>
      <w:numFmt w:val="decimal"/>
      <w:suff w:val="nothing"/>
      <w:lvlText w:val="%1."/>
      <w:lvlJc w:val="left"/>
      <w:pPr>
        <w:ind w:left="910" w:hanging="420"/>
      </w:pPr>
      <w:rPr>
        <w:rFonts w:hint="default" w:ascii="仿宋" w:hAnsi="仿宋" w:eastAsia="仿宋" w:cs="仿宋"/>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6"/>
  </w:num>
  <w:num w:numId="2">
    <w:abstractNumId w:val="1"/>
  </w:num>
  <w:num w:numId="3">
    <w:abstractNumId w:val="0"/>
  </w:num>
  <w:num w:numId="4">
    <w:abstractNumId w:val="14"/>
  </w:num>
  <w:num w:numId="5">
    <w:abstractNumId w:val="18"/>
  </w:num>
  <w:num w:numId="6">
    <w:abstractNumId w:val="12"/>
  </w:num>
  <w:num w:numId="7">
    <w:abstractNumId w:val="17"/>
  </w:num>
  <w:num w:numId="8">
    <w:abstractNumId w:val="10"/>
  </w:num>
  <w:num w:numId="9">
    <w:abstractNumId w:val="11"/>
  </w:num>
  <w:num w:numId="10">
    <w:abstractNumId w:val="3"/>
  </w:num>
  <w:num w:numId="11">
    <w:abstractNumId w:val="7"/>
  </w:num>
  <w:num w:numId="12">
    <w:abstractNumId w:val="5"/>
  </w:num>
  <w:num w:numId="13">
    <w:abstractNumId w:val="4"/>
  </w:num>
  <w:num w:numId="14">
    <w:abstractNumId w:val="2"/>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OTg0OWU2MmM4MDY2MDBjNTU4MzdlODBkM2YzMWMifQ=="/>
  </w:docVars>
  <w:rsids>
    <w:rsidRoot w:val="05FE5B22"/>
    <w:rsid w:val="01603852"/>
    <w:rsid w:val="017D6053"/>
    <w:rsid w:val="01A403B7"/>
    <w:rsid w:val="02AA7A54"/>
    <w:rsid w:val="0361440A"/>
    <w:rsid w:val="038C4624"/>
    <w:rsid w:val="03D91368"/>
    <w:rsid w:val="03E86BF7"/>
    <w:rsid w:val="05FE5B22"/>
    <w:rsid w:val="0AAE09DA"/>
    <w:rsid w:val="0B4577BD"/>
    <w:rsid w:val="0C8607AA"/>
    <w:rsid w:val="0CA21E9B"/>
    <w:rsid w:val="0CB83331"/>
    <w:rsid w:val="0E4017EB"/>
    <w:rsid w:val="0E6626FA"/>
    <w:rsid w:val="0F13236E"/>
    <w:rsid w:val="106B1DBF"/>
    <w:rsid w:val="10855BDB"/>
    <w:rsid w:val="108F4A7C"/>
    <w:rsid w:val="12726446"/>
    <w:rsid w:val="12F455E0"/>
    <w:rsid w:val="153D3CCE"/>
    <w:rsid w:val="15BB3E4D"/>
    <w:rsid w:val="15D4045A"/>
    <w:rsid w:val="160C0D45"/>
    <w:rsid w:val="1A4923A1"/>
    <w:rsid w:val="1B5A3D5D"/>
    <w:rsid w:val="1B824B71"/>
    <w:rsid w:val="1BDC306D"/>
    <w:rsid w:val="1C191626"/>
    <w:rsid w:val="1C8C5BC4"/>
    <w:rsid w:val="1C9550ED"/>
    <w:rsid w:val="1E171A05"/>
    <w:rsid w:val="20A200E4"/>
    <w:rsid w:val="23713D9D"/>
    <w:rsid w:val="23E222C2"/>
    <w:rsid w:val="23E822B1"/>
    <w:rsid w:val="26C40531"/>
    <w:rsid w:val="26D251BE"/>
    <w:rsid w:val="283A128D"/>
    <w:rsid w:val="293409E3"/>
    <w:rsid w:val="29C07F9B"/>
    <w:rsid w:val="2AC77D28"/>
    <w:rsid w:val="2C7D4CE0"/>
    <w:rsid w:val="2DDC4A02"/>
    <w:rsid w:val="2DFC0BF4"/>
    <w:rsid w:val="2E81352D"/>
    <w:rsid w:val="2EB707F0"/>
    <w:rsid w:val="2F6E2162"/>
    <w:rsid w:val="30083A5D"/>
    <w:rsid w:val="3035359C"/>
    <w:rsid w:val="305160A7"/>
    <w:rsid w:val="30B7758F"/>
    <w:rsid w:val="312F075F"/>
    <w:rsid w:val="32C50A08"/>
    <w:rsid w:val="337D1C2C"/>
    <w:rsid w:val="34A838D6"/>
    <w:rsid w:val="3575596F"/>
    <w:rsid w:val="359C5BCE"/>
    <w:rsid w:val="35BE10C4"/>
    <w:rsid w:val="372F43C3"/>
    <w:rsid w:val="37721887"/>
    <w:rsid w:val="385440F8"/>
    <w:rsid w:val="38AD434C"/>
    <w:rsid w:val="38B27827"/>
    <w:rsid w:val="392F0EB2"/>
    <w:rsid w:val="3A0F6392"/>
    <w:rsid w:val="3CC449B6"/>
    <w:rsid w:val="3CEA4F51"/>
    <w:rsid w:val="3D3A4A98"/>
    <w:rsid w:val="3D6A7D83"/>
    <w:rsid w:val="3E070CC8"/>
    <w:rsid w:val="3E30357E"/>
    <w:rsid w:val="3E7762B4"/>
    <w:rsid w:val="3E9B456D"/>
    <w:rsid w:val="3EF0565B"/>
    <w:rsid w:val="3F7A3FE3"/>
    <w:rsid w:val="3F817D3E"/>
    <w:rsid w:val="3F8D4B70"/>
    <w:rsid w:val="400628F1"/>
    <w:rsid w:val="40BB2B60"/>
    <w:rsid w:val="40F2256A"/>
    <w:rsid w:val="411A45A9"/>
    <w:rsid w:val="42DF3FAB"/>
    <w:rsid w:val="43E50640"/>
    <w:rsid w:val="444A092E"/>
    <w:rsid w:val="44C47D79"/>
    <w:rsid w:val="459F41C9"/>
    <w:rsid w:val="47194AAA"/>
    <w:rsid w:val="474C3CD0"/>
    <w:rsid w:val="487E46E3"/>
    <w:rsid w:val="48FE7E2E"/>
    <w:rsid w:val="48FF7373"/>
    <w:rsid w:val="49B17607"/>
    <w:rsid w:val="49C76CB5"/>
    <w:rsid w:val="49DA3B9B"/>
    <w:rsid w:val="49FC1D21"/>
    <w:rsid w:val="4AF02DE7"/>
    <w:rsid w:val="4C742085"/>
    <w:rsid w:val="4D8729D9"/>
    <w:rsid w:val="4DB23561"/>
    <w:rsid w:val="4DC83C20"/>
    <w:rsid w:val="4F1D4734"/>
    <w:rsid w:val="4F310A30"/>
    <w:rsid w:val="501716A5"/>
    <w:rsid w:val="50C57645"/>
    <w:rsid w:val="51F779BB"/>
    <w:rsid w:val="522D29AA"/>
    <w:rsid w:val="52767914"/>
    <w:rsid w:val="5306151F"/>
    <w:rsid w:val="54604B65"/>
    <w:rsid w:val="553E4E40"/>
    <w:rsid w:val="56644F18"/>
    <w:rsid w:val="56C664F8"/>
    <w:rsid w:val="57CE3758"/>
    <w:rsid w:val="57DA74B2"/>
    <w:rsid w:val="57EE1E0E"/>
    <w:rsid w:val="57F211B9"/>
    <w:rsid w:val="5838665C"/>
    <w:rsid w:val="58BB20FF"/>
    <w:rsid w:val="591E2664"/>
    <w:rsid w:val="59D143DE"/>
    <w:rsid w:val="5A7547E2"/>
    <w:rsid w:val="5A7A6F78"/>
    <w:rsid w:val="5AA32359"/>
    <w:rsid w:val="5CB83A25"/>
    <w:rsid w:val="5D7A3DCD"/>
    <w:rsid w:val="5FA97B7D"/>
    <w:rsid w:val="5FAD16DE"/>
    <w:rsid w:val="5FF71415"/>
    <w:rsid w:val="6132054D"/>
    <w:rsid w:val="615707AE"/>
    <w:rsid w:val="62C27B96"/>
    <w:rsid w:val="63946C01"/>
    <w:rsid w:val="644A2B15"/>
    <w:rsid w:val="64851B3A"/>
    <w:rsid w:val="66C32BE9"/>
    <w:rsid w:val="67D37CEA"/>
    <w:rsid w:val="68B778BE"/>
    <w:rsid w:val="6A967453"/>
    <w:rsid w:val="6BC74A64"/>
    <w:rsid w:val="6D264EEB"/>
    <w:rsid w:val="6DC04BD6"/>
    <w:rsid w:val="6E21343C"/>
    <w:rsid w:val="6E512DB4"/>
    <w:rsid w:val="6E74547E"/>
    <w:rsid w:val="708C17E3"/>
    <w:rsid w:val="70A82764"/>
    <w:rsid w:val="70D53043"/>
    <w:rsid w:val="70D6039A"/>
    <w:rsid w:val="710C1DCC"/>
    <w:rsid w:val="72314274"/>
    <w:rsid w:val="72F94B94"/>
    <w:rsid w:val="76334E79"/>
    <w:rsid w:val="764D6EC7"/>
    <w:rsid w:val="769A520D"/>
    <w:rsid w:val="76CC4DC3"/>
    <w:rsid w:val="77755812"/>
    <w:rsid w:val="77CB3DBC"/>
    <w:rsid w:val="77E3618D"/>
    <w:rsid w:val="79224A93"/>
    <w:rsid w:val="798B79A8"/>
    <w:rsid w:val="7CEA69E8"/>
    <w:rsid w:val="7DF84BC8"/>
    <w:rsid w:val="7E3822E1"/>
    <w:rsid w:val="7E385DD8"/>
    <w:rsid w:val="7F460A51"/>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1"/>
    <w:basedOn w:val="1"/>
    <w:next w:val="3"/>
    <w:link w:val="24"/>
    <w:qFormat/>
    <w:uiPriority w:val="0"/>
    <w:pPr>
      <w:keepNext/>
      <w:keepLines/>
      <w:widowControl/>
      <w:spacing w:before="240" w:after="240" w:line="36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26"/>
    <w:semiHidden/>
    <w:unhideWhenUsed/>
    <w:qFormat/>
    <w:uiPriority w:val="0"/>
    <w:pPr>
      <w:keepNext/>
      <w:keepLines/>
      <w:spacing w:before="240" w:after="240" w:line="360" w:lineRule="auto"/>
      <w:jc w:val="left"/>
      <w:outlineLvl w:val="1"/>
    </w:pPr>
    <w:rPr>
      <w:rFonts w:ascii="Arial" w:hAnsi="Arial" w:eastAsia="宋体" w:cs="Arial"/>
      <w:b/>
      <w:bCs/>
      <w:sz w:val="30"/>
      <w:szCs w:val="32"/>
    </w:rPr>
  </w:style>
  <w:style w:type="paragraph" w:styleId="4">
    <w:name w:val="heading 3"/>
    <w:basedOn w:val="1"/>
    <w:next w:val="1"/>
    <w:link w:val="25"/>
    <w:semiHidden/>
    <w:unhideWhenUsed/>
    <w:qFormat/>
    <w:uiPriority w:val="0"/>
    <w:pPr>
      <w:keepNext/>
      <w:keepLines/>
      <w:spacing w:before="240" w:after="240" w:line="360" w:lineRule="auto"/>
      <w:jc w:val="left"/>
      <w:outlineLvl w:val="2"/>
    </w:pPr>
    <w:rPr>
      <w:rFonts w:ascii="Calibri" w:hAnsi="Calibri" w:eastAsia="宋体" w:cs="Arial"/>
      <w:b/>
      <w:bCs/>
      <w:sz w:val="28"/>
      <w:szCs w:val="32"/>
    </w:rPr>
  </w:style>
  <w:style w:type="paragraph" w:styleId="5">
    <w:name w:val="heading 4"/>
    <w:basedOn w:val="1"/>
    <w:next w:val="1"/>
    <w:semiHidden/>
    <w:unhideWhenUsed/>
    <w:qFormat/>
    <w:uiPriority w:val="0"/>
    <w:pPr>
      <w:keepNext/>
      <w:keepLines/>
      <w:spacing w:before="240" w:beforeLines="0" w:beforeAutospacing="0" w:after="240" w:afterLines="0" w:afterAutospacing="0" w:line="360" w:lineRule="auto"/>
      <w:jc w:val="center"/>
      <w:outlineLvl w:val="3"/>
    </w:pPr>
    <w:rPr>
      <w:rFonts w:ascii="Arial" w:hAnsi="Arial" w:eastAsia="宋体" w:cs="Arial"/>
      <w:b/>
      <w:sz w:val="24"/>
      <w:szCs w:val="24"/>
    </w:rPr>
  </w:style>
  <w:style w:type="character" w:default="1" w:styleId="21">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82"/>
      <w:textAlignment w:val="baseline"/>
    </w:pPr>
    <w:rPr>
      <w:rFonts w:eastAsia="宋体"/>
      <w:kern w:val="0"/>
      <w:sz w:val="24"/>
    </w:rPr>
  </w:style>
  <w:style w:type="paragraph" w:styleId="7">
    <w:name w:val="annotation text"/>
    <w:basedOn w:val="1"/>
    <w:qFormat/>
    <w:uiPriority w:val="0"/>
    <w:pPr>
      <w:jc w:val="left"/>
    </w:pPr>
  </w:style>
  <w:style w:type="paragraph" w:styleId="8">
    <w:name w:val="Body Text"/>
    <w:basedOn w:val="1"/>
    <w:next w:val="1"/>
    <w:qFormat/>
    <w:uiPriority w:val="0"/>
    <w:rPr>
      <w:sz w:val="21"/>
    </w:rPr>
  </w:style>
  <w:style w:type="paragraph" w:styleId="9">
    <w:name w:val="Body Text Indent"/>
    <w:basedOn w:val="1"/>
    <w:next w:val="5"/>
    <w:qFormat/>
    <w:uiPriority w:val="0"/>
    <w:pPr>
      <w:ind w:firstLine="555"/>
    </w:pPr>
  </w:style>
  <w:style w:type="paragraph" w:styleId="10">
    <w:name w:val="Plain Text"/>
    <w:basedOn w:val="1"/>
    <w:unhideWhenUsed/>
    <w:qFormat/>
    <w:uiPriority w:val="0"/>
    <w:rPr>
      <w:rFonts w:ascii="宋体" w:hAnsi="Courier New"/>
      <w:szCs w:val="20"/>
    </w:rPr>
  </w:style>
  <w:style w:type="paragraph" w:styleId="11">
    <w:name w:val="Date"/>
    <w:basedOn w:val="1"/>
    <w:next w:val="1"/>
    <w:qFormat/>
    <w:uiPriority w:val="0"/>
    <w:pPr>
      <w:ind w:left="100" w:leftChars="2500"/>
    </w:pPr>
    <w:rPr>
      <w:kern w:val="0"/>
      <w:sz w:val="20"/>
    </w:rPr>
  </w:style>
  <w:style w:type="paragraph" w:styleId="12">
    <w:name w:val="Body Text Indent 2"/>
    <w:basedOn w:val="1"/>
    <w:qFormat/>
    <w:uiPriority w:val="0"/>
    <w:pPr>
      <w:spacing w:line="540" w:lineRule="exact"/>
      <w:ind w:firstLine="63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658"/>
      </w:tabs>
      <w:ind w:left="935" w:leftChars="400"/>
    </w:pPr>
  </w:style>
  <w:style w:type="paragraph" w:styleId="16">
    <w:name w:val="List"/>
    <w:basedOn w:val="1"/>
    <w:qFormat/>
    <w:uiPriority w:val="0"/>
    <w:pPr>
      <w:ind w:left="200" w:hanging="200" w:hangingChars="200"/>
    </w:p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9">
    <w:name w:val="Body Text First Indent 2"/>
    <w:basedOn w:val="9"/>
    <w:next w:val="1"/>
    <w:unhideWhenUsed/>
    <w:qFormat/>
    <w:uiPriority w:val="99"/>
    <w:pPr>
      <w:ind w:firstLine="420" w:firstLineChars="200"/>
    </w:pPr>
  </w:style>
  <w:style w:type="character" w:styleId="22">
    <w:name w:val="page number"/>
    <w:basedOn w:val="21"/>
    <w:qFormat/>
    <w:uiPriority w:val="0"/>
    <w:rPr>
      <w:rFonts w:cs="Times New Roman"/>
    </w:rPr>
  </w:style>
  <w:style w:type="character" w:styleId="23">
    <w:name w:val="Hyperlink"/>
    <w:basedOn w:val="21"/>
    <w:qFormat/>
    <w:uiPriority w:val="0"/>
    <w:rPr>
      <w:rFonts w:cs="Times New Roman"/>
      <w:color w:val="0000FF"/>
      <w:u w:val="single"/>
    </w:rPr>
  </w:style>
  <w:style w:type="character" w:customStyle="1" w:styleId="24">
    <w:name w:val="标题 1 Char"/>
    <w:link w:val="2"/>
    <w:qFormat/>
    <w:uiPriority w:val="0"/>
    <w:rPr>
      <w:rFonts w:ascii="Times New Roman" w:hAnsi="Times New Roman" w:eastAsia="宋体" w:cs="Times New Roman"/>
      <w:b/>
      <w:bCs/>
      <w:kern w:val="44"/>
      <w:sz w:val="32"/>
      <w:szCs w:val="44"/>
    </w:rPr>
  </w:style>
  <w:style w:type="character" w:customStyle="1" w:styleId="25">
    <w:name w:val="标题 3 Char"/>
    <w:basedOn w:val="21"/>
    <w:link w:val="4"/>
    <w:qFormat/>
    <w:uiPriority w:val="0"/>
    <w:rPr>
      <w:rFonts w:ascii="Calibri" w:hAnsi="Calibri" w:eastAsia="宋体" w:cs="Arial"/>
      <w:b/>
      <w:bCs/>
      <w:sz w:val="28"/>
      <w:szCs w:val="32"/>
    </w:rPr>
  </w:style>
  <w:style w:type="character" w:customStyle="1" w:styleId="26">
    <w:name w:val="标题 2 Char"/>
    <w:basedOn w:val="21"/>
    <w:link w:val="3"/>
    <w:qFormat/>
    <w:uiPriority w:val="99"/>
    <w:rPr>
      <w:rFonts w:ascii="Arial" w:hAnsi="Arial" w:eastAsia="宋体" w:cs="Arial"/>
      <w:b/>
      <w:bCs/>
      <w:sz w:val="30"/>
      <w:szCs w:val="32"/>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sz w:val="28"/>
      <w:u w:val="none" w:color="000000"/>
      <w:lang w:val="en-US" w:eastAsia="zh-CN" w:bidi="ar-SA"/>
    </w:rPr>
  </w:style>
  <w:style w:type="paragraph" w:customStyle="1" w:styleId="28">
    <w:name w:val="List Paragraph"/>
    <w:basedOn w:val="1"/>
    <w:qFormat/>
    <w:uiPriority w:val="0"/>
    <w:pPr>
      <w:widowControl/>
      <w:ind w:left="720" w:firstLine="360"/>
      <w:jc w:val="left"/>
    </w:pPr>
    <w:rPr>
      <w:rFonts w:ascii="Calibri" w:hAnsi="Calibri"/>
      <w:sz w:val="22"/>
      <w:szCs w:val="20"/>
      <w:lang w:eastAsia="en-US"/>
    </w:rPr>
  </w:style>
  <w:style w:type="paragraph" w:customStyle="1" w:styleId="29">
    <w:name w:val="表格文字"/>
    <w:basedOn w:val="1"/>
    <w:qFormat/>
    <w:uiPriority w:val="0"/>
    <w:pPr>
      <w:jc w:val="left"/>
    </w:pPr>
    <w:rPr>
      <w:bCs/>
      <w:spacing w:val="10"/>
      <w:sz w:val="24"/>
    </w:rPr>
  </w:style>
  <w:style w:type="paragraph" w:customStyle="1" w:styleId="30">
    <w:name w:val="WPS Plain"/>
    <w:qFormat/>
    <w:uiPriority w:val="0"/>
    <w:rPr>
      <w:rFonts w:ascii="Times New Roman" w:hAnsi="Times New Roman" w:eastAsia="宋体" w:cs="Times New Roman"/>
      <w:lang w:val="en-US" w:eastAsia="zh-CN" w:bidi="ar-SA"/>
    </w:rPr>
  </w:style>
  <w:style w:type="paragraph" w:customStyle="1" w:styleId="31">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33">
    <w:name w:val="Item List in Table"/>
    <w:basedOn w:val="1"/>
    <w:qFormat/>
    <w:uiPriority w:val="0"/>
    <w:pPr>
      <w:numPr>
        <w:ilvl w:val="0"/>
        <w:numId w:val="1"/>
      </w:numPr>
      <w:tabs>
        <w:tab w:val="left" w:pos="420"/>
        <w:tab w:val="clear" w:pos="960"/>
      </w:tabs>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12977</Words>
  <Characters>13794</Characters>
  <Lines>0</Lines>
  <Paragraphs>0</Paragraphs>
  <TotalTime>41</TotalTime>
  <ScaleCrop>false</ScaleCrop>
  <LinksUpToDate>false</LinksUpToDate>
  <CharactersWithSpaces>15289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2023-07-14T07:04:00Z</dcterms:created>
  <dc:creator>奔赴.</dc:creator>
  <cp:lastModifiedBy>王畅</cp:lastModifiedBy>
  <cp:lastPrinted>2023-08-10T05:09:00Z</cp:lastPrinted>
  <dcterms:modified xsi:type="dcterms:W3CDTF">2025-06-20T08:09:42Z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1DC2324C545A446FAC38B90A7E00372F_11</vt:lpwstr>
  </property>
  <property fmtid="{D5CDD505-2E9C-101B-9397-08002B2CF9AE}" pid="4" name="KSOTemplateDocerSaveRecord">
    <vt:lpwstr>eyJoZGlkIjoiMzBkNDFjMjVkODgyM2UwNTU0N2U1ZjdlZjkwNDc1ZTAifQ==</vt:lpwstr>
  </property>
</Properties>
</file>