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560BB2">
      <w:pPr>
        <w:pStyle w:val="5"/>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方正小标宋简体" w:hAnsi="方正小标宋简体" w:eastAsia="方正小标宋简体" w:cs="方正小标宋简体"/>
          <w:b w:val="0"/>
          <w:bCs/>
          <w:color w:val="auto"/>
          <w:kern w:val="2"/>
          <w:sz w:val="44"/>
          <w:szCs w:val="44"/>
          <w:highlight w:val="none"/>
          <w:lang w:val="en-US" w:eastAsia="zh-CN" w:bidi="ar-SA"/>
        </w:rPr>
      </w:pPr>
      <w:r>
        <w:rPr>
          <w:rFonts w:hint="eastAsia" w:ascii="方正小标宋简体" w:hAnsi="方正小标宋简体" w:eastAsia="方正小标宋简体" w:cs="方正小标宋简体"/>
          <w:b w:val="0"/>
          <w:bCs/>
          <w:color w:val="auto"/>
          <w:kern w:val="2"/>
          <w:sz w:val="44"/>
          <w:szCs w:val="44"/>
          <w:highlight w:val="none"/>
          <w:lang w:val="en-US" w:eastAsia="zh-CN" w:bidi="ar-SA"/>
        </w:rPr>
        <w:t>国家税务总局克拉玛依市税务局稽查局</w:t>
      </w:r>
    </w:p>
    <w:p w14:paraId="3787EF23">
      <w:pPr>
        <w:pStyle w:val="3"/>
        <w:keepNext/>
        <w:keepLines/>
        <w:pageBreakBefore w:val="0"/>
        <w:widowControl w:val="0"/>
        <w:kinsoku/>
        <w:wordWrap/>
        <w:overflowPunct/>
        <w:topLinePunct w:val="0"/>
        <w:autoSpaceDE/>
        <w:autoSpaceDN/>
        <w:bidi w:val="0"/>
        <w:adjustRightInd/>
        <w:snapToGrid/>
        <w:spacing w:before="0" w:beforeLines="0" w:after="0" w:afterLines="0" w:line="240" w:lineRule="auto"/>
        <w:jc w:val="center"/>
        <w:textAlignment w:val="auto"/>
        <w:rPr>
          <w:rFonts w:hint="eastAsia" w:ascii="Arial" w:hAnsi="Arial" w:eastAsia="方正小标宋简体" w:cs="Times New Roman"/>
          <w:b w:val="0"/>
          <w:bCs/>
          <w:color w:val="auto"/>
          <w:kern w:val="44"/>
          <w:sz w:val="52"/>
          <w:szCs w:val="24"/>
          <w:highlight w:val="none"/>
          <w:lang w:val="en-US" w:eastAsia="zh-CN" w:bidi="ar-SA"/>
        </w:rPr>
      </w:pPr>
      <w:r>
        <w:rPr>
          <w:rFonts w:hint="eastAsia" w:ascii="Arial" w:hAnsi="Arial" w:eastAsia="方正小标宋简体" w:cs="Times New Roman"/>
          <w:b w:val="0"/>
          <w:bCs/>
          <w:color w:val="auto"/>
          <w:kern w:val="44"/>
          <w:sz w:val="52"/>
          <w:szCs w:val="24"/>
          <w:highlight w:val="none"/>
          <w:lang w:val="en-US" w:eastAsia="zh-CN" w:bidi="ar-SA"/>
        </w:rPr>
        <w:t>税务检查通知书</w:t>
      </w:r>
    </w:p>
    <w:p w14:paraId="7110188C">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eastAsia" w:ascii="楷体_GB2312" w:hAnsi="楷体_GB2312" w:eastAsia="楷体_GB2312" w:cs="楷体_GB2312"/>
          <w:spacing w:val="20"/>
          <w:sz w:val="32"/>
          <w:szCs w:val="32"/>
          <w:highlight w:val="none"/>
        </w:rPr>
      </w:pPr>
      <w:r>
        <w:rPr>
          <w:rFonts w:hint="eastAsia" w:ascii="楷体_GB2312" w:hAnsi="楷体_GB2312" w:eastAsia="楷体_GB2312" w:cs="楷体_GB2312"/>
          <w:spacing w:val="20"/>
          <w:sz w:val="32"/>
          <w:szCs w:val="32"/>
          <w:highlight w:val="none"/>
          <w:lang w:val="en-US" w:eastAsia="zh-CN"/>
        </w:rPr>
        <w:t>克税稽检通</w:t>
      </w:r>
      <w:r>
        <w:rPr>
          <w:rFonts w:hint="eastAsia" w:ascii="楷体_GB2312" w:hAnsi="楷体_GB2312" w:eastAsia="楷体_GB2312" w:cs="楷体_GB2312"/>
          <w:spacing w:val="20"/>
          <w:sz w:val="32"/>
          <w:szCs w:val="32"/>
          <w:highlight w:val="none"/>
        </w:rPr>
        <w:t>〔</w:t>
      </w:r>
      <w:r>
        <w:rPr>
          <w:rFonts w:hint="eastAsia" w:ascii="楷体_GB2312" w:hAnsi="楷体_GB2312" w:eastAsia="楷体_GB2312" w:cs="楷体_GB2312"/>
          <w:spacing w:val="20"/>
          <w:sz w:val="32"/>
          <w:szCs w:val="32"/>
          <w:highlight w:val="none"/>
          <w:lang w:val="en-US" w:eastAsia="zh-CN"/>
        </w:rPr>
        <w:t>2026</w:t>
      </w:r>
      <w:r>
        <w:rPr>
          <w:rFonts w:hint="eastAsia" w:ascii="楷体_GB2312" w:hAnsi="楷体_GB2312" w:eastAsia="楷体_GB2312" w:cs="楷体_GB2312"/>
          <w:spacing w:val="20"/>
          <w:sz w:val="32"/>
          <w:szCs w:val="32"/>
          <w:highlight w:val="none"/>
        </w:rPr>
        <w:t>〕</w:t>
      </w:r>
      <w:r>
        <w:rPr>
          <w:rFonts w:hint="eastAsia" w:ascii="楷体_GB2312" w:hAnsi="楷体_GB2312" w:eastAsia="楷体_GB2312" w:cs="楷体_GB2312"/>
          <w:spacing w:val="20"/>
          <w:sz w:val="32"/>
          <w:szCs w:val="32"/>
          <w:highlight w:val="none"/>
          <w:lang w:val="en-US" w:eastAsia="zh-CN"/>
        </w:rPr>
        <w:t>31</w:t>
      </w:r>
      <w:r>
        <w:rPr>
          <w:rFonts w:hint="eastAsia" w:ascii="楷体_GB2312" w:hAnsi="楷体_GB2312" w:eastAsia="楷体_GB2312" w:cs="楷体_GB2312"/>
          <w:spacing w:val="20"/>
          <w:sz w:val="32"/>
          <w:szCs w:val="32"/>
          <w:highlight w:val="none"/>
        </w:rPr>
        <w:t>号</w:t>
      </w:r>
    </w:p>
    <w:p w14:paraId="1BFB4D45">
      <w:pPr>
        <w:pStyle w:val="2"/>
        <w:keepNext w:val="0"/>
        <w:keepLines w:val="0"/>
        <w:pageBreakBefore w:val="0"/>
        <w:widowControl w:val="0"/>
        <w:kinsoku/>
        <w:wordWrap/>
        <w:overflowPunct/>
        <w:topLinePunct w:val="0"/>
        <w:autoSpaceDE/>
        <w:autoSpaceDN/>
        <w:bidi w:val="0"/>
        <w:adjustRightInd/>
        <w:snapToGrid/>
        <w:spacing w:line="560" w:lineRule="exact"/>
        <w:ind w:left="0" w:leftChars="0"/>
        <w:rPr>
          <w:rFonts w:hint="eastAsia"/>
          <w:highlight w:val="none"/>
        </w:rPr>
      </w:pPr>
    </w:p>
    <w:p w14:paraId="340E6389">
      <w:pPr>
        <w:keepNext w:val="0"/>
        <w:keepLines w:val="0"/>
        <w:pageBreakBefore w:val="0"/>
        <w:widowControl w:val="0"/>
        <w:kinsoku/>
        <w:wordWrap/>
        <w:overflowPunct/>
        <w:topLinePunct w:val="0"/>
        <w:autoSpaceDE/>
        <w:autoSpaceDN/>
        <w:bidi w:val="0"/>
        <w:adjustRightInd/>
        <w:snapToGrid/>
        <w:spacing w:line="560" w:lineRule="exact"/>
        <w:ind w:left="0" w:leftChars="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克拉玛依威平科技有限公司：（统一社会信用代码：91650203MAKBBKNF7U）</w:t>
      </w:r>
    </w:p>
    <w:p w14:paraId="1A0EE84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sz w:val="32"/>
          <w:szCs w:val="32"/>
          <w:highlight w:val="none"/>
        </w:rPr>
        <w:t>根据《中华人民共和国税收征收管理法》第五十四条规定，决定派</w:t>
      </w:r>
      <w:r>
        <w:rPr>
          <w:rFonts w:hint="eastAsia" w:ascii="仿宋_GB2312" w:hAnsi="仿宋_GB2312" w:eastAsia="仿宋_GB2312" w:cs="仿宋_GB2312"/>
          <w:b w:val="0"/>
          <w:bCs w:val="0"/>
          <w:sz w:val="32"/>
          <w:szCs w:val="32"/>
          <w:highlight w:val="none"/>
          <w:u w:val="none"/>
          <w:lang w:val="en-US" w:eastAsia="zh-CN"/>
        </w:rPr>
        <w:t>刘思奇（新税稽6502250004）、鱼媛（新税稽6502250008）</w:t>
      </w:r>
      <w:r>
        <w:rPr>
          <w:rFonts w:hint="eastAsia" w:ascii="仿宋_GB2312" w:hAnsi="仿宋_GB2312" w:eastAsia="仿宋_GB2312" w:cs="仿宋_GB2312"/>
          <w:b w:val="0"/>
          <w:bCs w:val="0"/>
          <w:sz w:val="32"/>
          <w:szCs w:val="32"/>
          <w:highlight w:val="none"/>
          <w:u w:val="none"/>
          <w:lang w:eastAsia="zh-CN"/>
        </w:rPr>
        <w:t>等人，自</w:t>
      </w:r>
      <w:r>
        <w:rPr>
          <w:rFonts w:hint="eastAsia" w:ascii="仿宋_GB2312" w:hAnsi="仿宋_GB2312" w:eastAsia="仿宋_GB2312" w:cs="仿宋_GB2312"/>
          <w:b w:val="0"/>
          <w:bCs w:val="0"/>
          <w:sz w:val="32"/>
          <w:szCs w:val="32"/>
          <w:highlight w:val="none"/>
          <w:u w:val="none"/>
          <w:lang w:val="en-US" w:eastAsia="zh-CN"/>
        </w:rPr>
        <w:t>2026</w:t>
      </w:r>
      <w:r>
        <w:rPr>
          <w:rFonts w:hint="eastAsia" w:ascii="仿宋_GB2312" w:hAnsi="仿宋_GB2312" w:eastAsia="仿宋_GB2312" w:cs="仿宋_GB2312"/>
          <w:b w:val="0"/>
          <w:bCs w:val="0"/>
          <w:sz w:val="32"/>
          <w:szCs w:val="32"/>
          <w:highlight w:val="none"/>
          <w:u w:val="none"/>
          <w:lang w:eastAsia="zh-CN"/>
        </w:rPr>
        <w:t>年</w:t>
      </w:r>
      <w:r>
        <w:rPr>
          <w:rFonts w:hint="eastAsia" w:ascii="仿宋_GB2312" w:hAnsi="仿宋_GB2312" w:eastAsia="仿宋_GB2312" w:cs="仿宋_GB2312"/>
          <w:b w:val="0"/>
          <w:bCs w:val="0"/>
          <w:sz w:val="32"/>
          <w:szCs w:val="32"/>
          <w:highlight w:val="none"/>
          <w:u w:val="none"/>
          <w:lang w:val="en-US" w:eastAsia="zh-CN"/>
        </w:rPr>
        <w:t>7</w:t>
      </w:r>
      <w:r>
        <w:rPr>
          <w:rFonts w:hint="eastAsia" w:ascii="仿宋_GB2312" w:hAnsi="仿宋_GB2312" w:eastAsia="仿宋_GB2312" w:cs="仿宋_GB2312"/>
          <w:b w:val="0"/>
          <w:bCs w:val="0"/>
          <w:sz w:val="32"/>
          <w:szCs w:val="32"/>
          <w:highlight w:val="none"/>
          <w:u w:val="none"/>
          <w:lang w:eastAsia="zh-CN"/>
        </w:rPr>
        <w:t>月</w:t>
      </w:r>
      <w:r>
        <w:rPr>
          <w:rFonts w:hint="eastAsia" w:ascii="仿宋_GB2312" w:hAnsi="仿宋_GB2312" w:eastAsia="仿宋_GB2312" w:cs="仿宋_GB2312"/>
          <w:b w:val="0"/>
          <w:bCs w:val="0"/>
          <w:sz w:val="32"/>
          <w:szCs w:val="32"/>
          <w:highlight w:val="none"/>
          <w:u w:val="none"/>
          <w:lang w:val="en-US" w:eastAsia="zh-CN"/>
        </w:rPr>
        <w:t>30</w:t>
      </w:r>
      <w:r>
        <w:rPr>
          <w:rFonts w:hint="eastAsia" w:ascii="仿宋_GB2312" w:hAnsi="仿宋_GB2312" w:eastAsia="仿宋_GB2312" w:cs="仿宋_GB2312"/>
          <w:b w:val="0"/>
          <w:bCs w:val="0"/>
          <w:sz w:val="32"/>
          <w:szCs w:val="32"/>
          <w:highlight w:val="none"/>
          <w:u w:val="none"/>
          <w:lang w:eastAsia="zh-CN"/>
        </w:rPr>
        <w:t>日（</w:t>
      </w:r>
      <w:r>
        <w:rPr>
          <w:rFonts w:hint="eastAsia" w:ascii="仿宋_GB2312" w:hAnsi="仿宋_GB2312" w:eastAsia="仿宋_GB2312" w:cs="仿宋_GB2312"/>
          <w:b w:val="0"/>
          <w:bCs w:val="0"/>
          <w:sz w:val="32"/>
          <w:szCs w:val="32"/>
          <w:highlight w:val="none"/>
          <w:u w:val="none"/>
          <w:lang w:val="en-US" w:eastAsia="zh-CN"/>
        </w:rPr>
        <w:t>16</w:t>
      </w:r>
      <w:r>
        <w:rPr>
          <w:rFonts w:hint="eastAsia" w:ascii="仿宋_GB2312" w:hAnsi="仿宋_GB2312" w:eastAsia="仿宋_GB2312" w:cs="仿宋_GB2312"/>
          <w:b w:val="0"/>
          <w:bCs w:val="0"/>
          <w:sz w:val="32"/>
          <w:szCs w:val="32"/>
          <w:highlight w:val="none"/>
          <w:u w:val="none"/>
          <w:lang w:eastAsia="zh-CN"/>
        </w:rPr>
        <w:t>时</w:t>
      </w:r>
      <w:r>
        <w:rPr>
          <w:rFonts w:hint="eastAsia" w:ascii="仿宋_GB2312" w:hAnsi="仿宋_GB2312" w:eastAsia="仿宋_GB2312" w:cs="仿宋_GB2312"/>
          <w:b w:val="0"/>
          <w:bCs w:val="0"/>
          <w:sz w:val="32"/>
          <w:szCs w:val="32"/>
          <w:highlight w:val="none"/>
          <w:u w:val="none"/>
          <w:lang w:val="en-US" w:eastAsia="zh-CN"/>
        </w:rPr>
        <w:t>30</w:t>
      </w:r>
      <w:r>
        <w:rPr>
          <w:rFonts w:hint="eastAsia" w:ascii="仿宋_GB2312" w:hAnsi="仿宋_GB2312" w:eastAsia="仿宋_GB2312" w:cs="仿宋_GB2312"/>
          <w:b w:val="0"/>
          <w:bCs w:val="0"/>
          <w:sz w:val="32"/>
          <w:szCs w:val="32"/>
          <w:highlight w:val="none"/>
          <w:u w:val="none"/>
          <w:lang w:eastAsia="zh-CN"/>
        </w:rPr>
        <w:t>分）对</w:t>
      </w:r>
      <w:r>
        <w:rPr>
          <w:rFonts w:hint="eastAsia" w:ascii="仿宋_GB2312" w:hAnsi="仿宋_GB2312" w:eastAsia="仿宋_GB2312" w:cs="仿宋_GB2312"/>
          <w:b w:val="0"/>
          <w:bCs w:val="0"/>
          <w:sz w:val="32"/>
          <w:szCs w:val="32"/>
          <w:highlight w:val="none"/>
          <w:u w:val="none"/>
          <w:lang w:val="en-US" w:eastAsia="zh-CN"/>
        </w:rPr>
        <w:t>你单位</w:t>
      </w:r>
      <w:r>
        <w:rPr>
          <w:rFonts w:hint="eastAsia" w:ascii="仿宋_GB2312" w:hAnsi="仿宋_GB2312" w:eastAsia="仿宋_GB2312" w:cs="仿宋_GB2312"/>
          <w:b w:val="0"/>
          <w:bCs w:val="0"/>
          <w:sz w:val="32"/>
          <w:szCs w:val="32"/>
          <w:highlight w:val="none"/>
          <w:u w:val="none"/>
          <w:lang w:eastAsia="zh-CN"/>
        </w:rPr>
        <w:t>生产经营场所和货物存放地、货物托管处等</w:t>
      </w:r>
      <w:r>
        <w:rPr>
          <w:rFonts w:hint="eastAsia" w:ascii="仿宋_GB2312" w:hAnsi="仿宋_GB2312" w:eastAsia="仿宋_GB2312" w:cs="仿宋_GB2312"/>
          <w:b w:val="0"/>
          <w:bCs w:val="0"/>
          <w:sz w:val="32"/>
          <w:szCs w:val="32"/>
          <w:highlight w:val="none"/>
          <w:u w:val="none"/>
          <w:lang w:val="en-US" w:eastAsia="zh-CN"/>
        </w:rPr>
        <w:t>2026</w:t>
      </w:r>
      <w:r>
        <w:rPr>
          <w:rFonts w:hint="eastAsia" w:ascii="仿宋_GB2312" w:hAnsi="仿宋_GB2312" w:eastAsia="仿宋_GB2312" w:cs="仿宋_GB2312"/>
          <w:b w:val="0"/>
          <w:bCs w:val="0"/>
          <w:sz w:val="32"/>
          <w:szCs w:val="32"/>
          <w:highlight w:val="none"/>
          <w:u w:val="none"/>
          <w:lang w:eastAsia="zh-CN"/>
        </w:rPr>
        <w:t>年</w:t>
      </w:r>
      <w:r>
        <w:rPr>
          <w:rFonts w:hint="eastAsia" w:ascii="仿宋_GB2312" w:hAnsi="仿宋_GB2312" w:eastAsia="仿宋_GB2312" w:cs="仿宋_GB2312"/>
          <w:b w:val="0"/>
          <w:bCs w:val="0"/>
          <w:sz w:val="32"/>
          <w:szCs w:val="32"/>
          <w:highlight w:val="none"/>
          <w:u w:val="none"/>
          <w:lang w:val="en-US" w:eastAsia="zh-CN"/>
        </w:rPr>
        <w:t>4</w:t>
      </w:r>
      <w:r>
        <w:rPr>
          <w:rFonts w:hint="eastAsia" w:ascii="仿宋_GB2312" w:hAnsi="仿宋_GB2312" w:eastAsia="仿宋_GB2312" w:cs="仿宋_GB2312"/>
          <w:b w:val="0"/>
          <w:bCs w:val="0"/>
          <w:sz w:val="32"/>
          <w:szCs w:val="32"/>
          <w:highlight w:val="none"/>
          <w:u w:val="none"/>
          <w:lang w:eastAsia="zh-CN"/>
        </w:rPr>
        <w:t>月</w:t>
      </w:r>
      <w:r>
        <w:rPr>
          <w:rFonts w:hint="eastAsia" w:ascii="仿宋_GB2312" w:hAnsi="仿宋_GB2312" w:eastAsia="仿宋_GB2312" w:cs="仿宋_GB2312"/>
          <w:b w:val="0"/>
          <w:bCs w:val="0"/>
          <w:sz w:val="32"/>
          <w:szCs w:val="32"/>
          <w:highlight w:val="none"/>
          <w:u w:val="none"/>
          <w:lang w:val="en-US" w:eastAsia="zh-CN"/>
        </w:rPr>
        <w:t>15</w:t>
      </w:r>
      <w:r>
        <w:rPr>
          <w:rFonts w:hint="eastAsia" w:ascii="仿宋_GB2312" w:hAnsi="仿宋_GB2312" w:eastAsia="仿宋_GB2312" w:cs="仿宋_GB2312"/>
          <w:b w:val="0"/>
          <w:bCs w:val="0"/>
          <w:sz w:val="32"/>
          <w:szCs w:val="32"/>
          <w:highlight w:val="none"/>
          <w:u w:val="none"/>
          <w:lang w:eastAsia="zh-CN"/>
        </w:rPr>
        <w:t>日至</w:t>
      </w:r>
      <w:r>
        <w:rPr>
          <w:rFonts w:hint="eastAsia" w:ascii="仿宋_GB2312" w:hAnsi="仿宋_GB2312" w:eastAsia="仿宋_GB2312" w:cs="仿宋_GB2312"/>
          <w:b w:val="0"/>
          <w:bCs w:val="0"/>
          <w:sz w:val="32"/>
          <w:szCs w:val="32"/>
          <w:highlight w:val="none"/>
          <w:u w:val="none"/>
          <w:lang w:val="en-US" w:eastAsia="zh-CN"/>
        </w:rPr>
        <w:t>2026</w:t>
      </w:r>
      <w:r>
        <w:rPr>
          <w:rFonts w:hint="eastAsia" w:ascii="仿宋_GB2312" w:hAnsi="仿宋_GB2312" w:eastAsia="仿宋_GB2312" w:cs="仿宋_GB2312"/>
          <w:b w:val="0"/>
          <w:bCs w:val="0"/>
          <w:sz w:val="32"/>
          <w:szCs w:val="32"/>
          <w:highlight w:val="none"/>
          <w:u w:val="none"/>
          <w:lang w:eastAsia="zh-CN"/>
        </w:rPr>
        <w:t>年</w:t>
      </w:r>
      <w:r>
        <w:rPr>
          <w:rFonts w:hint="eastAsia" w:ascii="仿宋_GB2312" w:hAnsi="仿宋_GB2312" w:eastAsia="仿宋_GB2312" w:cs="仿宋_GB2312"/>
          <w:b w:val="0"/>
          <w:bCs w:val="0"/>
          <w:sz w:val="32"/>
          <w:szCs w:val="32"/>
          <w:highlight w:val="none"/>
          <w:u w:val="none"/>
          <w:lang w:val="en-US" w:eastAsia="zh-CN"/>
        </w:rPr>
        <w:t>5</w:t>
      </w:r>
      <w:r>
        <w:rPr>
          <w:rFonts w:hint="eastAsia" w:ascii="仿宋_GB2312" w:hAnsi="仿宋_GB2312" w:eastAsia="仿宋_GB2312" w:cs="仿宋_GB2312"/>
          <w:b w:val="0"/>
          <w:bCs w:val="0"/>
          <w:sz w:val="32"/>
          <w:szCs w:val="32"/>
          <w:highlight w:val="none"/>
          <w:u w:val="none"/>
          <w:lang w:eastAsia="zh-CN"/>
        </w:rPr>
        <w:t>月</w:t>
      </w:r>
      <w:r>
        <w:rPr>
          <w:rFonts w:hint="eastAsia" w:ascii="仿宋_GB2312" w:hAnsi="仿宋_GB2312" w:eastAsia="仿宋_GB2312" w:cs="仿宋_GB2312"/>
          <w:b w:val="0"/>
          <w:bCs w:val="0"/>
          <w:sz w:val="32"/>
          <w:szCs w:val="32"/>
          <w:highlight w:val="none"/>
          <w:u w:val="none"/>
          <w:lang w:val="en-US" w:eastAsia="zh-CN"/>
        </w:rPr>
        <w:t>31</w:t>
      </w:r>
      <w:r>
        <w:rPr>
          <w:rFonts w:hint="eastAsia" w:ascii="仿宋_GB2312" w:hAnsi="仿宋_GB2312" w:eastAsia="仿宋_GB2312" w:cs="仿宋_GB2312"/>
          <w:b w:val="0"/>
          <w:bCs w:val="0"/>
          <w:sz w:val="32"/>
          <w:szCs w:val="32"/>
          <w:highlight w:val="none"/>
          <w:u w:val="none"/>
          <w:lang w:eastAsia="zh-CN"/>
        </w:rPr>
        <w:t>日期间（如检查发现此期间以</w:t>
      </w:r>
      <w:r>
        <w:rPr>
          <w:rFonts w:hint="eastAsia" w:ascii="仿宋_GB2312" w:hAnsi="仿宋_GB2312" w:eastAsia="仿宋_GB2312" w:cs="仿宋_GB2312"/>
          <w:b w:val="0"/>
          <w:bCs w:val="0"/>
          <w:sz w:val="32"/>
          <w:szCs w:val="32"/>
          <w:highlight w:val="none"/>
        </w:rPr>
        <w:t>外明显的税收违法嫌疑或线索不受此限）涉税情况进行检查。届时请依法接受检查，如实反映情况，提供有关资料</w:t>
      </w:r>
      <w:r>
        <w:rPr>
          <w:rFonts w:hint="eastAsia" w:ascii="仿宋_GB2312" w:hAnsi="仿宋_GB2312" w:eastAsia="仿宋_GB2312" w:cs="仿宋_GB2312"/>
          <w:b w:val="0"/>
          <w:bCs w:val="0"/>
          <w:sz w:val="32"/>
          <w:szCs w:val="32"/>
          <w:highlight w:val="none"/>
          <w:lang w:eastAsia="zh-CN"/>
        </w:rPr>
        <w:t>（附</w:t>
      </w:r>
      <w:r>
        <w:rPr>
          <w:rFonts w:hint="eastAsia" w:ascii="仿宋_GB2312" w:hAnsi="仿宋_GB2312" w:eastAsia="仿宋_GB2312" w:cs="仿宋_GB2312"/>
          <w:b w:val="0"/>
          <w:bCs w:val="0"/>
          <w:color w:val="auto"/>
          <w:sz w:val="32"/>
          <w:szCs w:val="32"/>
          <w:highlight w:val="none"/>
          <w:u w:val="none" w:color="auto"/>
          <w:lang w:val="en-US" w:eastAsia="zh-CN"/>
        </w:rPr>
        <w:t>材料、物品清单</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rPr>
        <w:t>。</w:t>
      </w:r>
      <w:r>
        <w:rPr>
          <w:rFonts w:hint="eastAsia" w:ascii="仿宋_GB2312" w:hAnsi="仿宋_GB2312" w:eastAsia="仿宋_GB2312" w:cs="仿宋_GB2312"/>
          <w:b w:val="0"/>
          <w:bCs w:val="0"/>
          <w:color w:val="auto"/>
          <w:sz w:val="32"/>
          <w:szCs w:val="32"/>
          <w:highlight w:val="none"/>
          <w:lang w:val="en-US" w:eastAsia="zh-CN"/>
        </w:rPr>
        <w:t>如拒不配合检查，将依法承担法律责任。</w:t>
      </w:r>
    </w:p>
    <w:p w14:paraId="74AAC675">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仿宋_GB2312" w:hAnsi="仿宋_GB2312" w:eastAsia="仿宋_GB2312" w:cs="仿宋_GB2312"/>
          <w:color w:val="FF0000"/>
          <w:sz w:val="32"/>
          <w:szCs w:val="32"/>
          <w:highlight w:val="none"/>
        </w:rPr>
      </w:pPr>
      <w:r>
        <w:rPr>
          <w:rFonts w:hint="eastAsia" w:ascii="仿宋_GB2312" w:hAnsi="仿宋_GB2312" w:eastAsia="仿宋_GB2312" w:cs="仿宋_GB2312"/>
          <w:b w:val="0"/>
          <w:bCs w:val="0"/>
          <w:color w:val="auto"/>
          <w:sz w:val="32"/>
          <w:szCs w:val="32"/>
          <w:highlight w:val="none"/>
        </w:rPr>
        <w:t>联系人、联系方式：</w:t>
      </w:r>
      <w:r>
        <w:rPr>
          <w:rFonts w:hint="eastAsia" w:ascii="仿宋_GB2312" w:hAnsi="仿宋_GB2312" w:eastAsia="仿宋_GB2312" w:cs="仿宋_GB2312"/>
          <w:b w:val="0"/>
          <w:bCs w:val="0"/>
          <w:color w:val="auto"/>
          <w:sz w:val="32"/>
          <w:szCs w:val="32"/>
          <w:highlight w:val="none"/>
          <w:lang w:val="en-US" w:eastAsia="zh-CN"/>
        </w:rPr>
        <w:t>刘思奇 0990-6231008</w:t>
      </w:r>
      <w:r>
        <w:rPr>
          <w:rFonts w:hint="eastAsia" w:ascii="仿宋_GB2312" w:hAnsi="仿宋_GB2312" w:eastAsia="仿宋_GB2312" w:cs="仿宋_GB2312"/>
          <w:b w:val="0"/>
          <w:bCs w:val="0"/>
          <w:color w:val="auto"/>
          <w:sz w:val="32"/>
          <w:szCs w:val="32"/>
          <w:highlight w:val="none"/>
        </w:rPr>
        <w:t xml:space="preserve"> </w:t>
      </w:r>
      <w:r>
        <w:rPr>
          <w:rFonts w:hint="eastAsia" w:ascii="仿宋_GB2312" w:hAnsi="仿宋_GB2312" w:eastAsia="仿宋_GB2312" w:cs="仿宋_GB2312"/>
          <w:b w:val="0"/>
          <w:bCs w:val="0"/>
          <w:color w:val="FF0000"/>
          <w:sz w:val="32"/>
          <w:szCs w:val="32"/>
          <w:highlight w:val="none"/>
        </w:rPr>
        <w:t xml:space="preserve">             </w:t>
      </w:r>
      <w:r>
        <w:rPr>
          <w:rFonts w:hint="eastAsia" w:ascii="仿宋_GB2312" w:hAnsi="仿宋_GB2312" w:eastAsia="仿宋_GB2312" w:cs="仿宋_GB2312"/>
          <w:color w:val="FF0000"/>
          <w:sz w:val="32"/>
          <w:szCs w:val="32"/>
          <w:highlight w:val="none"/>
        </w:rPr>
        <w:t xml:space="preserve">            </w:t>
      </w:r>
    </w:p>
    <w:p w14:paraId="18AD30D0">
      <w:pPr>
        <w:pStyle w:val="2"/>
        <w:rPr>
          <w:rFonts w:hint="eastAsia" w:ascii="仿宋_GB2312" w:hAnsi="仿宋_GB2312" w:eastAsia="仿宋_GB2312" w:cs="仿宋_GB2312"/>
          <w:color w:val="FF0000"/>
          <w:sz w:val="32"/>
          <w:szCs w:val="32"/>
          <w:highlight w:val="none"/>
        </w:rPr>
      </w:pPr>
    </w:p>
    <w:p w14:paraId="6903200C">
      <w:pPr>
        <w:rPr>
          <w:rFonts w:hint="eastAsia"/>
        </w:rPr>
      </w:pPr>
    </w:p>
    <w:p w14:paraId="50D379D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国家税务总局克拉玛依市税务局稽查局</w:t>
      </w:r>
    </w:p>
    <w:p w14:paraId="23F2DEA2">
      <w:pPr>
        <w:keepNext w:val="0"/>
        <w:keepLines w:val="0"/>
        <w:pageBreakBefore w:val="0"/>
        <w:widowControl w:val="0"/>
        <w:kinsoku/>
        <w:wordWrap/>
        <w:overflowPunct/>
        <w:topLinePunct w:val="0"/>
        <w:autoSpaceDE/>
        <w:autoSpaceDN/>
        <w:bidi w:val="0"/>
        <w:adjustRightInd/>
        <w:snapToGrid/>
        <w:spacing w:line="560" w:lineRule="exact"/>
        <w:ind w:firstLine="1280" w:firstLineChars="400"/>
        <w:jc w:val="cente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 xml:space="preserve">                2026</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val="en-US" w:eastAsia="zh-CN"/>
        </w:rPr>
        <w:t>7</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30</w:t>
      </w:r>
      <w:r>
        <w:rPr>
          <w:rFonts w:hint="eastAsia" w:ascii="仿宋_GB2312" w:hAnsi="仿宋_GB2312" w:eastAsia="仿宋_GB2312" w:cs="仿宋_GB2312"/>
          <w:sz w:val="32"/>
          <w:szCs w:val="32"/>
          <w:highlight w:val="none"/>
        </w:rPr>
        <w:t>日</w:t>
      </w:r>
    </w:p>
    <w:p w14:paraId="49231041">
      <w:pPr>
        <w:jc w:val="center"/>
      </w:pPr>
      <w:r>
        <w:rPr>
          <w:rFonts w:hint="eastAsia" w:ascii="仿宋_GB2312" w:hAnsi="仿宋_GB2312" w:eastAsia="仿宋_GB2312" w:cs="仿宋_GB2312"/>
          <w:sz w:val="32"/>
          <w:szCs w:val="32"/>
          <w:highlight w:val="none"/>
          <w:lang w:eastAsia="zh-CN"/>
        </w:rPr>
        <w:drawing>
          <wp:inline distT="0" distB="0" distL="114300" distR="114300">
            <wp:extent cx="1440815" cy="1475740"/>
            <wp:effectExtent l="0" t="0" r="6985" b="10160"/>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4"/>
                    <a:stretch>
                      <a:fillRect/>
                    </a:stretch>
                  </pic:blipFill>
                  <pic:spPr>
                    <a:xfrm>
                      <a:off x="0" y="0"/>
                      <a:ext cx="1440815" cy="1475740"/>
                    </a:xfrm>
                    <a:prstGeom prst="rect">
                      <a:avLst/>
                    </a:prstGeom>
                  </pic:spPr>
                </pic:pic>
              </a:graphicData>
            </a:graphic>
          </wp:inline>
        </w:drawing>
      </w:r>
    </w:p>
    <w:p w14:paraId="0332C7F3">
      <w:pPr>
        <w:keepNext w:val="0"/>
        <w:keepLines w:val="0"/>
        <w:pageBreakBefore w:val="0"/>
        <w:widowControl w:val="0"/>
        <w:kinsoku/>
        <w:wordWrap/>
        <w:overflowPunct/>
        <w:topLinePunct w:val="0"/>
        <w:autoSpaceDE/>
        <w:autoSpaceDN/>
        <w:bidi w:val="0"/>
        <w:adjustRightInd/>
        <w:snapToGrid/>
        <w:spacing w:line="560" w:lineRule="exact"/>
        <w:ind w:firstLine="643" w:firstLineChars="200"/>
        <w:rPr>
          <w:rFonts w:hint="eastAsia" w:ascii="仿宋_GB2312" w:hAnsi="仿宋_GB2312" w:eastAsia="仿宋_GB2312" w:cs="仿宋_GB2312"/>
          <w:b w:val="0"/>
          <w:bCs w:val="0"/>
          <w:color w:val="auto"/>
          <w:sz w:val="32"/>
          <w:szCs w:val="32"/>
          <w:highlight w:val="none"/>
          <w:lang w:eastAsia="zh-CN"/>
        </w:rPr>
      </w:pPr>
      <w:r>
        <w:rPr>
          <w:rFonts w:hint="eastAsia" w:ascii="仿宋_GB2312" w:hAnsi="仿宋_GB2312" w:eastAsia="仿宋_GB2312" w:cs="仿宋_GB2312"/>
          <w:b/>
          <w:bCs/>
          <w:color w:val="auto"/>
          <w:sz w:val="32"/>
          <w:szCs w:val="32"/>
          <w:highlight w:val="none"/>
          <w:lang w:eastAsia="zh-CN"/>
        </w:rPr>
        <w:t>告知</w:t>
      </w:r>
      <w:r>
        <w:rPr>
          <w:rFonts w:hint="eastAsia" w:ascii="仿宋_GB2312" w:hAnsi="仿宋_GB2312" w:eastAsia="仿宋_GB2312" w:cs="仿宋_GB2312"/>
          <w:b w:val="0"/>
          <w:bCs w:val="0"/>
          <w:color w:val="auto"/>
          <w:sz w:val="32"/>
          <w:szCs w:val="32"/>
          <w:highlight w:val="none"/>
          <w:lang w:eastAsia="zh-CN"/>
        </w:rPr>
        <w:t>：税务机关派出的人员进行税务检查时，应当出示税务检查证和税务检查通知书，并有责任为被检查人保守秘密；未出示税务检查证和税务检查通知书的，被检查人有权拒绝检查。</w:t>
      </w:r>
    </w:p>
    <w:p w14:paraId="1793B90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仿宋_GB2312" w:hAnsi="仿宋_GB2312" w:eastAsia="仿宋_GB2312" w:cs="仿宋_GB2312"/>
          <w:b w:val="0"/>
          <w:bCs w:val="0"/>
          <w:color w:val="auto"/>
          <w:sz w:val="32"/>
          <w:szCs w:val="32"/>
          <w:highlight w:val="none"/>
          <w:lang w:eastAsia="zh-CN"/>
        </w:rPr>
      </w:pPr>
      <w:r>
        <w:rPr>
          <w:rFonts w:hint="eastAsia" w:ascii="仿宋_GB2312" w:hAnsi="仿宋_GB2312" w:eastAsia="仿宋_GB2312" w:cs="仿宋_GB2312"/>
          <w:b w:val="0"/>
          <w:bCs w:val="0"/>
          <w:color w:val="auto"/>
          <w:sz w:val="32"/>
          <w:szCs w:val="32"/>
          <w:highlight w:val="none"/>
          <w:lang w:eastAsia="zh-CN"/>
        </w:rPr>
        <w:t>如被检查人认为税务检查人员与检查工作有直接利害关系或者有其他关系可能影响公正执法，可以申请回避。是否同意回避的决定将在3日内作出并告知，回避申请审查期间不停止税务检查。</w:t>
      </w:r>
    </w:p>
    <w:p w14:paraId="7EAF8F8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lang w:eastAsia="zh-CN"/>
        </w:rPr>
      </w:pPr>
      <w:r>
        <w:rPr>
          <w:rFonts w:hint="eastAsia" w:ascii="仿宋_GB2312" w:hAnsi="仿宋_GB2312" w:eastAsia="仿宋_GB2312" w:cs="仿宋_GB2312"/>
          <w:b w:val="0"/>
          <w:bCs w:val="0"/>
          <w:color w:val="auto"/>
          <w:sz w:val="32"/>
          <w:szCs w:val="32"/>
          <w:highlight w:val="none"/>
          <w:lang w:eastAsia="zh-CN"/>
        </w:rPr>
        <w:t>被检查人有权监督税务检查工作全过程，如认为税务检查侵犯其合法权益，有权投诉举报、依法获得救济。</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1947CF"/>
    <w:rsid w:val="081C0C35"/>
    <w:rsid w:val="0B6013B5"/>
    <w:rsid w:val="0BAA20A7"/>
    <w:rsid w:val="0FDEB142"/>
    <w:rsid w:val="4A1947CF"/>
    <w:rsid w:val="6FFF2061"/>
    <w:rsid w:val="98EFD866"/>
    <w:rsid w:val="CBF89FEF"/>
    <w:rsid w:val="FDFB59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4"/>
    <w:next w:val="1"/>
    <w:qFormat/>
    <w:uiPriority w:val="0"/>
    <w:pPr>
      <w:keepNext/>
      <w:keepLines/>
      <w:spacing w:before="340" w:beforeLines="0" w:beforeAutospacing="0" w:after="330" w:afterLines="0" w:afterAutospacing="0" w:line="576" w:lineRule="auto"/>
      <w:outlineLvl w:val="0"/>
    </w:pPr>
    <w:rPr>
      <w:rFonts w:ascii="Arial" w:hAnsi="Arial" w:eastAsia="方正小标宋简体"/>
      <w:kern w:val="44"/>
      <w:sz w:val="5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customStyle="1" w:styleId="2">
    <w:name w:val="TOC2"/>
    <w:basedOn w:val="1"/>
    <w:next w:val="1"/>
    <w:qFormat/>
    <w:uiPriority w:val="0"/>
    <w:pPr>
      <w:ind w:left="420" w:leftChars="200"/>
      <w:textAlignment w:val="baseline"/>
    </w:pPr>
  </w:style>
  <w:style w:type="paragraph" w:styleId="4">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5">
    <w:name w:val="Body Text"/>
    <w:basedOn w:val="1"/>
    <w:next w:val="6"/>
    <w:qFormat/>
    <w:uiPriority w:val="0"/>
    <w:pPr>
      <w:spacing w:after="120"/>
    </w:pPr>
  </w:style>
  <w:style w:type="paragraph" w:styleId="6">
    <w:name w:val="Body Text Indent"/>
    <w:basedOn w:val="1"/>
    <w:next w:val="7"/>
    <w:unhideWhenUsed/>
    <w:qFormat/>
    <w:uiPriority w:val="99"/>
    <w:pPr>
      <w:spacing w:after="120"/>
      <w:ind w:left="420" w:leftChars="200"/>
    </w:pPr>
  </w:style>
  <w:style w:type="paragraph" w:styleId="7">
    <w:name w:val="Body Text Indent 2"/>
    <w:basedOn w:val="1"/>
    <w:qFormat/>
    <w:uiPriority w:val="0"/>
    <w:pPr>
      <w:spacing w:after="120" w:line="480" w:lineRule="auto"/>
      <w:ind w:left="420" w:left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497</Words>
  <Characters>565</Characters>
  <Lines>0</Lines>
  <Paragraphs>0</Paragraphs>
  <TotalTime>0</TotalTime>
  <ScaleCrop>false</ScaleCrop>
  <LinksUpToDate>false</LinksUpToDate>
  <CharactersWithSpaces>608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2018-07-12T23:11:00Z</dcterms:created>
  <dc:creator>d</dc:creator>
  <cp:lastModifiedBy>Yyk</cp:lastModifiedBy>
  <dcterms:modified xsi:type="dcterms:W3CDTF">2026-08-13T10:21:07Z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E5A16C938145AAA7E28E7A6A800C75FE_42</vt:lpwstr>
  </property>
  <property fmtid="{D5CDD505-2E9C-101B-9397-08002B2CF9AE}" pid="4" name="KSOTemplateDocerSaveRecord">
    <vt:lpwstr>eyJoZGlkIjoiMjA0ZDc2YWEwZmU5ZWQ5ZGNkZDI4NjQ4Zjk2ZTQzYjMiLCJ1c2VySWQiOiIxMTQ3MTkzOTE1In0=</vt:lpwstr>
  </property>
</Properties>
</file>