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color w:val="auto"/>
          <w:sz w:val="24"/>
          <w:highlight w:val="none"/>
        </w:rPr>
      </w:pPr>
      <w:r>
        <w:rPr>
          <w:rFonts w:hint="eastAsia" w:ascii="宋体" w:hAnsi="宋体" w:eastAsia="宋体" w:cs="宋体"/>
          <w:color w:val="auto"/>
          <w:kern w:val="2"/>
          <w:sz w:val="24"/>
          <w:szCs w:val="24"/>
          <w:highlight w:val="none"/>
          <w:lang w:val="en-US" w:eastAsia="zh-CN" w:bidi="ar-SA"/>
        </w:rPr>
        <w:object>
          <v:shape id="_x0000_i1025" o:spt="75" type="#_x0000_t75" style="height:33pt;width:54.75pt;" o:ole="t" filled="f" o:preferrelative="t" stroked="f" coordsize="21600,21600">
            <v:path/>
            <v:fill on="f" focussize="0,0"/>
            <v:stroke on="f"/>
            <v:imagedata r:id="rId14" blacklevel="0f" o:title=""/>
            <o:lock v:ext="edit" aspectratio="t"/>
            <w10:wrap type="none"/>
            <w10:anchorlock/>
          </v:shape>
          <o:OLEObject Type="Embed" ProgID="" ShapeID="_x0000_i1025" DrawAspect="Content" ObjectID="_1468075725" r:id="rId13">
            <o:LockedField>false</o:LockedField>
          </o:OLEObject>
        </w:object>
      </w:r>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新疆天麒</w:t>
      </w:r>
    </w:p>
    <w:p>
      <w:pPr>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cs="宋体"/>
          <w:b/>
          <w:color w:val="auto"/>
          <w:sz w:val="84"/>
          <w:szCs w:val="84"/>
          <w:highlight w:val="none"/>
          <w:lang w:val="en-US" w:eastAsia="zh-CN"/>
        </w:rPr>
        <w:t>克拉玛依市税务局电梯更换项目</w:t>
      </w:r>
    </w:p>
    <w:p>
      <w:pPr>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48"/>
          <w:szCs w:val="48"/>
          <w:highlight w:val="none"/>
        </w:rPr>
        <w:br w:type="textWrapping"/>
      </w:r>
      <w:bookmarkStart w:id="0" w:name="_Toc225166185"/>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竞争性磋商</w:t>
      </w:r>
      <w:r>
        <w:rPr>
          <w:rFonts w:hint="eastAsia" w:ascii="宋体" w:hAnsi="宋体" w:eastAsia="宋体" w:cs="宋体"/>
          <w:b/>
          <w:color w:val="auto"/>
          <w:sz w:val="72"/>
          <w:szCs w:val="72"/>
          <w:highlight w:val="none"/>
        </w:rPr>
        <w:t>文件</w:t>
      </w:r>
      <w:bookmarkEnd w:id="0"/>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采购文件编号：</w:t>
      </w:r>
      <w:r>
        <w:rPr>
          <w:rFonts w:hint="eastAsia" w:ascii="宋体" w:hAnsi="宋体" w:eastAsia="宋体" w:cs="宋体"/>
          <w:b/>
          <w:color w:val="auto"/>
          <w:sz w:val="28"/>
          <w:szCs w:val="28"/>
          <w:highlight w:val="none"/>
          <w:lang w:eastAsia="zh-CN"/>
        </w:rPr>
        <w:t>KSSWJ（ZC）</w:t>
      </w:r>
      <w:r>
        <w:rPr>
          <w:rFonts w:hint="eastAsia" w:ascii="宋体" w:hAnsi="宋体" w:cs="宋体"/>
          <w:b/>
          <w:color w:val="auto"/>
          <w:sz w:val="28"/>
          <w:szCs w:val="28"/>
          <w:highlight w:val="none"/>
          <w:lang w:eastAsia="zh-CN"/>
        </w:rPr>
        <w:t>2024-0</w:t>
      </w:r>
      <w:r>
        <w:rPr>
          <w:rFonts w:hint="eastAsia" w:ascii="宋体" w:hAnsi="宋体" w:cs="宋体"/>
          <w:b/>
          <w:color w:val="auto"/>
          <w:sz w:val="28"/>
          <w:szCs w:val="28"/>
          <w:highlight w:val="none"/>
          <w:lang w:val="en-US" w:eastAsia="zh-CN"/>
        </w:rPr>
        <w:t>1</w:t>
      </w:r>
    </w:p>
    <w:p>
      <w:pPr>
        <w:spacing w:line="360" w:lineRule="auto"/>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国家税务总局克拉玛依市税务局</w:t>
      </w:r>
    </w:p>
    <w:p>
      <w:pPr>
        <w:spacing w:line="360" w:lineRule="auto"/>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采购代理机构：新疆天麒工程项目管理咨询有限责任公司</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r>
        <w:rPr>
          <w:rFonts w:hint="eastAsia" w:ascii="宋体" w:hAnsi="宋体" w:cs="宋体"/>
          <w:b/>
          <w:color w:val="auto"/>
          <w:sz w:val="30"/>
          <w:szCs w:val="30"/>
          <w:highlight w:val="none"/>
          <w:lang w:eastAsia="zh-CN"/>
        </w:rPr>
        <w:t>〇</w:t>
      </w:r>
      <w:r>
        <w:rPr>
          <w:rFonts w:hint="eastAsia" w:ascii="宋体" w:hAnsi="宋体" w:eastAsia="宋体" w:cs="宋体"/>
          <w:b/>
          <w:color w:val="auto"/>
          <w:sz w:val="30"/>
          <w:szCs w:val="30"/>
          <w:highlight w:val="none"/>
          <w:lang w:eastAsia="zh-CN"/>
        </w:rPr>
        <w:t>二</w:t>
      </w:r>
      <w:r>
        <w:rPr>
          <w:rFonts w:hint="eastAsia" w:ascii="宋体" w:hAnsi="宋体" w:cs="宋体"/>
          <w:b/>
          <w:color w:val="auto"/>
          <w:sz w:val="30"/>
          <w:szCs w:val="30"/>
          <w:highlight w:val="none"/>
          <w:lang w:eastAsia="zh-CN"/>
        </w:rPr>
        <w:t>四</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eastAsia="zh-CN"/>
        </w:rPr>
        <w:t>一</w:t>
      </w:r>
      <w:r>
        <w:rPr>
          <w:rFonts w:hint="eastAsia" w:ascii="宋体" w:hAnsi="宋体" w:eastAsia="宋体" w:cs="宋体"/>
          <w:b/>
          <w:color w:val="auto"/>
          <w:sz w:val="30"/>
          <w:szCs w:val="30"/>
          <w:highlight w:val="none"/>
        </w:rPr>
        <w:t>月</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总目录</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采购公告--------------------------------------第1页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供应商须知------------------------------------第</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第三章  </w:t>
      </w:r>
      <w:r>
        <w:rPr>
          <w:rFonts w:hint="eastAsia" w:ascii="宋体" w:hAnsi="宋体" w:eastAsia="宋体" w:cs="宋体"/>
          <w:bCs/>
          <w:color w:val="auto"/>
          <w:sz w:val="28"/>
          <w:szCs w:val="28"/>
          <w:highlight w:val="none"/>
        </w:rPr>
        <w:t>项目采购需求及合同主要条款</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第四章  响应文件格式-----------------------------------第</w:t>
      </w:r>
      <w:r>
        <w:rPr>
          <w:rFonts w:hint="eastAsia" w:ascii="宋体" w:hAnsi="宋体" w:cs="宋体"/>
          <w:color w:val="auto"/>
          <w:sz w:val="28"/>
          <w:szCs w:val="28"/>
          <w:highlight w:val="none"/>
          <w:lang w:val="en-US" w:eastAsia="zh-CN"/>
        </w:rPr>
        <w:t>33</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eastAsia="zh-CN"/>
        </w:rPr>
        <w:t>评审标准</w:t>
      </w:r>
      <w:r>
        <w:rPr>
          <w:rFonts w:hint="eastAsia" w:ascii="宋体" w:hAnsi="宋体" w:eastAsia="宋体" w:cs="宋体"/>
          <w:color w:val="auto"/>
          <w:sz w:val="28"/>
          <w:szCs w:val="28"/>
          <w:highlight w:val="none"/>
        </w:rPr>
        <w:t>（综合评分法）-------------------------第</w:t>
      </w:r>
      <w:r>
        <w:rPr>
          <w:rFonts w:hint="eastAsia" w:ascii="宋体" w:hAnsi="宋体" w:cs="宋体"/>
          <w:color w:val="auto"/>
          <w:sz w:val="28"/>
          <w:szCs w:val="28"/>
          <w:highlight w:val="none"/>
          <w:lang w:val="en-US" w:eastAsia="zh-CN"/>
        </w:rPr>
        <w:t>48</w:t>
      </w:r>
      <w:r>
        <w:rPr>
          <w:rFonts w:hint="eastAsia" w:ascii="宋体" w:hAnsi="宋体" w:eastAsia="宋体" w:cs="宋体"/>
          <w:color w:val="auto"/>
          <w:sz w:val="28"/>
          <w:szCs w:val="28"/>
          <w:highlight w:val="none"/>
        </w:rPr>
        <w:t>页</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5"/>
        <w:numPr>
          <w:ilvl w:val="0"/>
          <w:numId w:val="1"/>
        </w:numPr>
        <w:spacing w:line="280" w:lineRule="exact"/>
        <w:jc w:val="center"/>
        <w:rPr>
          <w:rFonts w:hint="eastAsia" w:ascii="宋体" w:hAnsi="宋体" w:eastAsia="宋体" w:cs="宋体"/>
          <w:bCs w:val="0"/>
          <w:color w:val="auto"/>
          <w:sz w:val="28"/>
          <w:szCs w:val="28"/>
          <w:highlight w:val="none"/>
        </w:rPr>
        <w:sectPr>
          <w:headerReference r:id="rId3" w:type="first"/>
          <w:footerReference r:id="rId5" w:type="first"/>
          <w:footerReference r:id="rId4" w:type="default"/>
          <w:pgSz w:w="11905" w:h="16838"/>
          <w:pgMar w:top="1440" w:right="1080" w:bottom="1440" w:left="1080" w:header="850" w:footer="850" w:gutter="0"/>
          <w:pgNumType w:start="1"/>
          <w:cols w:space="0" w:num="1"/>
          <w:rtlGutter w:val="0"/>
          <w:docGrid w:linePitch="354" w:charSpace="0"/>
        </w:sectPr>
      </w:pPr>
    </w:p>
    <w:p>
      <w:pPr>
        <w:pStyle w:val="5"/>
        <w:numPr>
          <w:ilvl w:val="0"/>
          <w:numId w:val="1"/>
        </w:numPr>
        <w:spacing w:line="280" w:lineRule="exact"/>
        <w:jc w:val="center"/>
        <w:rPr>
          <w:rFonts w:hint="eastAsia" w:ascii="宋体" w:hAnsi="宋体" w:eastAsia="宋体" w:cs="宋体"/>
          <w:bCs w:val="0"/>
          <w:color w:val="auto"/>
          <w:sz w:val="28"/>
          <w:szCs w:val="28"/>
          <w:highlight w:val="none"/>
        </w:rPr>
      </w:pPr>
      <w:bookmarkStart w:id="1" w:name="_Toc154996575"/>
      <w:r>
        <w:rPr>
          <w:rFonts w:hint="eastAsia" w:ascii="宋体" w:hAnsi="宋体" w:eastAsia="宋体" w:cs="宋体"/>
          <w:bCs w:val="0"/>
          <w:color w:val="auto"/>
          <w:sz w:val="28"/>
          <w:szCs w:val="28"/>
          <w:highlight w:val="none"/>
        </w:rPr>
        <w:t>采购公告</w:t>
      </w:r>
    </w:p>
    <w:tbl>
      <w:tblPr>
        <w:tblStyle w:val="59"/>
        <w:tblW w:w="9492"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2" w:type="dxa"/>
            <w:vAlign w:val="top"/>
          </w:tcPr>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克拉玛依市税务局电梯更换项目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highlight w:val="none"/>
              </w:rPr>
              <w:t>国家税务总局克拉玛依市税务局门户网站</w:t>
            </w:r>
            <w:r>
              <w:rPr>
                <w:rFonts w:hint="eastAsia" w:ascii="宋体" w:hAnsi="宋体" w:eastAsia="宋体" w:cs="宋体"/>
                <w:color w:val="auto"/>
                <w:sz w:val="24"/>
                <w:szCs w:val="24"/>
                <w:highlight w:val="none"/>
              </w:rPr>
              <w:t>获取采购文件，并于</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0（北京时间）前提交响应文件。</w:t>
            </w:r>
          </w:p>
        </w:tc>
      </w:tr>
    </w:tbl>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一、项目基本情况</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KSSWJ（ZC）</w:t>
      </w:r>
      <w:r>
        <w:rPr>
          <w:rFonts w:hint="eastAsia" w:cs="宋体"/>
          <w:color w:val="auto"/>
          <w:sz w:val="24"/>
          <w:szCs w:val="24"/>
          <w:highlight w:val="none"/>
          <w:lang w:eastAsia="zh-CN"/>
        </w:rPr>
        <w:t>2024-0</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克拉玛依市税务局电梯更换项目</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cs="宋体"/>
          <w:color w:val="auto"/>
          <w:sz w:val="24"/>
          <w:szCs w:val="24"/>
          <w:highlight w:val="none"/>
          <w:lang w:val="en-US" w:eastAsia="zh-CN"/>
        </w:rPr>
        <w:t>简易磋商</w:t>
      </w:r>
      <w:r>
        <w:rPr>
          <w:rFonts w:hint="eastAsia" w:ascii="宋体" w:hAnsi="宋体" w:eastAsia="宋体" w:cs="宋体"/>
          <w:color w:val="auto"/>
          <w:sz w:val="24"/>
          <w:szCs w:val="24"/>
          <w:highlight w:val="none"/>
        </w:rPr>
        <w:t> </w:t>
      </w:r>
    </w:p>
    <w:p>
      <w:pPr>
        <w:widowControl/>
        <w:wordWrap/>
        <w:adjustRightInd/>
        <w:snapToGrid/>
        <w:spacing w:line="360" w:lineRule="auto"/>
        <w:ind w:left="0" w:leftChars="0" w:right="0" w:firstLine="480" w:firstLineChars="200"/>
        <w:jc w:val="left"/>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kern w:val="0"/>
          <w:sz w:val="24"/>
          <w:szCs w:val="24"/>
          <w:highlight w:val="none"/>
          <w:lang w:val="en-US" w:eastAsia="zh-CN"/>
        </w:rPr>
        <w:t>980000.00</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cs="宋体"/>
          <w:color w:val="auto"/>
          <w:kern w:val="0"/>
          <w:sz w:val="24"/>
          <w:szCs w:val="24"/>
          <w:highlight w:val="none"/>
          <w:lang w:val="en-US" w:eastAsia="zh-CN"/>
        </w:rPr>
        <w:t>9800</w:t>
      </w:r>
      <w:r>
        <w:rPr>
          <w:rFonts w:hint="eastAsia" w:ascii="宋体" w:hAnsi="宋体" w:cs="宋体"/>
          <w:color w:val="auto"/>
          <w:kern w:val="0"/>
          <w:sz w:val="24"/>
          <w:szCs w:val="24"/>
          <w:highlight w:val="none"/>
          <w:lang w:val="en-US" w:eastAsia="zh-CN"/>
        </w:rPr>
        <w:t>00.00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widowControl/>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cs="宋体"/>
          <w:color w:val="auto"/>
          <w:kern w:val="0"/>
          <w:sz w:val="24"/>
          <w:szCs w:val="24"/>
          <w:highlight w:val="none"/>
          <w:lang w:val="en-US" w:eastAsia="zh-CN"/>
        </w:rPr>
        <w:t>9800</w:t>
      </w:r>
      <w:r>
        <w:rPr>
          <w:rFonts w:hint="eastAsia" w:ascii="宋体" w:hAnsi="宋体" w:cs="宋体"/>
          <w:color w:val="auto"/>
          <w:kern w:val="0"/>
          <w:sz w:val="24"/>
          <w:szCs w:val="24"/>
          <w:highlight w:val="none"/>
          <w:lang w:val="en-US" w:eastAsia="zh-CN"/>
        </w:rPr>
        <w:t>00.00</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cs="宋体"/>
          <w:color w:val="auto"/>
          <w:sz w:val="24"/>
          <w:szCs w:val="24"/>
          <w:highlight w:val="none"/>
          <w:lang w:val="en-US" w:eastAsia="zh-CN"/>
        </w:rPr>
        <w:t>台</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w:t>
      </w:r>
      <w:r>
        <w:rPr>
          <w:rFonts w:hint="eastAsia" w:cs="宋体"/>
          <w:color w:val="auto"/>
          <w:sz w:val="24"/>
          <w:szCs w:val="24"/>
          <w:highlight w:val="none"/>
          <w:lang w:val="en-US" w:eastAsia="zh-CN"/>
        </w:rPr>
        <w:t>电梯</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lang w:val="en-US" w:eastAsia="zh-CN"/>
        </w:rPr>
        <w:t>详见采购文件</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二、申请人的资格要求：</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具有中华人民共和国特种设备安装改造维修许可证B级及以上资质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三、获取采购文件</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日至</w:t>
      </w:r>
      <w:r>
        <w:rPr>
          <w:rFonts w:hint="eastAsia"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15</w:t>
      </w:r>
      <w:r>
        <w:rPr>
          <w:rFonts w:hint="eastAsia" w:ascii="宋体" w:hAnsi="宋体" w:eastAsia="宋体" w:cs="宋体"/>
          <w:color w:val="auto"/>
          <w:sz w:val="24"/>
          <w:szCs w:val="24"/>
          <w:highlight w:val="none"/>
        </w:rPr>
        <w:t>日，每天上午10:30至13:30，下午16:</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0至19:</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highlight w:val="none"/>
        </w:rPr>
        <w:t>国家税务总局克拉玛依市税务局门户网站</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方式：线</w:t>
      </w:r>
      <w:r>
        <w:rPr>
          <w:rFonts w:hint="eastAsia" w:cs="宋体"/>
          <w:color w:val="auto"/>
          <w:sz w:val="24"/>
          <w:szCs w:val="24"/>
          <w:highlight w:val="none"/>
          <w:lang w:val="en-US" w:eastAsia="zh-CN"/>
        </w:rPr>
        <w:t>上</w:t>
      </w:r>
      <w:r>
        <w:rPr>
          <w:rFonts w:hint="eastAsia" w:ascii="宋体" w:hAnsi="宋体" w:eastAsia="宋体" w:cs="宋体"/>
          <w:color w:val="auto"/>
          <w:sz w:val="24"/>
          <w:szCs w:val="24"/>
          <w:highlight w:val="none"/>
        </w:rPr>
        <w:t>获取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四、响应文件提交</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603781401@qq.com</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五、响应文件开启</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0（北京时间）</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地点：新疆天麒工程项目管理咨询有限责任公司一楼评标室（克拉玛依市通讯路44号）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六、公告期限</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七、其他补充事宜</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填写《供应商参加政府采购项目申请表》，</w:t>
      </w:r>
      <w:r>
        <w:rPr>
          <w:rFonts w:hint="eastAsia" w:cs="宋体"/>
          <w:color w:val="auto"/>
          <w:sz w:val="24"/>
          <w:szCs w:val="24"/>
          <w:highlight w:val="none"/>
          <w:lang w:val="en-US" w:eastAsia="zh-CN"/>
        </w:rPr>
        <w:t>在获取采购文件时间内</w:t>
      </w:r>
      <w:r>
        <w:rPr>
          <w:rFonts w:hint="eastAsia" w:ascii="宋体" w:hAnsi="宋体" w:eastAsia="宋体" w:cs="宋体"/>
          <w:color w:val="auto"/>
          <w:sz w:val="24"/>
          <w:szCs w:val="24"/>
          <w:highlight w:val="none"/>
        </w:rPr>
        <w:t xml:space="preserve">将《申请表》扫描件发送到邮箱：603781401@qq.com，邮件名称必须为：项目名称+项目编号+供应商名称，未提交申请表的供应商不得参加采购活动。申请表必须填写完整并加盖公章。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八、凡对本次招标提出询问，请按以下方式联系</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Style w:val="69"/>
          <w:rFonts w:hint="eastAsia" w:ascii="宋体" w:hAnsi="宋体" w:eastAsia="宋体" w:cs="宋体"/>
          <w:color w:val="auto"/>
          <w:sz w:val="24"/>
          <w:szCs w:val="24"/>
          <w:highlight w:val="none"/>
          <w:lang w:eastAsia="zh-CN"/>
        </w:rPr>
        <w:t>国家税务总局克拉玛依市税务局</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克拉玛依市迎宾路62号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Style w:val="63"/>
          <w:rFonts w:hint="eastAsia" w:ascii="宋体" w:hAnsi="宋体" w:eastAsia="宋体" w:cs="宋体"/>
          <w:b w:val="0"/>
          <w:bCs/>
          <w:color w:val="auto"/>
          <w:sz w:val="24"/>
          <w:szCs w:val="24"/>
          <w:highlight w:val="none"/>
        </w:rPr>
        <w:t>0990-622</w:t>
      </w:r>
      <w:r>
        <w:rPr>
          <w:rStyle w:val="63"/>
          <w:rFonts w:hint="eastAsia" w:cs="宋体"/>
          <w:b w:val="0"/>
          <w:bCs/>
          <w:color w:val="auto"/>
          <w:sz w:val="24"/>
          <w:szCs w:val="24"/>
          <w:highlight w:val="none"/>
          <w:lang w:val="en-US" w:eastAsia="zh-CN"/>
        </w:rPr>
        <w:t>3009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lang w:val="en-US" w:eastAsia="zh-CN"/>
        </w:rPr>
        <w:t xml:space="preserve">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称：新疆天麒工程项目管理咨询有限责任公司</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址：克拉玛依市通讯路44号</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联系方式：0990-6230002</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val="en-US" w:eastAsia="zh-CN"/>
        </w:rPr>
        <w:t>谢琳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（采购人）、姚磊</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于秀</w:t>
      </w:r>
      <w:r>
        <w:rPr>
          <w:rFonts w:hint="eastAsia" w:ascii="宋体" w:hAnsi="宋体" w:eastAsia="宋体" w:cs="宋体"/>
          <w:color w:val="auto"/>
          <w:sz w:val="24"/>
          <w:szCs w:val="24"/>
          <w:highlight w:val="none"/>
        </w:rPr>
        <w:t>（采购代理机构）</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Style w:val="63"/>
          <w:rFonts w:hint="eastAsia" w:ascii="宋体" w:hAnsi="宋体" w:eastAsia="宋体" w:cs="宋体"/>
          <w:b w:val="0"/>
          <w:bCs/>
          <w:color w:val="auto"/>
          <w:sz w:val="24"/>
          <w:szCs w:val="24"/>
          <w:highlight w:val="none"/>
        </w:rPr>
        <w:t>0990-622</w:t>
      </w:r>
      <w:r>
        <w:rPr>
          <w:rStyle w:val="63"/>
          <w:rFonts w:hint="eastAsia" w:cs="宋体"/>
          <w:b w:val="0"/>
          <w:bCs/>
          <w:color w:val="auto"/>
          <w:sz w:val="24"/>
          <w:szCs w:val="24"/>
          <w:highlight w:val="none"/>
          <w:lang w:val="en-US" w:eastAsia="zh-CN"/>
        </w:rPr>
        <w:t>3009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、0990-6230002</w:t>
      </w: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spacing w:line="3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第二章  供应商须知</w:t>
      </w: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  附  表</w:t>
      </w:r>
    </w:p>
    <w:tbl>
      <w:tblPr>
        <w:tblStyle w:val="59"/>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克拉玛依市税务局电梯更换项目</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采购文件编号：</w:t>
            </w:r>
            <w:r>
              <w:rPr>
                <w:rFonts w:hint="eastAsia" w:ascii="宋体" w:hAnsi="宋体" w:eastAsia="宋体" w:cs="宋体"/>
                <w:color w:val="auto"/>
                <w:sz w:val="24"/>
                <w:szCs w:val="24"/>
                <w:highlight w:val="none"/>
                <w:lang w:eastAsia="zh-CN"/>
              </w:rPr>
              <w:t>KSSWJ（ZC）</w:t>
            </w:r>
            <w:r>
              <w:rPr>
                <w:rFonts w:hint="eastAsia" w:hAnsi="宋体" w:cs="宋体"/>
                <w:color w:val="auto"/>
                <w:sz w:val="24"/>
                <w:szCs w:val="24"/>
                <w:highlight w:val="none"/>
                <w:lang w:eastAsia="zh-CN"/>
              </w:rPr>
              <w:t>2024-0</w:t>
            </w:r>
            <w:r>
              <w:rPr>
                <w:rFonts w:hint="eastAsia" w:hAnsi="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国家税务总局克拉玛依市税务局</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克拉玛依市迎宾路62号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邮政编码：834000   </w:t>
            </w:r>
          </w:p>
          <w:p>
            <w:pPr>
              <w:pStyle w:val="34"/>
              <w:widowControl w:val="0"/>
              <w:wordWrap/>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谢琳</w:t>
            </w:r>
            <w:r>
              <w:rPr>
                <w:rFonts w:hint="eastAsia" w:ascii="宋体" w:hAnsi="宋体" w:eastAsia="宋体" w:cs="宋体"/>
                <w:color w:val="auto"/>
                <w:sz w:val="24"/>
                <w:szCs w:val="24"/>
                <w:highlight w:val="none"/>
              </w:rPr>
              <w:t xml:space="preserve">                      联系电话：</w:t>
            </w:r>
            <w:r>
              <w:rPr>
                <w:rStyle w:val="63"/>
                <w:rFonts w:hint="eastAsia" w:ascii="宋体" w:hAnsi="宋体" w:eastAsia="宋体" w:cs="宋体"/>
                <w:b w:val="0"/>
                <w:bCs/>
                <w:color w:val="auto"/>
                <w:sz w:val="24"/>
                <w:szCs w:val="24"/>
                <w:highlight w:val="none"/>
              </w:rPr>
              <w:t>0990-622</w:t>
            </w:r>
            <w:r>
              <w:rPr>
                <w:rStyle w:val="63"/>
                <w:rFonts w:hint="eastAsia" w:hAnsi="宋体" w:cs="宋体"/>
                <w:b w:val="0"/>
                <w:bCs/>
                <w:color w:val="auto"/>
                <w:sz w:val="24"/>
                <w:szCs w:val="24"/>
                <w:highlight w:val="none"/>
                <w:lang w:val="en-US" w:eastAsia="zh-CN"/>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采购代理机构：新疆天麒工程项目管理咨询有限责任公司</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地址：克拉玛依市通讯路44号     邮政编码：834000</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姚磊  </w:t>
            </w:r>
            <w:r>
              <w:rPr>
                <w:rFonts w:hint="eastAsia" w:hAnsi="宋体" w:cs="宋体"/>
                <w:color w:val="auto"/>
                <w:sz w:val="24"/>
                <w:szCs w:val="24"/>
                <w:highlight w:val="none"/>
                <w:lang w:val="en-US" w:eastAsia="zh-CN"/>
              </w:rPr>
              <w:t>于秀</w:t>
            </w:r>
            <w:r>
              <w:rPr>
                <w:rFonts w:hint="eastAsia" w:ascii="宋体" w:hAnsi="宋体" w:eastAsia="宋体" w:cs="宋体"/>
                <w:color w:val="auto"/>
                <w:sz w:val="24"/>
                <w:szCs w:val="24"/>
                <w:highlight w:val="none"/>
              </w:rPr>
              <w:t xml:space="preserve">            联系电话：0990-</w:t>
            </w:r>
            <w:r>
              <w:rPr>
                <w:rFonts w:hint="eastAsia" w:ascii="宋体" w:hAnsi="宋体" w:eastAsia="宋体" w:cs="宋体"/>
                <w:color w:val="auto"/>
                <w:sz w:val="24"/>
                <w:szCs w:val="24"/>
                <w:highlight w:val="none"/>
                <w:lang w:val="en-US" w:eastAsia="zh-CN"/>
              </w:rPr>
              <w:t>6230002</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开户行：中国工商银行股份有限公司克拉玛依石油分行</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行号：102882000037</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磋商有效期：递交响应文件截止日起90天（日历日）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5</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不论中标与否，</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后须将纸质版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文件统一按要求提交至</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各供应商如有疑问，于</w:t>
            </w:r>
            <w:r>
              <w:rPr>
                <w:rFonts w:hint="eastAsia" w:ascii="宋体" w:hAnsi="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10:00前将有关疑问以书面形式（必须加盖供应商公章）送达至新疆天麒工程项目管理咨询有限责任公司201办公室或发至603781401@qq.com，采购人将对所提疑问以书面形式通知至领取采购文件的每位供应商，超过此时间所提疑问采购人或采购代理机构均不予答复。</w:t>
            </w:r>
          </w:p>
          <w:p>
            <w:pPr>
              <w:widowControl w:val="0"/>
              <w:wordWrap/>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联系人：姚磊   </w:t>
            </w:r>
            <w:r>
              <w:rPr>
                <w:rFonts w:hint="eastAsia" w:ascii="宋体" w:hAnsi="宋体" w:cs="宋体"/>
                <w:color w:val="auto"/>
                <w:sz w:val="24"/>
                <w:szCs w:val="24"/>
                <w:highlight w:val="none"/>
                <w:lang w:eastAsia="zh-CN"/>
              </w:rPr>
              <w:t>于秀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 0990-6230002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递交响应文件截止时间：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 ～1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电子响应文件递交方式及时间：</w:t>
            </w:r>
            <w:r>
              <w:rPr>
                <w:rFonts w:hint="eastAsia" w:ascii="宋体" w:hAnsi="宋体" w:eastAsia="宋体" w:cs="宋体"/>
                <w:b/>
                <w:bCs/>
                <w:color w:val="auto"/>
                <w:sz w:val="24"/>
                <w:szCs w:val="24"/>
                <w:highlight w:val="none"/>
                <w:lang w:val="en-US" w:eastAsia="zh-CN"/>
              </w:rPr>
              <w:t>在递交响应文件时间内</w:t>
            </w:r>
            <w:r>
              <w:rPr>
                <w:rFonts w:hint="eastAsia" w:ascii="宋体" w:hAnsi="宋体" w:eastAsia="宋体" w:cs="宋体"/>
                <w:b/>
                <w:bCs/>
                <w:color w:val="auto"/>
                <w:sz w:val="24"/>
                <w:szCs w:val="24"/>
                <w:highlight w:val="none"/>
              </w:rPr>
              <w:t>将各自加密电子版响应文件压缩包（加密要求：</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mailto:只能对压缩包进行加密，不得再对压缩包内的任何文件进行加密）发至xjtqgszb@sina.com邮箱，如未按要求时间提前或逾期发至指定邮箱的，不予接收其投标文件。各投标人须在递交投标文件截止时间后15分钟内（2020年"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只能对压缩包进行加密，不得再对压缩包内的任何文件进行加密）发至603781401@qq.com邮箱，如未按要求时间提前或逾期发至指定邮箱的，不予接收其响应文件。各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须在递交响应文件截止时间后15分钟内</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将电子版响应文件压缩包密码（只能对响应文件压缩包设置密码，压缩包内的任何文件不得设置密码）发至603781401@qq.com邮箱，如未按要求发至指定邮箱的，视为其递交的响应文件为无效响应文件，不予接收。邮件名称必须为：</w:t>
            </w:r>
            <w:r>
              <w:rPr>
                <w:rFonts w:hint="eastAsia" w:ascii="宋体" w:hAnsi="宋体" w:eastAsia="宋体" w:cs="宋体"/>
                <w:b/>
                <w:bCs/>
                <w:color w:val="auto"/>
                <w:sz w:val="24"/>
                <w:szCs w:val="24"/>
                <w:highlight w:val="none"/>
                <w:lang w:val="en-US" w:eastAsia="zh-CN"/>
              </w:rPr>
              <w:t>XXX项目响应文件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名称（必须为单位全称）+授权委托人或法定代表人姓名+授权委托人或法定代表人联系电话。</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16</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须在递交</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文件截止时间后15分钟内将电子版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文件压缩包加密密码发至603781401@qq.com邮箱，加密密码邮件名称必须为：</w:t>
            </w:r>
            <w:r>
              <w:rPr>
                <w:rFonts w:hint="eastAsia" w:ascii="宋体" w:hAnsi="宋体" w:eastAsia="宋体" w:cs="宋体"/>
                <w:b/>
                <w:bCs/>
                <w:color w:val="auto"/>
                <w:sz w:val="24"/>
                <w:szCs w:val="24"/>
                <w:highlight w:val="none"/>
                <w:lang w:val="en-US" w:eastAsia="zh-CN"/>
              </w:rPr>
              <w:t>XXX</w:t>
            </w:r>
            <w:r>
              <w:rPr>
                <w:rFonts w:hint="eastAsia" w:ascii="宋体" w:hAnsi="宋体" w:eastAsia="宋体" w:cs="宋体"/>
                <w:b/>
                <w:bCs/>
                <w:color w:val="auto"/>
                <w:sz w:val="24"/>
                <w:szCs w:val="24"/>
                <w:highlight w:val="none"/>
              </w:rPr>
              <w:t>项目加密密码+</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名称（必须为单位全称）+授权委托人或法定代表人姓名+授权委托人或法定代表人联系电话。</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须对电子版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文件压缩包进行加密（只能对</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文件压缩包设置密码，压缩包内的任何文件不得设置密码）。加密方式：密码形式为“字母+数字”，“字母+数字”密码总长度最长不得大于6位。逾期未发送电子版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文件加密密码或密码不正确的均视为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自愿放弃本次投标。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9</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b/>
                <w:bCs/>
                <w:color w:val="auto"/>
                <w:sz w:val="24"/>
                <w:szCs w:val="24"/>
                <w:highlight w:val="none"/>
              </w:rPr>
            </w:pPr>
            <w:r>
              <w:rPr>
                <w:rFonts w:hint="eastAsia" w:hAnsi="宋体" w:cs="宋体"/>
                <w:b/>
                <w:color w:val="auto"/>
                <w:sz w:val="24"/>
                <w:szCs w:val="24"/>
                <w:lang w:eastAsia="zh-CN"/>
              </w:rPr>
              <w:t>本项目设定最高限价</w:t>
            </w:r>
            <w:r>
              <w:rPr>
                <w:rFonts w:hint="eastAsia" w:ascii="宋体" w:hAnsi="宋体" w:eastAsia="宋体" w:cs="宋体"/>
                <w:b/>
                <w:color w:val="auto"/>
                <w:sz w:val="24"/>
                <w:szCs w:val="24"/>
              </w:rPr>
              <w:t>：￥</w:t>
            </w:r>
            <w:r>
              <w:rPr>
                <w:rFonts w:hint="eastAsia" w:hAnsi="宋体" w:cs="宋体"/>
                <w:b/>
                <w:color w:val="auto"/>
                <w:sz w:val="24"/>
                <w:szCs w:val="24"/>
                <w:lang w:val="en-US" w:eastAsia="zh-CN"/>
              </w:rPr>
              <w:t>98</w:t>
            </w:r>
            <w:r>
              <w:rPr>
                <w:rFonts w:hint="eastAsia" w:ascii="宋体" w:hAnsi="宋体" w:eastAsia="宋体" w:cs="宋体"/>
                <w:b/>
                <w:color w:val="auto"/>
                <w:sz w:val="24"/>
                <w:szCs w:val="24"/>
              </w:rPr>
              <w:t>万元，供应商的商务报价如超过</w:t>
            </w:r>
            <w:r>
              <w:rPr>
                <w:rFonts w:hint="eastAsia" w:hAnsi="宋体" w:cs="宋体"/>
                <w:b/>
                <w:color w:val="auto"/>
                <w:sz w:val="24"/>
                <w:szCs w:val="24"/>
                <w:lang w:eastAsia="zh-CN"/>
              </w:rPr>
              <w:t>最高限价</w:t>
            </w:r>
            <w:r>
              <w:rPr>
                <w:rFonts w:hint="eastAsia" w:ascii="宋体" w:hAnsi="宋体" w:eastAsia="宋体" w:cs="宋体"/>
                <w:b/>
                <w:color w:val="auto"/>
                <w:sz w:val="24"/>
                <w:szCs w:val="24"/>
              </w:rPr>
              <w:t>，则该供应商的响应文件作无效响应处理。</w:t>
            </w:r>
          </w:p>
        </w:tc>
      </w:tr>
    </w:tbl>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ordWrap/>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w:t>
      </w:r>
      <w:bookmarkEnd w:id="1"/>
      <w:bookmarkStart w:id="2" w:name="_Toc154996576"/>
      <w:r>
        <w:rPr>
          <w:rFonts w:hint="eastAsia" w:ascii="宋体" w:hAnsi="宋体" w:eastAsia="宋体" w:cs="宋体"/>
          <w:b/>
          <w:bCs/>
          <w:color w:val="auto"/>
          <w:sz w:val="28"/>
          <w:szCs w:val="28"/>
          <w:highlight w:val="none"/>
        </w:rPr>
        <w:t>说明</w:t>
      </w:r>
    </w:p>
    <w:p>
      <w:pPr>
        <w:pStyle w:val="34"/>
        <w:wordWrap/>
        <w:spacing w:line="360" w:lineRule="auto"/>
        <w:ind w:firstLine="480" w:firstLineChars="200"/>
        <w:outlineLvl w:val="1"/>
        <w:rPr>
          <w:rFonts w:hint="eastAsia" w:ascii="宋体" w:hAnsi="宋体" w:eastAsia="宋体" w:cs="宋体"/>
          <w:color w:val="auto"/>
          <w:sz w:val="24"/>
          <w:highlight w:val="none"/>
        </w:rPr>
      </w:pPr>
      <w:bookmarkStart w:id="3" w:name="_Toc246216180"/>
      <w:bookmarkStart w:id="4" w:name="_Toc233274811"/>
      <w:bookmarkStart w:id="5" w:name="_Toc243907571"/>
      <w:bookmarkStart w:id="6" w:name="_Toc243906311"/>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1、适用范围</w:t>
      </w:r>
      <w:bookmarkEnd w:id="3"/>
      <w:bookmarkEnd w:id="4"/>
      <w:bookmarkEnd w:id="5"/>
      <w:bookmarkEnd w:id="6"/>
      <w:r>
        <w:rPr>
          <w:rFonts w:hint="eastAsia" w:ascii="宋体" w:hAnsi="宋体" w:eastAsia="宋体" w:cs="宋体"/>
          <w:color w:val="auto"/>
          <w:sz w:val="24"/>
          <w:highlight w:val="none"/>
        </w:rPr>
        <w:t>及磋商依据</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适用范围</w:t>
      </w:r>
    </w:p>
    <w:p>
      <w:pPr>
        <w:pStyle w:val="54"/>
        <w:wordWrap/>
        <w:spacing w:before="0" w:beforeAutospacing="0" w:after="0" w:afterAutospacing="0" w:line="360" w:lineRule="auto"/>
        <w:ind w:left="0" w:firstLine="48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本采购文件仅针对于</w:t>
      </w:r>
      <w:r>
        <w:rPr>
          <w:rFonts w:hint="eastAsia" w:cs="宋体"/>
          <w:color w:val="auto"/>
          <w:highlight w:val="none"/>
          <w:lang w:eastAsia="zh-CN"/>
        </w:rPr>
        <w:t>克拉玛依市税务局电梯更换项目</w:t>
      </w:r>
      <w:r>
        <w:rPr>
          <w:rFonts w:hint="eastAsia" w:ascii="宋体" w:hAnsi="宋体" w:eastAsia="宋体" w:cs="宋体"/>
          <w:color w:val="auto"/>
          <w:highlight w:val="none"/>
        </w:rPr>
        <w:t>。</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1.2磋商依据</w:t>
      </w:r>
    </w:p>
    <w:p>
      <w:pPr>
        <w:widowControl/>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根据《中华人民共和国政府采购法》、《中华人民共和国政府采购法实施条例》、《财政部关于印发〈政府采购竞争性磋商采购方式管理暂行办法〉的通知》（财库〔2014〕214号）及有关法律、法规。</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7" w:name="_Toc243907572"/>
      <w:bookmarkStart w:id="8" w:name="_Toc246216181"/>
      <w:bookmarkStart w:id="9" w:name="_Toc243906312"/>
      <w:bookmarkStart w:id="10" w:name="_Toc233274812"/>
      <w:r>
        <w:rPr>
          <w:rFonts w:hint="eastAsia" w:ascii="宋体" w:hAnsi="宋体" w:eastAsia="宋体" w:cs="宋体"/>
          <w:color w:val="auto"/>
          <w:sz w:val="24"/>
          <w:highlight w:val="none"/>
        </w:rPr>
        <w:t>2、定义</w:t>
      </w:r>
      <w:bookmarkEnd w:id="7"/>
      <w:bookmarkEnd w:id="8"/>
      <w:bookmarkEnd w:id="9"/>
      <w:bookmarkEnd w:id="10"/>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eastAsia="宋体" w:cs="宋体"/>
          <w:color w:val="auto"/>
          <w:sz w:val="24"/>
          <w:szCs w:val="24"/>
          <w:highlight w:val="none"/>
          <w:lang w:eastAsia="zh-CN"/>
        </w:rPr>
        <w:t>国家税务总局克拉玛依市税务局</w:t>
      </w:r>
      <w:r>
        <w:rPr>
          <w:rFonts w:hint="eastAsia" w:ascii="宋体" w:hAnsi="宋体" w:eastAsia="宋体" w:cs="宋体"/>
          <w:color w:val="auto"/>
          <w:sz w:val="24"/>
          <w:highlight w:val="none"/>
        </w:rPr>
        <w:t>，在签订和执行合同阶段称“甲方”。</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highlight w:val="none"/>
        </w:rPr>
        <w:t>系指新疆天麒工程项目管理咨询有限责任公司。</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“供应商”系指具备资格并按采购文件要求提交响应文件的法人，供应商若成交，在签订和执行合同阶段称“乙方”。</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2.4 “采购文件”系指由采购人向供应商发出的本</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项目的全部文件（包括项目采购需求、修改文件、补充</w:t>
      </w:r>
      <w:r>
        <w:rPr>
          <w:rFonts w:hint="eastAsia" w:ascii="宋体" w:hAnsi="宋体" w:eastAsia="宋体" w:cs="宋体"/>
          <w:color w:val="auto"/>
          <w:sz w:val="24"/>
          <w:szCs w:val="24"/>
          <w:highlight w:val="none"/>
        </w:rPr>
        <w:t>文件、答疑纪要、各种通知和附件等）。</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“响应文件”系指供应商根据采购文件提交的所有文件。</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2.6</w:t>
      </w:r>
      <w:r>
        <w:rPr>
          <w:rFonts w:hint="eastAsia" w:ascii="宋体" w:hAnsi="宋体" w:eastAsia="宋体" w:cs="宋体"/>
          <w:color w:val="auto"/>
          <w:sz w:val="24"/>
          <w:szCs w:val="24"/>
          <w:highlight w:val="none"/>
        </w:rPr>
        <w:t>“合同货物”系指按合同条款、技术规范及标准、</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规定，成交供应商须向采购人提供</w:t>
      </w:r>
      <w:r>
        <w:rPr>
          <w:rFonts w:hint="eastAsia" w:hAnsi="宋体" w:cs="宋体"/>
          <w:color w:val="auto"/>
          <w:sz w:val="24"/>
          <w:szCs w:val="24"/>
          <w:highlight w:val="none"/>
          <w:lang w:eastAsia="zh-CN"/>
        </w:rPr>
        <w:t>克拉玛依市税务局</w:t>
      </w:r>
      <w:r>
        <w:rPr>
          <w:rFonts w:hint="eastAsia" w:hAnsi="宋体" w:cs="宋体"/>
          <w:color w:val="auto"/>
          <w:sz w:val="24"/>
          <w:szCs w:val="24"/>
          <w:highlight w:val="none"/>
          <w:lang w:val="en-US" w:eastAsia="zh-CN"/>
        </w:rPr>
        <w:t>所需</w:t>
      </w:r>
      <w:r>
        <w:rPr>
          <w:rFonts w:hint="eastAsia" w:hAnsi="宋体" w:cs="宋体"/>
          <w:color w:val="auto"/>
          <w:sz w:val="24"/>
          <w:szCs w:val="24"/>
          <w:highlight w:val="none"/>
          <w:lang w:eastAsia="zh-CN"/>
        </w:rPr>
        <w:t>电梯的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安装、调试验收合格并正常使用所需的全部设备、材料等（含手册、规范、标准相关技术资料等）。</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“服务”系指技术规范及标准、项目采购需求及合同主要条款、本采购文件规定，成交供应商</w:t>
      </w:r>
      <w:r>
        <w:rPr>
          <w:rFonts w:hint="eastAsia" w:ascii="宋体" w:hAnsi="宋体" w:eastAsia="宋体" w:cs="宋体"/>
          <w:b/>
          <w:bCs/>
          <w:color w:val="auto"/>
          <w:sz w:val="24"/>
          <w:highlight w:val="none"/>
          <w:lang w:eastAsia="zh-CN"/>
        </w:rPr>
        <w:t>采购三部1150kg及以上曳引式乘客电梯（有机房电梯），1部8层8站, 2部9层9站，速度:1.75m/s及以上。包括旧梯拆卸、电梯供电系统的修缮、新梯采购、供货、吊装费、安装（包括施工现场的脚手架的搭建和拆除、水电设施、垃圾清运费用等）、调试、检测验收、培训费、土建整改、电梯大门套制作、侯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lang w:eastAsia="zh-CN"/>
        </w:rPr>
        <w:t>文件约定的全部内容及保修责任和义务。本项目为交钥匙工程</w:t>
      </w:r>
      <w:r>
        <w:rPr>
          <w:rFonts w:hint="eastAsia" w:ascii="宋体" w:hAnsi="宋体" w:eastAsia="宋体" w:cs="宋体"/>
          <w:b/>
          <w:bCs/>
          <w:color w:val="auto"/>
          <w:sz w:val="24"/>
          <w:highlight w:val="none"/>
        </w:rPr>
        <w:t>。</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“设备”是指制造、加工或用重要的和主要的元部件装配而成的，其基本特征、功能或效用应是商业上公认的与元部件有实质性区别的产品。</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原产地”是指合同货物生产或提供有关产品的来源地，这些来源地为中华人民共和国或与中华人民共和国有正常贸易往来的国家或地区。合同中提供的所有货物及其有关服务的原产地，均应来自于合格的原产地。</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凡提及的“天、日期、星期、月份和年份”系指公历日历的日历天、日期、星期、月份和年份。 </w:t>
      </w:r>
    </w:p>
    <w:p>
      <w:pPr>
        <w:pStyle w:val="34"/>
        <w:wordWrap/>
        <w:spacing w:line="360" w:lineRule="auto"/>
        <w:ind w:left="0" w:firstLine="480" w:firstLineChars="200"/>
        <w:jc w:val="left"/>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bookmarkStart w:id="11" w:name="_Toc233274813"/>
      <w:bookmarkStart w:id="12" w:name="_Toc243907573"/>
      <w:bookmarkStart w:id="13" w:name="_Toc243906313"/>
      <w:bookmarkStart w:id="14" w:name="_Toc246216182"/>
      <w:r>
        <w:rPr>
          <w:rFonts w:hint="eastAsia" w:ascii="宋体" w:hAnsi="宋体" w:eastAsia="宋体" w:cs="宋体"/>
          <w:b/>
          <w:color w:val="auto"/>
          <w:sz w:val="24"/>
          <w:szCs w:val="24"/>
          <w:highlight w:val="none"/>
        </w:rPr>
        <w:t>3、</w:t>
      </w:r>
      <w:bookmarkEnd w:id="11"/>
      <w:bookmarkEnd w:id="12"/>
      <w:bookmarkEnd w:id="13"/>
      <w:bookmarkEnd w:id="14"/>
      <w:r>
        <w:rPr>
          <w:rFonts w:hint="eastAsia" w:ascii="宋体" w:hAnsi="宋体" w:eastAsia="宋体" w:cs="宋体"/>
          <w:b/>
          <w:color w:val="auto"/>
          <w:sz w:val="24"/>
          <w:szCs w:val="24"/>
          <w:highlight w:val="none"/>
        </w:rPr>
        <w:t>采购范围及</w:t>
      </w:r>
      <w:r>
        <w:rPr>
          <w:rFonts w:hint="eastAsia" w:ascii="宋体" w:hAnsi="宋体" w:eastAsia="宋体" w:cs="宋体"/>
          <w:b/>
          <w:color w:val="auto"/>
          <w:sz w:val="24"/>
          <w:szCs w:val="24"/>
          <w:highlight w:val="none"/>
          <w:lang w:eastAsia="zh-CN"/>
        </w:rPr>
        <w:t>交货期</w:t>
      </w:r>
    </w:p>
    <w:p>
      <w:pPr>
        <w:pStyle w:val="34"/>
        <w:wordWrap/>
        <w:spacing w:line="360" w:lineRule="auto"/>
        <w:ind w:left="0" w:firstLine="480" w:firstLineChars="200"/>
        <w:jc w:val="left"/>
        <w:outlineLvl w:val="9"/>
        <w:rPr>
          <w:rFonts w:hint="eastAsia" w:ascii="宋体" w:hAnsi="宋体" w:eastAsia="宋体" w:cs="宋体"/>
          <w:b/>
          <w:color w:val="auto"/>
          <w:sz w:val="24"/>
          <w:highlight w:val="none"/>
          <w:lang w:eastAsia="zh-CN"/>
        </w:rPr>
      </w:pPr>
      <w:r>
        <w:rPr>
          <w:rFonts w:hint="eastAsia" w:ascii="宋体" w:hAnsi="宋体" w:eastAsia="宋体" w:cs="宋体"/>
          <w:bCs/>
          <w:color w:val="auto"/>
          <w:sz w:val="24"/>
          <w:highlight w:val="none"/>
        </w:rPr>
        <w:t>3.1</w:t>
      </w:r>
      <w:r>
        <w:rPr>
          <w:rFonts w:hint="eastAsia" w:ascii="宋体" w:hAnsi="宋体" w:eastAsia="宋体" w:cs="宋体"/>
          <w:b/>
          <w:color w:val="auto"/>
          <w:sz w:val="24"/>
          <w:highlight w:val="none"/>
        </w:rPr>
        <w:t>采购范围：</w:t>
      </w:r>
      <w:bookmarkStart w:id="15" w:name="_Toc243907574"/>
      <w:bookmarkStart w:id="16" w:name="_Toc246216183"/>
      <w:bookmarkStart w:id="17" w:name="_Toc243906314"/>
      <w:bookmarkStart w:id="18" w:name="_Toc233274814"/>
      <w:r>
        <w:rPr>
          <w:rFonts w:hint="eastAsia" w:hAnsi="宋体" w:cs="宋体"/>
          <w:b/>
          <w:bCs/>
          <w:color w:val="auto"/>
          <w:sz w:val="24"/>
          <w:highlight w:val="none"/>
          <w:lang w:eastAsia="zh-CN"/>
        </w:rPr>
        <w:t>采购三部1150kg及以上曳引式乘客电梯（有机房电梯），1部8层8站, 2部9层9站，速度:1.75m/s及以上。包括旧梯拆卸、电梯供电系统的修缮、新梯采购、供货、吊装费、安装（包括施工现场的脚手架的搭建和拆除、水电设施、垃圾清运费用等）、调试、检测验收、培训费、土建整改、电梯大门套制作、侯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采购文件约定的全部内容及保修责任和义务。本项目为交钥匙工程。</w:t>
      </w:r>
    </w:p>
    <w:p>
      <w:pPr>
        <w:wordWrap/>
        <w:spacing w:line="360" w:lineRule="auto"/>
        <w:ind w:left="0" w:firstLine="482" w:firstLineChars="200"/>
        <w:jc w:val="left"/>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3.2</w:t>
      </w:r>
      <w:r>
        <w:rPr>
          <w:rFonts w:hint="eastAsia" w:ascii="宋体" w:hAnsi="宋体" w:eastAsia="宋体" w:cs="宋体"/>
          <w:color w:val="auto"/>
          <w:sz w:val="24"/>
          <w:highlight w:val="none"/>
          <w:lang w:eastAsia="zh-CN"/>
        </w:rPr>
        <w:t>交货期</w:t>
      </w:r>
      <w:r>
        <w:rPr>
          <w:rFonts w:hint="eastAsia" w:ascii="宋体" w:hAnsi="宋体" w:eastAsia="宋体" w:cs="宋体"/>
          <w:color w:val="auto"/>
          <w:sz w:val="24"/>
          <w:highlight w:val="none"/>
        </w:rPr>
        <w:t>：</w:t>
      </w:r>
      <w:r>
        <w:rPr>
          <w:rFonts w:hint="eastAsia" w:asciiTheme="minorEastAsia" w:hAnsiTheme="minorEastAsia" w:eastAsiaTheme="minorEastAsia"/>
          <w:sz w:val="24"/>
          <w:szCs w:val="24"/>
          <w:lang w:val="en-US" w:eastAsia="zh-CN"/>
        </w:rPr>
        <w:t>合同签订并接到采购人通知后 90 日内安装、调试、运营完毕。</w:t>
      </w:r>
    </w:p>
    <w:p>
      <w:pPr>
        <w:wordWrap/>
        <w:spacing w:line="360" w:lineRule="auto"/>
        <w:ind w:left="0" w:firstLine="480" w:firstLineChars="200"/>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4、合格供应商资格要求</w:t>
      </w:r>
    </w:p>
    <w:p>
      <w:pPr>
        <w:wordWrap/>
        <w:spacing w:line="360" w:lineRule="auto"/>
        <w:ind w:left="0" w:firstLine="480" w:firstLineChars="200"/>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4.1详见第一章“采购公告”中的供应商资格要求。</w:t>
      </w:r>
    </w:p>
    <w:bookmarkEnd w:id="15"/>
    <w:bookmarkEnd w:id="16"/>
    <w:bookmarkEnd w:id="17"/>
    <w:bookmarkEnd w:id="18"/>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bookmarkStart w:id="19" w:name="_Toc243907575"/>
      <w:bookmarkStart w:id="20" w:name="_Toc243906315"/>
      <w:bookmarkStart w:id="21" w:name="_Toc233274815"/>
      <w:bookmarkStart w:id="22" w:name="_Toc245897275"/>
      <w:r>
        <w:rPr>
          <w:rFonts w:hint="eastAsia" w:ascii="宋体" w:hAnsi="宋体" w:eastAsia="宋体" w:cs="宋体"/>
          <w:b/>
          <w:color w:val="auto"/>
          <w:sz w:val="24"/>
          <w:highlight w:val="none"/>
        </w:rPr>
        <w:t>4.2单位负责人为同一人或者存在直接控股、管理关系的不同供应商，不得参加同一合同项下的政府采购活动。</w:t>
      </w:r>
    </w:p>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4.3为采购项目提供整体设计、规范编制或者项目管理、监理、检测等服务的供应商，不得再参加该采购项目的其他采购活动。</w:t>
      </w:r>
    </w:p>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4.4在单一品目的货物采购招标中，同一品牌同一型号的产品有多家供应商参加采购，只能按照一家供应商计算。</w:t>
      </w:r>
    </w:p>
    <w:p>
      <w:pPr>
        <w:wordWrap/>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4.5同一分包的货物，制造商参与采购的，不得再委托代理商参与采购。</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5、回避。政府采购活动中，采购人员及相关人员与供应商有下列利害关系之一的，应当回避：</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5.1参加采购活动前3年内与供应商存在劳动关系；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5.2参加采购活动前3年内担任供应商的董事、监事；</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5.3参加采购活动前3年内是供应商的控股股东或者实际控制人；</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5.4与供应商的法定代表人或者负责人有夫妻、直系血亲、三代以内旁系血亲或者近姻亲关系；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5.5与供应商有其他可能影响政府采购活动公平、公正进行的关系。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小组成员。</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bookmarkEnd w:id="19"/>
      <w:bookmarkEnd w:id="20"/>
      <w:bookmarkEnd w:id="21"/>
      <w:bookmarkEnd w:id="22"/>
      <w:r>
        <w:rPr>
          <w:rFonts w:hint="eastAsia" w:ascii="宋体" w:hAnsi="宋体" w:eastAsia="宋体" w:cs="宋体"/>
          <w:color w:val="auto"/>
          <w:sz w:val="24"/>
          <w:highlight w:val="none"/>
        </w:rPr>
        <w:t>参与磋商费用</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6.1供应商应承担所有与磋商准备和磋商有关的全部费用，不论磋商结果如何，采购人和采购代理机构无义务和责任承担供应商所发生的一切费用。</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6.2供应商在磋商准备、实地考察和磋商的全过程中，如果发生人身伤亡、财物或其它任何损失，不论何种原因所造成，均由供应商自行承担全部责任和损失。</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23" w:name="_Toc243907576"/>
      <w:bookmarkStart w:id="24" w:name="_Toc245897276"/>
      <w:bookmarkStart w:id="25" w:name="_Toc233274816"/>
      <w:bookmarkStart w:id="26" w:name="_Toc243906316"/>
      <w:r>
        <w:rPr>
          <w:rFonts w:hint="eastAsia" w:ascii="宋体" w:hAnsi="宋体" w:eastAsia="宋体" w:cs="宋体"/>
          <w:color w:val="auto"/>
          <w:sz w:val="24"/>
          <w:highlight w:val="none"/>
        </w:rPr>
        <w:t>7、法律适用</w:t>
      </w:r>
      <w:bookmarkEnd w:id="23"/>
      <w:bookmarkEnd w:id="24"/>
      <w:bookmarkEnd w:id="25"/>
      <w:bookmarkEnd w:id="26"/>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7.1本次磋商活动及由本次磋商产生的合同受中国法律制约和保护。</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27" w:name="_Toc233274817"/>
      <w:bookmarkStart w:id="28" w:name="_Toc243907577"/>
      <w:bookmarkStart w:id="29" w:name="_Toc243906317"/>
      <w:bookmarkStart w:id="30" w:name="_Toc245897277"/>
      <w:r>
        <w:rPr>
          <w:rFonts w:hint="eastAsia" w:ascii="宋体" w:hAnsi="宋体" w:eastAsia="宋体" w:cs="宋体"/>
          <w:color w:val="auto"/>
          <w:sz w:val="24"/>
          <w:highlight w:val="none"/>
        </w:rPr>
        <w:t>8、采购文件的约束力</w:t>
      </w:r>
      <w:bookmarkEnd w:id="27"/>
      <w:bookmarkEnd w:id="28"/>
      <w:bookmarkEnd w:id="29"/>
      <w:bookmarkEnd w:id="30"/>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8.1供应商若成交，即被认为接受了本采购文件中的所有条件和规定。是采购人与成交供应商签订合同的依据且是合同的组成部分。</w:t>
      </w:r>
    </w:p>
    <w:bookmarkEnd w:id="2"/>
    <w:p>
      <w:pPr>
        <w:wordWrap/>
        <w:spacing w:line="360" w:lineRule="auto"/>
        <w:ind w:left="0" w:firstLine="480" w:firstLineChars="200"/>
        <w:jc w:val="left"/>
        <w:outlineLvl w:val="9"/>
        <w:rPr>
          <w:rFonts w:hint="eastAsia" w:ascii="宋体" w:hAnsi="宋体" w:eastAsia="宋体" w:cs="宋体"/>
          <w:color w:val="auto"/>
          <w:sz w:val="24"/>
          <w:highlight w:val="none"/>
        </w:rPr>
      </w:pPr>
    </w:p>
    <w:p>
      <w:pPr>
        <w:pStyle w:val="34"/>
        <w:wordWrap/>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B  采购文件</w:t>
      </w:r>
    </w:p>
    <w:p>
      <w:pPr>
        <w:pStyle w:val="34"/>
        <w:wordWrap/>
        <w:spacing w:line="360" w:lineRule="auto"/>
        <w:ind w:firstLine="480" w:firstLineChars="200"/>
        <w:outlineLvl w:val="1"/>
        <w:rPr>
          <w:rFonts w:hint="eastAsia" w:ascii="宋体" w:hAnsi="宋体" w:eastAsia="宋体" w:cs="宋体"/>
          <w:color w:val="auto"/>
          <w:sz w:val="24"/>
          <w:highlight w:val="none"/>
        </w:rPr>
      </w:pPr>
      <w:bookmarkStart w:id="31" w:name="_Toc243907579"/>
      <w:bookmarkStart w:id="32" w:name="_Toc243906319"/>
      <w:bookmarkStart w:id="33" w:name="_Toc246216188"/>
      <w:bookmarkStart w:id="34" w:name="_Toc233274819"/>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9、采购文件的组成</w:t>
      </w:r>
      <w:bookmarkEnd w:id="31"/>
      <w:bookmarkEnd w:id="32"/>
      <w:bookmarkEnd w:id="33"/>
      <w:bookmarkEnd w:id="34"/>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9.1 本采购文件是对</w:t>
      </w:r>
      <w:r>
        <w:rPr>
          <w:rFonts w:hint="eastAsia" w:ascii="宋体" w:hAnsi="宋体" w:cs="宋体"/>
          <w:color w:val="auto"/>
          <w:sz w:val="24"/>
          <w:highlight w:val="none"/>
          <w:lang w:eastAsia="zh-CN"/>
        </w:rPr>
        <w:t>克拉玛依市税务局电梯更换项目</w:t>
      </w:r>
      <w:r>
        <w:rPr>
          <w:rFonts w:hint="eastAsia" w:ascii="宋体" w:hAnsi="宋体" w:eastAsia="宋体" w:cs="宋体"/>
          <w:color w:val="auto"/>
          <w:sz w:val="24"/>
          <w:highlight w:val="none"/>
        </w:rPr>
        <w:t>公开程序、合同文本进行说明。采购文件包括下列内容：</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采购公告</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项目采购需求及合同主要条款</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第五章  </w:t>
      </w:r>
      <w:r>
        <w:rPr>
          <w:rFonts w:hint="eastAsia" w:ascii="宋体" w:hAnsi="宋体" w:eastAsia="宋体" w:cs="宋体"/>
          <w:color w:val="auto"/>
          <w:sz w:val="24"/>
          <w:highlight w:val="none"/>
          <w:lang w:eastAsia="zh-CN"/>
        </w:rPr>
        <w:t>评审标准</w:t>
      </w:r>
      <w:r>
        <w:rPr>
          <w:rFonts w:hint="eastAsia" w:ascii="宋体" w:hAnsi="宋体" w:eastAsia="宋体" w:cs="宋体"/>
          <w:color w:val="auto"/>
          <w:sz w:val="24"/>
          <w:highlight w:val="none"/>
        </w:rPr>
        <w:t>（综合评分法）</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9.2 采购文件以中文编印，以中文文本为准。</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9.3 除非有特殊要求，采购文件不单独提供</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项目使用地的自然环境、气候条件、劳动力及公用设施等情况，供应商被视为熟悉上述条件或若成交履行合同有关的一切情况。</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9.4采购人向供应商提供的有关数据和资料，是采购人现有的能被供应商利用的资料，供应商对此做出的推论、理解和结论自行负责。</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35" w:name="_Toc233274820"/>
      <w:bookmarkStart w:id="36" w:name="_Toc243907580"/>
      <w:bookmarkStart w:id="37" w:name="_Toc243906320"/>
      <w:bookmarkStart w:id="38" w:name="_Toc245897280"/>
      <w:r>
        <w:rPr>
          <w:rFonts w:hint="eastAsia" w:ascii="宋体" w:hAnsi="宋体" w:eastAsia="宋体" w:cs="宋体"/>
          <w:color w:val="auto"/>
          <w:sz w:val="24"/>
          <w:highlight w:val="none"/>
        </w:rPr>
        <w:t>10、采购文件的澄清</w:t>
      </w:r>
      <w:bookmarkEnd w:id="35"/>
      <w:bookmarkEnd w:id="36"/>
      <w:bookmarkEnd w:id="37"/>
      <w:bookmarkEnd w:id="38"/>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10.1 供应商对采购文件如有疑问，可要求澄清，应按采购文件“供应商须知前附表第6条”</w:t>
      </w:r>
      <w:r>
        <w:rPr>
          <w:rFonts w:hint="eastAsia" w:ascii="宋体" w:hAnsi="宋体" w:eastAsia="宋体" w:cs="宋体"/>
          <w:color w:val="auto"/>
          <w:sz w:val="24"/>
        </w:rPr>
        <w:t>以书面形式（必须加盖供应商公章）</w:t>
      </w:r>
      <w:r>
        <w:rPr>
          <w:rFonts w:hint="eastAsia" w:ascii="宋体" w:hAnsi="宋体" w:eastAsia="宋体" w:cs="宋体"/>
          <w:color w:val="auto"/>
          <w:sz w:val="24"/>
          <w:szCs w:val="24"/>
        </w:rPr>
        <w:t>送达至新疆天麒工程项目管理咨询有限责任公司201办公室或发至603781401@qq.com</w:t>
      </w:r>
      <w:r>
        <w:rPr>
          <w:rFonts w:hint="eastAsia" w:ascii="宋体" w:hAnsi="宋体" w:eastAsia="宋体" w:cs="宋体"/>
          <w:color w:val="auto"/>
          <w:sz w:val="24"/>
        </w:rPr>
        <w:t>。采购人和采购代理机构将视情况以书面形式予以答复，并发至领取采购文件的每位供应商。答复中包括所提问题，但不包括问题的来源。</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10.2 如果上述答复涉及对采购文件的修改或补充，则它将被视为采购文件的组成部分。凡原先所发采购文件中的内容与答复中的内容不一致之处，以最后书面答复为准。任何电话或口头咨询和答复的意思解释均不具有法律约束力。</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rPr>
      </w:pPr>
      <w:bookmarkStart w:id="39" w:name="_Toc245897281"/>
      <w:bookmarkStart w:id="40" w:name="_Toc243907581"/>
      <w:bookmarkStart w:id="41" w:name="_Toc233274821"/>
      <w:bookmarkStart w:id="42" w:name="_Toc243906321"/>
      <w:r>
        <w:rPr>
          <w:rFonts w:hint="eastAsia" w:ascii="宋体" w:hAnsi="宋体" w:eastAsia="宋体" w:cs="宋体"/>
          <w:color w:val="auto"/>
          <w:sz w:val="24"/>
        </w:rPr>
        <w:t>11、采购文件的修改和补充</w:t>
      </w:r>
      <w:r>
        <w:rPr>
          <w:rFonts w:hint="eastAsia" w:ascii="宋体" w:hAnsi="宋体" w:eastAsia="宋体" w:cs="宋体"/>
          <w:color w:val="auto"/>
          <w:sz w:val="24"/>
        </w:rPr>
        <w:tab/>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rPr>
      </w:pPr>
      <w:r>
        <w:rPr>
          <w:rFonts w:hint="eastAsia" w:ascii="宋体" w:hAnsi="宋体" w:eastAsia="宋体" w:cs="宋体"/>
          <w:color w:val="auto"/>
          <w:sz w:val="24"/>
        </w:rPr>
        <w:t>11.1</w:t>
      </w:r>
      <w:r>
        <w:rPr>
          <w:rFonts w:hint="eastAsia" w:hAnsi="宋体" w:cs="宋体"/>
          <w:color w:val="000000"/>
          <w:sz w:val="24"/>
          <w:highlight w:val="none"/>
        </w:rPr>
        <w:t>在递交响应文件截止日期</w:t>
      </w:r>
      <w:r>
        <w:rPr>
          <w:rFonts w:hint="eastAsia" w:hAnsi="宋体" w:cs="宋体"/>
          <w:color w:val="000000"/>
          <w:sz w:val="24"/>
          <w:highlight w:val="none"/>
          <w:lang w:val="en-US" w:eastAsia="zh-CN"/>
        </w:rPr>
        <w:t>5</w:t>
      </w:r>
      <w:r>
        <w:rPr>
          <w:rFonts w:hint="eastAsia" w:hAnsi="宋体" w:cs="宋体"/>
          <w:color w:val="000000"/>
          <w:sz w:val="24"/>
          <w:highlight w:val="none"/>
        </w:rPr>
        <w:t>日前的任何时候，采购人可主动地或依据供应商要求澄清的疑问而修改、补充磋商文件，采购代理机构将对修改和补充的内容以书面形式发至所有获取磋商文件的每位供应商，修改和 补充文件将作为磋商文件的组成部分，对所有供应商具有约束力。</w:t>
      </w:r>
    </w:p>
    <w:bookmarkEnd w:id="39"/>
    <w:bookmarkEnd w:id="40"/>
    <w:bookmarkEnd w:id="41"/>
    <w:bookmarkEnd w:id="42"/>
    <w:p>
      <w:pPr>
        <w:pStyle w:val="34"/>
        <w:spacing w:line="360" w:lineRule="auto"/>
        <w:ind w:firstLine="480" w:firstLineChars="200"/>
        <w:rPr>
          <w:rFonts w:hint="eastAsia" w:hAnsi="宋体" w:cs="宋体"/>
          <w:color w:val="000000"/>
          <w:sz w:val="24"/>
          <w:highlight w:val="none"/>
        </w:rPr>
      </w:pPr>
      <w:bookmarkStart w:id="43" w:name="_Toc243907582"/>
      <w:bookmarkStart w:id="44" w:name="_Toc246216191"/>
      <w:bookmarkStart w:id="45" w:name="_Toc233274822"/>
      <w:bookmarkStart w:id="46" w:name="_Toc243906322"/>
      <w:bookmarkStart w:id="47" w:name="_Toc154996580"/>
      <w:r>
        <w:rPr>
          <w:rFonts w:hint="eastAsia" w:hAnsi="宋体" w:cs="宋体"/>
          <w:color w:val="000000"/>
          <w:sz w:val="24"/>
          <w:highlight w:val="none"/>
        </w:rPr>
        <w:t>11.2为使供应商在准备响应文件时有合理的时间考虑磋商文件的修改和/或补充，采购代理机构可延长递交响应文件截止时间和开启时间，但至少应当在规定的递交响应文件的截止时间</w:t>
      </w:r>
      <w:r>
        <w:rPr>
          <w:rFonts w:hint="eastAsia" w:hAnsi="宋体" w:cs="宋体"/>
          <w:color w:val="000000"/>
          <w:sz w:val="24"/>
          <w:highlight w:val="none"/>
          <w:u w:val="single"/>
          <w:lang w:val="en-US" w:eastAsia="zh-CN"/>
        </w:rPr>
        <w:t>5</w:t>
      </w:r>
      <w:r>
        <w:rPr>
          <w:rFonts w:hint="eastAsia" w:hAnsi="宋体" w:cs="宋体"/>
          <w:color w:val="000000"/>
          <w:sz w:val="24"/>
          <w:highlight w:val="none"/>
        </w:rPr>
        <w:t>日前，以书面形式通知所有领取磋商文件的每位供应商，不足</w:t>
      </w:r>
      <w:r>
        <w:rPr>
          <w:rFonts w:hint="eastAsia" w:hAnsi="宋体" w:cs="宋体"/>
          <w:color w:val="000000"/>
          <w:sz w:val="24"/>
          <w:highlight w:val="none"/>
          <w:lang w:val="en-US" w:eastAsia="zh-CN"/>
        </w:rPr>
        <w:t>5</w:t>
      </w:r>
      <w:r>
        <w:rPr>
          <w:rFonts w:hint="eastAsia" w:hAnsi="宋体" w:cs="宋体"/>
          <w:color w:val="000000"/>
          <w:sz w:val="24"/>
          <w:highlight w:val="none"/>
        </w:rPr>
        <w:t>日的，应当顺延提交响应文件截止日期。</w:t>
      </w:r>
    </w:p>
    <w:p>
      <w:pPr>
        <w:pStyle w:val="34"/>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11.3供应商在每次收到采购代理机构发至的书面文件后，应在收到后24小时内以书面形式并加盖供应商公章予以确认。</w:t>
      </w:r>
    </w:p>
    <w:p>
      <w:pPr>
        <w:pStyle w:val="34"/>
        <w:wordWrap/>
        <w:spacing w:line="360" w:lineRule="auto"/>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C 响应文件的编写</w:t>
      </w:r>
      <w:bookmarkEnd w:id="43"/>
      <w:bookmarkEnd w:id="44"/>
      <w:bookmarkEnd w:id="45"/>
      <w:bookmarkEnd w:id="46"/>
    </w:p>
    <w:p>
      <w:pPr>
        <w:pStyle w:val="34"/>
        <w:wordWrap/>
        <w:spacing w:line="360" w:lineRule="auto"/>
        <w:ind w:firstLine="480" w:firstLineChars="200"/>
        <w:rPr>
          <w:rFonts w:hint="eastAsia" w:ascii="宋体" w:hAnsi="宋体" w:eastAsia="宋体" w:cs="宋体"/>
          <w:color w:val="auto"/>
          <w:sz w:val="24"/>
          <w:highlight w:val="none"/>
        </w:rPr>
      </w:pP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48" w:name="_Toc233274823"/>
      <w:bookmarkStart w:id="49" w:name="_Toc243907583"/>
      <w:bookmarkStart w:id="50" w:name="_Toc243906323"/>
      <w:bookmarkStart w:id="51" w:name="_Toc245897283"/>
      <w:r>
        <w:rPr>
          <w:rFonts w:hint="eastAsia" w:ascii="宋体" w:hAnsi="宋体" w:eastAsia="宋体" w:cs="宋体"/>
          <w:color w:val="auto"/>
          <w:sz w:val="24"/>
          <w:szCs w:val="24"/>
          <w:highlight w:val="none"/>
        </w:rPr>
        <w:t>1</w:t>
      </w:r>
      <w:bookmarkEnd w:id="48"/>
      <w:r>
        <w:rPr>
          <w:rFonts w:hint="eastAsia" w:ascii="宋体" w:hAnsi="宋体" w:eastAsia="宋体" w:cs="宋体"/>
          <w:color w:val="auto"/>
          <w:sz w:val="24"/>
          <w:szCs w:val="24"/>
          <w:highlight w:val="none"/>
        </w:rPr>
        <w:t>2、响应文件的编写</w:t>
      </w:r>
      <w:bookmarkEnd w:id="49"/>
      <w:bookmarkEnd w:id="50"/>
      <w:bookmarkEnd w:id="51"/>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必须详细阅读采购文件的章、节、条款、格式等所有内容，按采购文件的要求提交响应文件，并保证所提供的全部文件及相关资料的真实性，以使其对采购文件做出实质性投标。供应商应仔细阅读并充分理解采购文件、技术规范及标准、项目采购需求及合同主要条款后</w:t>
      </w:r>
      <w:r>
        <w:rPr>
          <w:rFonts w:hint="eastAsia" w:ascii="宋体" w:hAnsi="宋体" w:eastAsia="宋体" w:cs="宋体"/>
          <w:b/>
          <w:color w:val="auto"/>
          <w:sz w:val="24"/>
          <w:szCs w:val="24"/>
          <w:highlight w:val="none"/>
        </w:rPr>
        <w:t>编制响应文件</w:t>
      </w:r>
      <w:r>
        <w:rPr>
          <w:rFonts w:hint="eastAsia" w:ascii="宋体" w:hAnsi="宋体" w:eastAsia="宋体" w:cs="宋体"/>
          <w:color w:val="auto"/>
          <w:sz w:val="24"/>
          <w:szCs w:val="24"/>
          <w:highlight w:val="none"/>
        </w:rPr>
        <w:t>。</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52" w:name="_Toc245897284"/>
      <w:bookmarkStart w:id="53" w:name="_Toc233274824"/>
      <w:bookmarkStart w:id="54" w:name="_Toc243907584"/>
      <w:bookmarkStart w:id="55" w:name="_Toc243906324"/>
      <w:r>
        <w:rPr>
          <w:rFonts w:hint="eastAsia" w:ascii="宋体" w:hAnsi="宋体" w:eastAsia="宋体" w:cs="宋体"/>
          <w:color w:val="auto"/>
          <w:sz w:val="24"/>
          <w:szCs w:val="24"/>
          <w:highlight w:val="none"/>
        </w:rPr>
        <w:t>13、响应文件的语言及计量单位</w:t>
      </w:r>
      <w:bookmarkEnd w:id="52"/>
      <w:bookmarkEnd w:id="53"/>
      <w:bookmarkEnd w:id="54"/>
      <w:bookmarkEnd w:id="55"/>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除在采购文件的项目采购需求中另有规定外，计量单位应使用中华人民共和国法定计量单位（国际单位制和国家选定的其它计量单位）。如供应商采用其它计量单位，需事先得到采购人的同意。</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bookmarkStart w:id="56" w:name="_Toc233274825"/>
      <w:bookmarkStart w:id="57" w:name="_Toc243907585"/>
      <w:bookmarkStart w:id="58" w:name="_Toc245897285"/>
      <w:bookmarkStart w:id="59" w:name="_Toc243906325"/>
      <w:r>
        <w:rPr>
          <w:rFonts w:hint="eastAsia" w:ascii="宋体" w:hAnsi="宋体" w:eastAsia="宋体" w:cs="宋体"/>
          <w:b/>
          <w:color w:val="auto"/>
          <w:sz w:val="24"/>
          <w:szCs w:val="24"/>
          <w:highlight w:val="none"/>
        </w:rPr>
        <w:t>14、</w:t>
      </w:r>
      <w:bookmarkEnd w:id="56"/>
      <w:bookmarkEnd w:id="57"/>
      <w:bookmarkEnd w:id="58"/>
      <w:bookmarkEnd w:id="59"/>
      <w:r>
        <w:rPr>
          <w:rFonts w:hint="eastAsia" w:ascii="宋体" w:hAnsi="宋体" w:eastAsia="宋体" w:cs="宋体"/>
          <w:b/>
          <w:color w:val="auto"/>
          <w:sz w:val="24"/>
          <w:szCs w:val="24"/>
          <w:highlight w:val="none"/>
        </w:rPr>
        <w:t>响应文件的组成：各供应商应对照第三章“</w:t>
      </w:r>
      <w:r>
        <w:rPr>
          <w:rFonts w:hint="eastAsia" w:ascii="宋体" w:hAnsi="宋体" w:eastAsia="宋体" w:cs="宋体"/>
          <w:color w:val="auto"/>
          <w:sz w:val="24"/>
          <w:szCs w:val="24"/>
          <w:highlight w:val="none"/>
        </w:rPr>
        <w:t>项目采购需求及合同主要条款</w:t>
      </w:r>
      <w:r>
        <w:rPr>
          <w:rFonts w:hint="eastAsia" w:ascii="宋体" w:hAnsi="宋体" w:eastAsia="宋体" w:cs="宋体"/>
          <w:b/>
          <w:color w:val="auto"/>
          <w:sz w:val="24"/>
          <w:szCs w:val="24"/>
          <w:highlight w:val="none"/>
        </w:rPr>
        <w:t>”及第五章“</w:t>
      </w:r>
      <w:r>
        <w:rPr>
          <w:rFonts w:hint="eastAsia" w:ascii="宋体" w:hAnsi="宋体" w:eastAsia="宋体" w:cs="宋体"/>
          <w:b/>
          <w:color w:val="auto"/>
          <w:sz w:val="24"/>
          <w:szCs w:val="24"/>
          <w:highlight w:val="none"/>
          <w:lang w:eastAsia="zh-CN"/>
        </w:rPr>
        <w:t>评审标准</w:t>
      </w:r>
      <w:r>
        <w:rPr>
          <w:rFonts w:hint="eastAsia" w:ascii="宋体" w:hAnsi="宋体" w:eastAsia="宋体" w:cs="宋体"/>
          <w:b/>
          <w:color w:val="auto"/>
          <w:sz w:val="24"/>
          <w:szCs w:val="24"/>
          <w:highlight w:val="none"/>
        </w:rPr>
        <w:t>（综合评分法）”提供必要的证明资料，响应文件应包括以下内容（但不限于以下内容）：</w:t>
      </w:r>
    </w:p>
    <w:p>
      <w:pPr>
        <w:widowControl w:val="0"/>
        <w:numPr>
          <w:ilvl w:val="0"/>
          <w:numId w:val="2"/>
        </w:numPr>
        <w:tabs>
          <w:tab w:val="left" w:pos="0"/>
        </w:tabs>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响应函（详见格式1）；</w:t>
      </w:r>
    </w:p>
    <w:p>
      <w:pPr>
        <w:widowControl w:val="0"/>
        <w:numPr>
          <w:ilvl w:val="0"/>
          <w:numId w:val="2"/>
        </w:numPr>
        <w:tabs>
          <w:tab w:val="left" w:pos="0"/>
        </w:tabs>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法定代表人资格证明书</w:t>
      </w:r>
      <w:r>
        <w:rPr>
          <w:rFonts w:hint="eastAsia" w:ascii="宋体" w:hAnsi="宋体" w:eastAsia="宋体" w:cs="宋体"/>
          <w:color w:val="auto"/>
          <w:sz w:val="24"/>
          <w:szCs w:val="24"/>
          <w:highlight w:val="none"/>
        </w:rPr>
        <w:t>（详见格式2）；</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法定代表人授权委托书</w:t>
      </w:r>
      <w:r>
        <w:rPr>
          <w:rFonts w:hint="eastAsia" w:ascii="宋体" w:hAnsi="宋体" w:eastAsia="宋体" w:cs="宋体"/>
          <w:color w:val="auto"/>
          <w:sz w:val="24"/>
          <w:szCs w:val="24"/>
          <w:highlight w:val="none"/>
        </w:rPr>
        <w:t>（详见格式3）；</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供应商基本情况表</w:t>
      </w:r>
      <w:r>
        <w:rPr>
          <w:rFonts w:hint="eastAsia" w:ascii="宋体" w:hAnsi="宋体" w:eastAsia="宋体" w:cs="宋体"/>
          <w:color w:val="auto"/>
          <w:sz w:val="24"/>
          <w:szCs w:val="24"/>
          <w:highlight w:val="none"/>
        </w:rPr>
        <w:t>（详见格式4）；</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中小企业声明函（详见格式</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pPr>
        <w:widowControl w:val="0"/>
        <w:numPr>
          <w:ilvl w:val="0"/>
          <w:numId w:val="2"/>
        </w:numPr>
        <w:wordWrap/>
        <w:adjustRightInd/>
        <w:snapToGrid/>
        <w:spacing w:line="360" w:lineRule="auto"/>
        <w:ind w:lef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政府采购领域诚信承诺书</w:t>
      </w:r>
      <w:r>
        <w:rPr>
          <w:rFonts w:hint="eastAsia" w:ascii="宋体" w:hAnsi="宋体" w:eastAsia="宋体" w:cs="宋体"/>
          <w:color w:val="auto"/>
          <w:sz w:val="24"/>
          <w:szCs w:val="24"/>
          <w:highlight w:val="none"/>
        </w:rPr>
        <w:t>（详见格式</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有效的营业执照（复印件）；</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具有中华人民共和国特种设备安装改造维修许可证B级及以上资质（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eastAsia="zh-CN"/>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近三年（自20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年1月1日至今）同类项目业绩表，并附业绩证明资料（复印件）（详见格式</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商务报价</w:t>
      </w:r>
      <w:r>
        <w:rPr>
          <w:rFonts w:hint="eastAsia" w:ascii="宋体" w:hAnsi="宋体" w:eastAsia="宋体" w:cs="宋体"/>
          <w:color w:val="auto"/>
          <w:sz w:val="24"/>
          <w:szCs w:val="24"/>
          <w:highlight w:val="none"/>
        </w:rPr>
        <w:t>一览表（详见格式</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设备、材料、备品、备件清单及价格明细表（详见格式</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商务条款偏离表（详见格式</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技术指标与参数；</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安装、调试、验收方案及</w:t>
      </w:r>
      <w:r>
        <w:rPr>
          <w:rFonts w:hint="eastAsia" w:ascii="宋体" w:hAnsi="宋体" w:cs="宋体"/>
          <w:color w:val="auto"/>
          <w:sz w:val="24"/>
          <w:szCs w:val="24"/>
          <w:highlight w:val="none"/>
          <w:lang w:eastAsia="zh-CN"/>
        </w:rPr>
        <w:t>保障</w:t>
      </w:r>
      <w:r>
        <w:rPr>
          <w:rFonts w:hint="eastAsia" w:ascii="宋体" w:hAnsi="宋体" w:eastAsia="宋体" w:cs="宋体"/>
          <w:color w:val="auto"/>
          <w:sz w:val="24"/>
          <w:szCs w:val="24"/>
          <w:highlight w:val="none"/>
        </w:rPr>
        <w:t>措施；</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产品培训；</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技术规格响应偏离表（详见格式</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采购需求及评分所需的</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资料；</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资格性/符合性自查表</w:t>
      </w:r>
      <w:r>
        <w:rPr>
          <w:rFonts w:hint="eastAsia" w:ascii="宋体" w:hAnsi="宋体" w:eastAsia="宋体" w:cs="宋体"/>
          <w:color w:val="auto"/>
          <w:sz w:val="24"/>
          <w:szCs w:val="24"/>
          <w:highlight w:val="none"/>
        </w:rPr>
        <w:t>（详见文件格式1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采购文件要求提供的其它材料以及供应商认为需要提交的材料。</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特别说明：①上述各种证件、证书复印件须加盖供应商公章。</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② 供应商应如实提供投标资料，并保证真实可靠，不得弄虚作假。如供应商隐瞒事实真相、弄虚作假，一经查实，取消该供应商的投标资格，若成交的，取消其中标资格。</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60" w:name="_Toc245897286"/>
      <w:bookmarkStart w:id="61" w:name="_Toc246216196"/>
      <w:bookmarkStart w:id="62" w:name="_Toc243906326"/>
      <w:bookmarkStart w:id="63" w:name="_Toc243907587"/>
      <w:bookmarkStart w:id="64" w:name="_Toc233274827"/>
      <w:r>
        <w:rPr>
          <w:rFonts w:hint="eastAsia" w:ascii="宋体" w:hAnsi="宋体" w:eastAsia="宋体" w:cs="宋体"/>
          <w:color w:val="auto"/>
          <w:sz w:val="24"/>
          <w:szCs w:val="24"/>
          <w:highlight w:val="none"/>
        </w:rPr>
        <w:t>15、响应文件格式</w:t>
      </w:r>
      <w:bookmarkEnd w:id="60"/>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15.1供应商应按采购文件提供的格式及商务报价说明完整地填写所提供的合同项目、服务以及单价等内容。</w:t>
      </w:r>
    </w:p>
    <w:bookmarkEnd w:id="61"/>
    <w:bookmarkEnd w:id="62"/>
    <w:bookmarkEnd w:id="63"/>
    <w:bookmarkEnd w:id="64"/>
    <w:p>
      <w:pPr>
        <w:pStyle w:val="34"/>
        <w:spacing w:line="360" w:lineRule="auto"/>
        <w:ind w:firstLine="480" w:firstLineChars="200"/>
        <w:outlineLvl w:val="1"/>
        <w:rPr>
          <w:rFonts w:hint="eastAsia" w:hAnsi="宋体" w:cs="宋体"/>
          <w:color w:val="000000"/>
          <w:sz w:val="24"/>
          <w:highlight w:val="none"/>
        </w:rPr>
      </w:pPr>
      <w:bookmarkStart w:id="65" w:name="_Toc233274829"/>
      <w:bookmarkStart w:id="66" w:name="_Toc245897289"/>
      <w:bookmarkStart w:id="67" w:name="_Toc243907589"/>
      <w:bookmarkStart w:id="68" w:name="_Toc243906328"/>
      <w:r>
        <w:rPr>
          <w:rFonts w:hint="eastAsia" w:hAnsi="宋体" w:cs="宋体"/>
          <w:color w:val="000000"/>
          <w:sz w:val="24"/>
          <w:highlight w:val="none"/>
        </w:rPr>
        <w:t>1</w:t>
      </w:r>
      <w:r>
        <w:rPr>
          <w:rFonts w:hint="eastAsia" w:hAnsi="宋体" w:cs="宋体"/>
          <w:color w:val="000000"/>
          <w:sz w:val="24"/>
          <w:highlight w:val="none"/>
          <w:lang w:val="en-US" w:eastAsia="zh-CN"/>
        </w:rPr>
        <w:t>6</w:t>
      </w:r>
      <w:r>
        <w:rPr>
          <w:rFonts w:hint="eastAsia" w:hAnsi="宋体" w:cs="宋体"/>
          <w:color w:val="000000"/>
          <w:sz w:val="24"/>
          <w:highlight w:val="none"/>
        </w:rPr>
        <w:t>、商务报价</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.1供应商的商务报价应是为采购人提供全部合同服务，并保证合同条款、技术规范及标准、项目采购需求、本磋商文件约定的所有费用的总和。</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任何因供应商忽视或误解采购范围、技术规范及标准、项目采购需求、合同条款和项目现场情况，若成交，采购人将不予批准由此而产生的索赔或服务期延长申请。</w:t>
      </w:r>
    </w:p>
    <w:p>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商务报价中不得包含合同条款、技术规范及标准、项目采购需求、本磋商文件要求以外的其他内容。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.2商务报价总价应包括的内容和计价因素</w:t>
      </w:r>
    </w:p>
    <w:p>
      <w:pPr>
        <w:adjustRightInd w:val="0"/>
        <w:snapToGrid w:val="0"/>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（1）</w:t>
      </w:r>
      <w:r>
        <w:rPr>
          <w:rFonts w:hint="eastAsia" w:ascii="宋体" w:hAnsi="宋体" w:cs="宋体"/>
          <w:b/>
          <w:bCs/>
          <w:color w:val="000000"/>
          <w:sz w:val="24"/>
          <w:highlight w:val="none"/>
          <w:lang w:eastAsia="zh-CN"/>
        </w:rPr>
        <w:t>采购三部1150kg及以上曳引式乘客电梯（有机房电梯），1部8层8站, 2部9层9站，速度:1.75m/s及以上。包括旧梯拆卸、电梯供电系统的修缮、新梯采购、供货、吊装费、安装（包括施工现场的脚手架的搭建和拆除、水电设施、垃圾清运费用等）、调试、检测验收、培训费、土建整改、电梯大门套制作、侯梯厅墙面地面装修部分修改修复、电梯维护、以及技术支持和售后服务、质保期内年检年审费用等一切电梯合法使用前所发生的全部服务，本项目为交钥匙工程。</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供应商根据对本磋商文件、技术规范和标准、项目采购需求、合同条款的理解，应达到的技术指标、检验及验收标准等要求，结合市场情况进行商务报价。供应商应充分考虑合同执行期内各类市场风险和国家政策性调整风险等因素对商务报价的影响。</w:t>
      </w:r>
    </w:p>
    <w:p>
      <w:pPr>
        <w:spacing w:line="360" w:lineRule="auto"/>
        <w:ind w:firstLine="480" w:firstLineChars="200"/>
        <w:rPr>
          <w:rFonts w:hint="eastAsia" w:ascii="宋体" w:hAnsi="宋体" w:cs="宋体"/>
          <w:color w:val="000000"/>
          <w:sz w:val="24"/>
          <w:highlight w:val="none"/>
        </w:rPr>
      </w:pPr>
      <w:bookmarkStart w:id="69" w:name="_Toc246216197"/>
      <w:bookmarkStart w:id="70" w:name="_Toc243906327"/>
      <w:bookmarkStart w:id="71" w:name="_Toc243907588"/>
      <w:bookmarkStart w:id="72" w:name="_Toc233274828"/>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.3供应商应按照磋商文件所附的格式完整地填写商务报价一览表。</w:t>
      </w:r>
      <w:r>
        <w:rPr>
          <w:rFonts w:hint="eastAsia" w:ascii="宋体" w:hAnsi="宋体" w:cs="宋体"/>
          <w:b/>
          <w:color w:val="000000"/>
          <w:sz w:val="24"/>
          <w:highlight w:val="none"/>
        </w:rPr>
        <w:t>供应商应对采购范围内的全部内容进行报价。</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.4供应商若成交，不得以任何理由在合同执行期间予以价格调整。任何包含价格调整的要求将被认为是非响应而予以拒绝。</w:t>
      </w:r>
    </w:p>
    <w:bookmarkEnd w:id="69"/>
    <w:bookmarkEnd w:id="70"/>
    <w:bookmarkEnd w:id="71"/>
    <w:bookmarkEnd w:id="72"/>
    <w:p>
      <w:pPr>
        <w:pStyle w:val="34"/>
        <w:spacing w:line="360" w:lineRule="auto"/>
        <w:ind w:firstLine="480" w:firstLineChars="200"/>
        <w:outlineLvl w:val="1"/>
        <w:rPr>
          <w:rFonts w:hint="eastAsia" w:hAnsi="宋体" w:cs="宋体"/>
          <w:color w:val="000000"/>
          <w:sz w:val="24"/>
          <w:highlight w:val="none"/>
        </w:rPr>
      </w:pPr>
      <w:bookmarkStart w:id="73" w:name="_Toc245897288"/>
      <w:r>
        <w:rPr>
          <w:rFonts w:hint="eastAsia" w:hAnsi="宋体" w:cs="宋体"/>
          <w:color w:val="000000"/>
          <w:sz w:val="24"/>
          <w:highlight w:val="none"/>
        </w:rPr>
        <w:t>1</w:t>
      </w:r>
      <w:r>
        <w:rPr>
          <w:rFonts w:hint="eastAsia" w:hAnsi="宋体" w:cs="宋体"/>
          <w:color w:val="000000"/>
          <w:sz w:val="24"/>
          <w:highlight w:val="none"/>
          <w:lang w:val="en-US" w:eastAsia="zh-CN"/>
        </w:rPr>
        <w:t>7</w:t>
      </w:r>
      <w:r>
        <w:rPr>
          <w:rFonts w:hint="eastAsia" w:hAnsi="宋体" w:cs="宋体"/>
          <w:color w:val="000000"/>
          <w:sz w:val="24"/>
          <w:highlight w:val="none"/>
        </w:rPr>
        <w:t>、商务报价货币</w:t>
      </w:r>
      <w:bookmarkEnd w:id="73"/>
    </w:p>
    <w:p>
      <w:pPr>
        <w:pStyle w:val="34"/>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w:t>
      </w:r>
      <w:r>
        <w:rPr>
          <w:rFonts w:hint="eastAsia" w:hAnsi="宋体" w:cs="宋体"/>
          <w:color w:val="000000"/>
          <w:sz w:val="24"/>
          <w:szCs w:val="24"/>
          <w:highlight w:val="none"/>
          <w:lang w:val="en-US" w:eastAsia="zh-CN"/>
        </w:rPr>
        <w:t>7</w:t>
      </w:r>
      <w:r>
        <w:rPr>
          <w:rFonts w:hint="eastAsia" w:hAnsi="宋体" w:cs="宋体"/>
          <w:color w:val="000000"/>
          <w:sz w:val="24"/>
          <w:szCs w:val="24"/>
          <w:highlight w:val="none"/>
        </w:rPr>
        <w:t>.1商务报价一览表</w:t>
      </w:r>
      <w:r>
        <w:rPr>
          <w:rFonts w:hint="eastAsia" w:hAnsi="宋体" w:cs="宋体"/>
          <w:color w:val="000000"/>
          <w:sz w:val="24"/>
          <w:szCs w:val="24"/>
          <w:highlight w:val="none"/>
          <w:lang w:eastAsia="zh-CN"/>
        </w:rPr>
        <w:t>、</w:t>
      </w:r>
      <w:r>
        <w:rPr>
          <w:rFonts w:hint="eastAsia" w:ascii="宋体" w:hAnsi="宋体" w:eastAsia="宋体" w:cs="宋体"/>
          <w:color w:val="auto"/>
          <w:sz w:val="24"/>
          <w:highlight w:val="none"/>
        </w:rPr>
        <w:t>设备、材料、备品、备件清单及价格明细表</w:t>
      </w:r>
      <w:r>
        <w:rPr>
          <w:rFonts w:hint="eastAsia" w:hAnsi="宋体" w:cs="宋体"/>
          <w:color w:val="000000"/>
          <w:sz w:val="24"/>
          <w:szCs w:val="24"/>
          <w:highlight w:val="none"/>
        </w:rPr>
        <w:t>和响应文件中的所有报价一律使用人民币（RMB）填报。</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、供应商资格证明文件</w:t>
      </w:r>
      <w:bookmarkEnd w:id="65"/>
      <w:bookmarkEnd w:id="66"/>
      <w:bookmarkEnd w:id="67"/>
      <w:bookmarkEnd w:id="68"/>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.1 供应商必须提交证明其有资格参加公开和中标后有能力履行合同的文件。</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74" w:name="_Toc243907590"/>
      <w:bookmarkStart w:id="75" w:name="_Toc243906329"/>
      <w:bookmarkStart w:id="76" w:name="_Toc245897290"/>
      <w:bookmarkStart w:id="77" w:name="_Toc233274830"/>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、提供的货物及服务符合采购文件规定的技术</w:t>
      </w:r>
      <w:bookmarkEnd w:id="74"/>
      <w:bookmarkEnd w:id="75"/>
      <w:bookmarkEnd w:id="76"/>
      <w:bookmarkEnd w:id="77"/>
      <w:r>
        <w:rPr>
          <w:rFonts w:hint="eastAsia" w:ascii="宋体" w:hAnsi="宋体" w:eastAsia="宋体" w:cs="宋体"/>
          <w:color w:val="auto"/>
          <w:sz w:val="24"/>
          <w:szCs w:val="24"/>
          <w:highlight w:val="none"/>
        </w:rPr>
        <w:t>响应文件</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.1 供应商须提交证明其拟供货物和服务符合采购文件、技术规范及标准、项目采购需求规定的技术响应文件，作为响应文件的一部分；</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.2上述文件可以是文字资料和数据，并须提供项目主要技术性能的详细描述及货物清单和所提供服务的详细说明；</w:t>
      </w:r>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.3供应商应逐条对采购文件、项目采购需求及合同主要条款等进行仔细阅读，提出自己提供的货物和服务是否对其做出了实质性的响应。</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78" w:name="_Toc233274831"/>
      <w:bookmarkStart w:id="79" w:name="_Toc243907591"/>
      <w:bookmarkStart w:id="80" w:name="_Toc243906330"/>
      <w:bookmarkStart w:id="81" w:name="_Toc245897291"/>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、响应文件有效期</w:t>
      </w:r>
      <w:bookmarkEnd w:id="78"/>
      <w:bookmarkEnd w:id="79"/>
      <w:bookmarkEnd w:id="80"/>
      <w:bookmarkEnd w:id="81"/>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响应文件</w:t>
      </w:r>
      <w:r>
        <w:rPr>
          <w:rFonts w:hint="eastAsia" w:ascii="宋体" w:hAnsi="宋体" w:eastAsia="宋体" w:cs="宋体"/>
          <w:color w:val="auto"/>
          <w:sz w:val="24"/>
          <w:szCs w:val="24"/>
          <w:highlight w:val="none"/>
        </w:rPr>
        <w:t>有效期为递交响应文件截止之日起90天（日历日）。供应商的响应文件有效期比规定的有效期短的，将被视为非响应而予以拒绝。</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.2 特殊情况下，在原有效期届满之前，采购人可征得供应商的同意延长其有效期，这种要求与答复均应以书面形式。供应商拒绝延长的，其响应文件失效，但供应商有权收回其投标保证金。同意延长有效期的供应商，既不要求也不允许其修改响应文件，但将相应延长投标保证金的有效期。有关退还和不予退还投标保证金的规定在有效期的延长期内继续有效。</w:t>
      </w:r>
    </w:p>
    <w:bookmarkEnd w:id="47"/>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rPr>
      </w:pPr>
      <w:bookmarkStart w:id="82" w:name="_Toc243906331"/>
      <w:bookmarkStart w:id="83" w:name="_Toc233274832"/>
      <w:bookmarkStart w:id="84" w:name="_Toc243907592"/>
      <w:bookmarkStart w:id="85" w:name="_Toc245897292"/>
      <w:bookmarkStart w:id="86" w:name="_Toc243906333"/>
      <w:bookmarkStart w:id="87" w:name="_Toc233274834"/>
      <w:bookmarkStart w:id="88" w:name="_Toc246216203"/>
      <w:bookmarkStart w:id="89" w:name="_Toc243907594"/>
      <w:r>
        <w:rPr>
          <w:rFonts w:hint="eastAsia" w:hAnsi="宋体" w:cs="宋体"/>
          <w:color w:val="auto"/>
          <w:sz w:val="24"/>
          <w:szCs w:val="24"/>
          <w:lang w:val="en-US" w:eastAsia="zh-CN"/>
        </w:rPr>
        <w:t>21</w:t>
      </w:r>
      <w:r>
        <w:rPr>
          <w:rFonts w:hint="eastAsia" w:ascii="宋体" w:hAnsi="宋体" w:eastAsia="宋体" w:cs="宋体"/>
          <w:color w:val="auto"/>
          <w:sz w:val="24"/>
          <w:szCs w:val="24"/>
        </w:rPr>
        <w:t>、响应文件的签署及规定</w:t>
      </w:r>
      <w:bookmarkEnd w:id="82"/>
      <w:bookmarkEnd w:id="83"/>
      <w:bookmarkEnd w:id="84"/>
      <w:bookmarkEnd w:id="85"/>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应提交本须知规定的加密PDF电子版响应文件</w:t>
      </w:r>
      <w:r>
        <w:rPr>
          <w:rFonts w:hint="eastAsia" w:ascii="宋体" w:hAnsi="宋体" w:eastAsia="宋体" w:cs="宋体"/>
          <w:color w:val="auto"/>
          <w:sz w:val="24"/>
          <w:szCs w:val="24"/>
          <w:highlight w:val="none"/>
          <w:lang w:eastAsia="zh-CN"/>
        </w:rPr>
        <w:t>。</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.2响应文件须由法定代表人或委托代理人签字或盖章。响应文件应加盖供应商的公章。</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.3 除供应商对错误做必要修改外，响应文件中不许有增删、涂改或改写。若确有修改必须由签署响应文件的委托代理人签字或盖章。</w:t>
      </w: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D  响应文件的递交、修改和撤回</w:t>
      </w:r>
      <w:bookmarkEnd w:id="86"/>
      <w:bookmarkEnd w:id="87"/>
      <w:bookmarkEnd w:id="88"/>
      <w:bookmarkEnd w:id="89"/>
    </w:p>
    <w:p>
      <w:pPr>
        <w:pStyle w:val="34"/>
        <w:wordWrap/>
        <w:spacing w:line="360" w:lineRule="auto"/>
        <w:ind w:firstLine="482" w:firstLineChars="200"/>
        <w:jc w:val="center"/>
        <w:rPr>
          <w:rFonts w:hint="eastAsia" w:ascii="宋体" w:hAnsi="宋体" w:eastAsia="宋体" w:cs="宋体"/>
          <w:b/>
          <w:bCs/>
          <w:color w:val="auto"/>
          <w:sz w:val="24"/>
          <w:highlight w:val="none"/>
        </w:rPr>
      </w:pP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90" w:name="_Toc243906334"/>
      <w:bookmarkStart w:id="91" w:name="_Toc243907595"/>
      <w:bookmarkStart w:id="92" w:name="_Toc245897295"/>
      <w:bookmarkStart w:id="93" w:name="_Toc233274835"/>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、响应文件的密封和标记</w:t>
      </w:r>
      <w:bookmarkEnd w:id="90"/>
      <w:bookmarkEnd w:id="91"/>
      <w:bookmarkEnd w:id="92"/>
      <w:bookmarkEnd w:id="93"/>
    </w:p>
    <w:p>
      <w:pPr>
        <w:pStyle w:val="34"/>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bookmarkStart w:id="94" w:name="_Toc233274836"/>
      <w:bookmarkStart w:id="95" w:name="_Toc243906335"/>
      <w:bookmarkStart w:id="96" w:name="_Toc245897296"/>
      <w:bookmarkStart w:id="97" w:name="_Toc243907596"/>
      <w:r>
        <w:rPr>
          <w:rFonts w:hint="eastAsia" w:ascii="宋体" w:hAnsi="宋体" w:eastAsia="宋体" w:cs="宋体"/>
          <w:b/>
          <w:bCs/>
          <w:color w:val="auto"/>
          <w:sz w:val="24"/>
          <w:highlight w:val="none"/>
          <w:lang w:val="en-US" w:eastAsia="zh-CN"/>
        </w:rPr>
        <w:t>2</w:t>
      </w:r>
      <w:r>
        <w:rPr>
          <w:rFonts w:hint="eastAsia"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所有加密PDF电子版响应文件压缩包都必须按磋商文件供应商须知前附表中规定的递交响应文件截止时间之前发至</w:t>
      </w:r>
      <w:r>
        <w:rPr>
          <w:rFonts w:hint="eastAsia" w:ascii="宋体" w:hAnsi="宋体" w:eastAsia="宋体" w:cs="宋体"/>
          <w:b/>
          <w:bCs/>
          <w:color w:val="auto"/>
          <w:sz w:val="24"/>
          <w:highlight w:val="none"/>
          <w:lang w:val="en-US" w:eastAsia="zh-CN"/>
        </w:rPr>
        <w:t>603781401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qq</w:t>
      </w:r>
      <w:r>
        <w:rPr>
          <w:rFonts w:hint="eastAsia" w:ascii="宋体" w:hAnsi="宋体" w:eastAsia="宋体" w:cs="宋体"/>
          <w:b/>
          <w:bCs/>
          <w:color w:val="auto"/>
          <w:sz w:val="24"/>
          <w:highlight w:val="none"/>
        </w:rPr>
        <w:t>.com邮箱。</w:t>
      </w:r>
    </w:p>
    <w:p>
      <w:pPr>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2供应商提交的响应文件必须唯一有效，响应文件内要求有盖章及签字的必须有盖章签字，所盖章必须是红章。上传压缩包文件内容要求：按照磋商文件要求进行编制。未加密或解锁密码有误或未将响应文件转换PDF格式等，导致无法正常解密的，均作为无效响应文件处理。</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、递交响应文件截止时间</w:t>
      </w:r>
      <w:bookmarkEnd w:id="94"/>
      <w:bookmarkEnd w:id="95"/>
      <w:bookmarkEnd w:id="96"/>
      <w:bookmarkEnd w:id="97"/>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.1 所有响应文件都必须按采购人</w:t>
      </w:r>
      <w:r>
        <w:rPr>
          <w:rFonts w:hint="eastAsia" w:ascii="宋体" w:hAnsi="宋体" w:eastAsia="宋体" w:cs="宋体"/>
          <w:color w:val="auto"/>
          <w:sz w:val="24"/>
          <w:highlight w:val="none"/>
        </w:rPr>
        <w:t>在供应商须知前附表中规定的截止时间之前送达。</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.2出现因磋商文件的修改推迟截止日期时，则按采购代理机构修改通知规定的时间递交响应文件。在此情况下，采购人和采购代理机构与供应商之间受截止期制约的所有权利和义务应延长至新的截止期。</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98" w:name="_Toc245897297"/>
      <w:bookmarkStart w:id="99" w:name="_Toc243906336"/>
      <w:bookmarkStart w:id="100" w:name="_Toc233274837"/>
      <w:bookmarkStart w:id="101" w:name="_Toc243907597"/>
      <w:r>
        <w:rPr>
          <w:rFonts w:hint="eastAsia" w:ascii="宋体" w:hAnsi="宋体" w:eastAsia="宋体" w:cs="宋体"/>
          <w:color w:val="auto"/>
          <w:sz w:val="24"/>
          <w:highlight w:val="none"/>
          <w:lang w:val="en-US" w:eastAsia="zh-CN"/>
        </w:rPr>
        <w:t>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、迟交的响应文件</w:t>
      </w:r>
      <w:bookmarkEnd w:id="98"/>
      <w:bookmarkEnd w:id="99"/>
      <w:bookmarkEnd w:id="100"/>
      <w:bookmarkEnd w:id="101"/>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.1 采购人将拒绝并原封退回在其规定的截止时间后送达的响应文件。</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102" w:name="_Toc243906337"/>
      <w:bookmarkStart w:id="103" w:name="_Toc233274838"/>
      <w:bookmarkStart w:id="104" w:name="_Toc245897298"/>
      <w:bookmarkStart w:id="105" w:name="_Toc243907598"/>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、响应文件的修改和撤回</w:t>
      </w:r>
      <w:bookmarkEnd w:id="102"/>
      <w:bookmarkEnd w:id="103"/>
      <w:bookmarkEnd w:id="104"/>
      <w:bookmarkEnd w:id="105"/>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.1 供应商在提交响应文件后可在截止时间前对其响应文件进行修改或撤回，但采购人须在截止时间之前收到该修改或撤回的书面通知，该通知须有法定代表人或经有效授权的委托代理人签字或盖章。</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.2 供应商对响应文件修改的书面材料或撤回的通知应按第2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条</w:t>
      </w:r>
      <w:r>
        <w:rPr>
          <w:rFonts w:hint="eastAsia" w:hAnsi="宋体" w:cs="宋体"/>
          <w:color w:val="000000"/>
          <w:sz w:val="24"/>
          <w:highlight w:val="none"/>
        </w:rPr>
        <w:t>和第23条</w:t>
      </w:r>
      <w:r>
        <w:rPr>
          <w:rFonts w:hint="eastAsia" w:ascii="宋体" w:hAnsi="宋体" w:eastAsia="宋体" w:cs="宋体"/>
          <w:color w:val="auto"/>
          <w:sz w:val="24"/>
          <w:highlight w:val="none"/>
        </w:rPr>
        <w:t>规定进行编写、密封、标记和递交，并注明“修改响应文件”或“撤回响应文件”字样。</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.3截止时间之后，供应商不得对响应文件做任何修改。</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.4 供应商不得在截止时间起至响应文件有效期期满前撤回响应文件。</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106" w:name="_Toc245897299"/>
      <w:bookmarkStart w:id="107" w:name="_Toc243906338"/>
      <w:bookmarkStart w:id="108" w:name="_Toc243907599"/>
      <w:bookmarkStart w:id="109" w:name="_Toc233274839"/>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、递交响应文件</w:t>
      </w:r>
      <w:bookmarkEnd w:id="106"/>
      <w:bookmarkEnd w:id="107"/>
      <w:bookmarkEnd w:id="108"/>
      <w:bookmarkEnd w:id="109"/>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.1供应商应按本供应商须知前附表规定的时间及地点递交响应文件。</w:t>
      </w:r>
    </w:p>
    <w:p>
      <w:pPr>
        <w:widowControl w:val="0"/>
        <w:wordWrap/>
        <w:adjustRightInd/>
        <w:snapToGrid/>
        <w:spacing w:line="360" w:lineRule="auto"/>
        <w:ind w:firstLine="482"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.2有下列情形之一的，采购人不予接收其响应文件：</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电子版</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文件逾期上传或未按要求上传至指定邮箱的；</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.2.2 </w:t>
      </w:r>
      <w:r>
        <w:rPr>
          <w:rFonts w:hint="eastAsia" w:ascii="宋体" w:hAnsi="宋体" w:eastAsia="宋体" w:cs="宋体"/>
          <w:b/>
          <w:bCs/>
          <w:color w:val="auto"/>
          <w:sz w:val="24"/>
          <w:highlight w:val="none"/>
        </w:rPr>
        <w:t>电子版</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文件无法解密的。</w:t>
      </w:r>
    </w:p>
    <w:p>
      <w:pPr>
        <w:pStyle w:val="34"/>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hAnsi="宋体" w:cs="宋体"/>
          <w:b/>
          <w:bCs/>
          <w:color w:val="auto"/>
          <w:sz w:val="24"/>
          <w:highlight w:val="none"/>
          <w:lang w:val="en-US" w:eastAsia="zh-CN"/>
        </w:rPr>
        <w:t>6</w:t>
      </w:r>
      <w:r>
        <w:rPr>
          <w:rFonts w:hint="eastAsia" w:ascii="宋体" w:hAnsi="宋体" w:eastAsia="宋体" w:cs="宋体"/>
          <w:b/>
          <w:bCs/>
          <w:color w:val="auto"/>
          <w:sz w:val="24"/>
          <w:highlight w:val="none"/>
          <w:lang w:val="en-US" w:eastAsia="zh-CN"/>
        </w:rPr>
        <w:t>.2.3</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4"/>
          <w:highlight w:val="none"/>
          <w:lang w:val="en-US" w:eastAsia="zh-CN" w:bidi="ar-SA"/>
        </w:rPr>
        <w:t>中华人民共和国政府采购法</w:t>
      </w:r>
      <w:r>
        <w:rPr>
          <w:rFonts w:hint="eastAsia" w:ascii="宋体" w:hAnsi="宋体" w:eastAsia="宋体" w:cs="宋体"/>
          <w:b/>
          <w:bCs/>
          <w:color w:val="auto"/>
          <w:sz w:val="24"/>
          <w:highlight w:val="none"/>
        </w:rPr>
        <w:t>》及相关法律、法规及本</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文件规定不予接收其</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文件的其他情形。</w:t>
      </w:r>
    </w:p>
    <w:p>
      <w:pPr>
        <w:wordWrap/>
        <w:spacing w:line="360" w:lineRule="auto"/>
        <w:ind w:firstLine="480" w:firstLineChars="200"/>
        <w:rPr>
          <w:rFonts w:hint="eastAsia" w:ascii="宋体" w:hAnsi="宋体" w:eastAsia="宋体" w:cs="宋体"/>
          <w:color w:val="auto"/>
          <w:sz w:val="24"/>
          <w:highlight w:val="none"/>
        </w:rPr>
      </w:pPr>
    </w:p>
    <w:p>
      <w:pPr>
        <w:wordWrap/>
        <w:spacing w:line="360" w:lineRule="auto"/>
        <w:ind w:firstLine="562" w:firstLineChars="200"/>
        <w:jc w:val="center"/>
        <w:outlineLvl w:val="1"/>
        <w:rPr>
          <w:rFonts w:hint="eastAsia" w:ascii="宋体" w:hAnsi="宋体" w:eastAsia="宋体" w:cs="宋体"/>
          <w:b/>
          <w:bCs/>
          <w:color w:val="auto"/>
          <w:sz w:val="28"/>
          <w:szCs w:val="28"/>
          <w:highlight w:val="none"/>
        </w:rPr>
      </w:pPr>
      <w:bookmarkStart w:id="110" w:name="_Toc246216209"/>
      <w:bookmarkStart w:id="111" w:name="_Toc233274840"/>
      <w:bookmarkStart w:id="112" w:name="_Toc243906339"/>
      <w:bookmarkStart w:id="113" w:name="_Toc243907600"/>
      <w:r>
        <w:rPr>
          <w:rFonts w:hint="eastAsia" w:ascii="宋体" w:hAnsi="宋体" w:eastAsia="宋体" w:cs="宋体"/>
          <w:b/>
          <w:bCs/>
          <w:color w:val="auto"/>
          <w:sz w:val="28"/>
          <w:szCs w:val="28"/>
          <w:highlight w:val="none"/>
        </w:rPr>
        <w:t xml:space="preserve">E  </w:t>
      </w:r>
      <w:bookmarkEnd w:id="110"/>
      <w:bookmarkEnd w:id="111"/>
      <w:bookmarkEnd w:id="112"/>
      <w:bookmarkEnd w:id="113"/>
      <w:r>
        <w:rPr>
          <w:rFonts w:hint="eastAsia" w:ascii="宋体" w:hAnsi="宋体" w:eastAsia="宋体" w:cs="宋体"/>
          <w:b/>
          <w:bCs/>
          <w:color w:val="auto"/>
          <w:sz w:val="28"/>
          <w:szCs w:val="28"/>
          <w:highlight w:val="none"/>
        </w:rPr>
        <w:t>磋商、评审、确定成交供应商</w:t>
      </w:r>
    </w:p>
    <w:p>
      <w:pPr>
        <w:wordWrap/>
        <w:spacing w:line="360" w:lineRule="auto"/>
        <w:ind w:firstLine="480" w:firstLineChars="200"/>
        <w:rPr>
          <w:rFonts w:hint="eastAsia" w:ascii="宋体" w:hAnsi="宋体" w:eastAsia="宋体" w:cs="宋体"/>
          <w:color w:val="auto"/>
          <w:sz w:val="24"/>
          <w:szCs w:val="20"/>
          <w:highlight w:val="none"/>
        </w:rPr>
      </w:pP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14" w:name="_Toc245897301"/>
      <w:bookmarkStart w:id="115" w:name="_Toc233274841"/>
      <w:bookmarkStart w:id="116" w:name="_Toc243906340"/>
      <w:bookmarkStart w:id="117" w:name="_Toc243907601"/>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rPr>
        <w:t>、</w:t>
      </w:r>
      <w:bookmarkEnd w:id="114"/>
      <w:bookmarkEnd w:id="115"/>
      <w:bookmarkEnd w:id="116"/>
      <w:bookmarkEnd w:id="117"/>
      <w:r>
        <w:rPr>
          <w:rFonts w:hint="eastAsia" w:ascii="宋体" w:hAnsi="宋体" w:eastAsia="宋体" w:cs="宋体"/>
          <w:color w:val="auto"/>
          <w:sz w:val="24"/>
          <w:szCs w:val="20"/>
          <w:highlight w:val="none"/>
        </w:rPr>
        <w:t>磋商会议</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rPr>
        <w:t>.1采购人在本供应商须知前附表第8项规定的时间和地点组织磋商会议。</w:t>
      </w:r>
    </w:p>
    <w:p>
      <w:pPr>
        <w:pStyle w:val="34"/>
        <w:wordWrap/>
        <w:adjustRightInd/>
        <w:snapToGrid/>
        <w:spacing w:line="360" w:lineRule="auto"/>
        <w:ind w:firstLine="480"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szCs w:val="20"/>
          <w:highlight w:val="none"/>
        </w:rPr>
        <w:t>2</w:t>
      </w:r>
      <w:r>
        <w:rPr>
          <w:rFonts w:hint="eastAsia" w:hAnsi="宋体" w:cs="宋体"/>
          <w:color w:val="auto"/>
          <w:sz w:val="24"/>
          <w:szCs w:val="20"/>
          <w:highlight w:val="none"/>
          <w:lang w:val="en-US" w:eastAsia="zh-CN"/>
        </w:rPr>
        <w:t>7</w:t>
      </w:r>
      <w:r>
        <w:rPr>
          <w:rFonts w:hint="eastAsia" w:ascii="宋体" w:hAnsi="宋体" w:eastAsia="宋体" w:cs="宋体"/>
          <w:color w:val="auto"/>
          <w:sz w:val="24"/>
          <w:szCs w:val="20"/>
          <w:highlight w:val="none"/>
        </w:rPr>
        <w:t>.2</w:t>
      </w:r>
      <w:r>
        <w:rPr>
          <w:rFonts w:hint="eastAsia" w:ascii="宋体" w:hAnsi="宋体" w:eastAsia="宋体" w:cs="宋体"/>
          <w:b/>
          <w:color w:val="auto"/>
          <w:sz w:val="24"/>
          <w:highlight w:val="none"/>
        </w:rPr>
        <w:t>本项目实行“不见面”</w:t>
      </w:r>
      <w:r>
        <w:rPr>
          <w:rFonts w:hint="eastAsia" w:ascii="宋体" w:hAnsi="宋体" w:eastAsia="宋体" w:cs="宋体"/>
          <w:b/>
          <w:color w:val="auto"/>
          <w:sz w:val="24"/>
          <w:highlight w:val="none"/>
          <w:lang w:val="en-US" w:eastAsia="zh-CN"/>
        </w:rPr>
        <w:t>评审</w:t>
      </w:r>
      <w:r>
        <w:rPr>
          <w:rFonts w:hint="eastAsia" w:ascii="宋体" w:hAnsi="宋体" w:eastAsia="宋体" w:cs="宋体"/>
          <w:b/>
          <w:color w:val="auto"/>
          <w:sz w:val="24"/>
          <w:highlight w:val="none"/>
        </w:rPr>
        <w:t>，供应商的法人代表人或其委托代理人无需到</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现场递交响应文件。</w:t>
      </w:r>
    </w:p>
    <w:p>
      <w:pPr>
        <w:pStyle w:val="34"/>
        <w:wordWrap/>
        <w:adjustRightInd/>
        <w:snapToGrid/>
        <w:spacing w:line="360" w:lineRule="auto"/>
        <w:ind w:firstLine="482"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递交响应文件截止时间后，待所有供应商在规定时间内发全响应文件解锁密码,</w:t>
      </w:r>
      <w:r>
        <w:rPr>
          <w:rFonts w:hint="eastAsia" w:ascii="宋体" w:hAnsi="宋体" w:eastAsia="宋体" w:cs="宋体"/>
          <w:b/>
          <w:color w:val="auto"/>
          <w:sz w:val="24"/>
          <w:highlight w:val="none"/>
          <w:lang w:val="en-US" w:eastAsia="zh-CN"/>
        </w:rPr>
        <w:t>采购</w:t>
      </w:r>
      <w:r>
        <w:rPr>
          <w:rFonts w:hint="eastAsia" w:ascii="宋体" w:hAnsi="宋体" w:eastAsia="宋体" w:cs="宋体"/>
          <w:b/>
          <w:color w:val="auto"/>
          <w:sz w:val="24"/>
          <w:highlight w:val="none"/>
        </w:rPr>
        <w:t>代理机构根据供应商提供的密码开启各供应商的响应文件,解密成功的响应文件由</w:t>
      </w:r>
      <w:r>
        <w:rPr>
          <w:rFonts w:hint="eastAsia" w:ascii="宋体" w:hAnsi="宋体" w:eastAsia="宋体" w:cs="宋体"/>
          <w:b/>
          <w:color w:val="auto"/>
          <w:sz w:val="24"/>
          <w:highlight w:val="none"/>
          <w:lang w:val="en-US" w:eastAsia="zh-CN"/>
        </w:rPr>
        <w:t>采购</w:t>
      </w:r>
      <w:r>
        <w:rPr>
          <w:rFonts w:hint="eastAsia" w:ascii="宋体" w:hAnsi="宋体" w:eastAsia="宋体" w:cs="宋体"/>
          <w:b/>
          <w:color w:val="auto"/>
          <w:sz w:val="24"/>
          <w:highlight w:val="none"/>
        </w:rPr>
        <w:t>代理机构工作人员统一带至评标室。</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rPr>
        <w:t>.3</w:t>
      </w:r>
      <w:r>
        <w:rPr>
          <w:rFonts w:hint="eastAsia" w:ascii="宋体" w:hAnsi="宋体" w:eastAsia="宋体" w:cs="宋体"/>
          <w:color w:val="auto"/>
          <w:sz w:val="24"/>
          <w:szCs w:val="20"/>
          <w:highlight w:val="none"/>
        </w:rPr>
        <w:t>磋商会议由采购代理机构组织并主持。</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highlight w:val="none"/>
        </w:rPr>
        <w:t>在磋商过程中，工作人员如发现响应文件组成部分不齐全，由磋商小组认定其有效性。磋商小组认定的无效响应文件将不进入磋商、评审阶段。</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18" w:name="_Toc245897302"/>
      <w:bookmarkStart w:id="119" w:name="_Toc243906341"/>
      <w:bookmarkStart w:id="120" w:name="_Toc243907602"/>
      <w:bookmarkStart w:id="121" w:name="_Toc233274842"/>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8</w:t>
      </w:r>
      <w:r>
        <w:rPr>
          <w:rFonts w:hint="eastAsia" w:ascii="宋体" w:hAnsi="宋体" w:eastAsia="宋体" w:cs="宋体"/>
          <w:color w:val="auto"/>
          <w:sz w:val="24"/>
          <w:szCs w:val="20"/>
          <w:highlight w:val="none"/>
        </w:rPr>
        <w:t>、</w:t>
      </w:r>
      <w:bookmarkEnd w:id="118"/>
      <w:bookmarkEnd w:id="119"/>
      <w:bookmarkEnd w:id="120"/>
      <w:bookmarkEnd w:id="121"/>
      <w:r>
        <w:rPr>
          <w:rFonts w:hint="eastAsia" w:ascii="宋体" w:hAnsi="宋体" w:eastAsia="宋体" w:cs="宋体"/>
          <w:color w:val="auto"/>
          <w:sz w:val="24"/>
          <w:szCs w:val="20"/>
          <w:highlight w:val="none"/>
        </w:rPr>
        <w:t>磋商小组</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8</w:t>
      </w:r>
      <w:r>
        <w:rPr>
          <w:rFonts w:hint="eastAsia" w:ascii="宋体" w:hAnsi="宋体" w:eastAsia="宋体" w:cs="宋体"/>
          <w:color w:val="auto"/>
          <w:sz w:val="24"/>
          <w:szCs w:val="20"/>
          <w:highlight w:val="none"/>
        </w:rPr>
        <w:t>.1磋商小组成员组成：按照</w:t>
      </w:r>
      <w:r>
        <w:rPr>
          <w:rFonts w:hint="eastAsia" w:ascii="宋体" w:hAnsi="宋体" w:eastAsia="宋体" w:cs="宋体"/>
          <w:color w:val="auto"/>
          <w:sz w:val="24"/>
          <w:highlight w:val="none"/>
        </w:rPr>
        <w:t>《中华人民共和国政府采购法》、《政府采购竞争性磋商采购方式管理暂行办法》</w:t>
      </w:r>
      <w:r>
        <w:rPr>
          <w:rFonts w:hint="eastAsia" w:ascii="宋体" w:hAnsi="宋体" w:eastAsia="宋体" w:cs="宋体"/>
          <w:color w:val="auto"/>
          <w:sz w:val="24"/>
          <w:szCs w:val="20"/>
          <w:highlight w:val="none"/>
        </w:rPr>
        <w:t>及相关法律、法规规定组建</w:t>
      </w:r>
      <w:r>
        <w:rPr>
          <w:rFonts w:hint="eastAsia" w:ascii="宋体" w:hAnsi="宋体" w:eastAsia="宋体" w:cs="宋体"/>
          <w:color w:val="auto"/>
          <w:sz w:val="24"/>
          <w:highlight w:val="none"/>
        </w:rPr>
        <w:t>，由采购人代表和评审专家组成</w:t>
      </w:r>
      <w:r>
        <w:rPr>
          <w:rFonts w:hint="eastAsia" w:ascii="宋体" w:hAnsi="宋体" w:eastAsia="宋体" w:cs="宋体"/>
          <w:color w:val="auto"/>
          <w:sz w:val="24"/>
          <w:szCs w:val="20"/>
          <w:highlight w:val="none"/>
        </w:rPr>
        <w:t>。磋商小组将负责对供应商提交的响应文件进行磋商、评审，确保磋商、评审过程公正、合法、保密，并向采购人推荐成交候选供应商。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22" w:name="_Toc245897306"/>
      <w:bookmarkStart w:id="123" w:name="_Toc233274845"/>
      <w:bookmarkStart w:id="124" w:name="_Toc243906346"/>
      <w:bookmarkStart w:id="125" w:name="_Toc243907607"/>
      <w:bookmarkStart w:id="126" w:name="_Toc245897304"/>
      <w:bookmarkStart w:id="127" w:name="_Toc243907605"/>
      <w:bookmarkStart w:id="128" w:name="_Toc243906344"/>
      <w:bookmarkStart w:id="129" w:name="_Toc233274843"/>
      <w:r>
        <w:rPr>
          <w:rFonts w:hint="eastAsia" w:ascii="宋体" w:hAnsi="宋体" w:cs="宋体"/>
          <w:color w:val="auto"/>
          <w:sz w:val="24"/>
          <w:szCs w:val="20"/>
          <w:highlight w:val="none"/>
          <w:lang w:val="en-US" w:eastAsia="zh-CN"/>
        </w:rPr>
        <w:t>29</w:t>
      </w:r>
      <w:r>
        <w:rPr>
          <w:rFonts w:hint="eastAsia" w:ascii="宋体" w:hAnsi="宋体" w:eastAsia="宋体" w:cs="宋体"/>
          <w:color w:val="auto"/>
          <w:sz w:val="24"/>
          <w:szCs w:val="20"/>
          <w:highlight w:val="none"/>
        </w:rPr>
        <w:t>、磋商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磋商小组所有成员集中与单一供应商分别进行磋商。供应商应由法定代表人或法定代表人授权的供应商代表及专业技术人员参与磋商。供应商所作的重要答复均应以书面形式予以补充，并经法定代表人或授权人签署，作为响应文件的一部分，对供应商具有约束力，但不得对磋商内容进行实质性修改。在磋商中，磋商的任何一方不得透露与磋商有关的其他供应商的技术资料和其他信息。</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在磋商小组与各供应商进行了相同轮次的磋商后，为了更好地实现采购目标，磋商小组可以修改磋商文件，但涉及实质性变动的，将以书面形式通知所有参加磋商的供应商。供应商收到修改磋商文件的通知后，可以决定是否继续参加磋商活动。</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.3供应商应当按照磋商文件的变动情况和磋商小组的要求重新提交响应文件，并由其法定代表人或委托代理人签字或者加盖公章。由委托代理人签字的，应当附法定代表人授权书。</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.4磋商文件能够详细列明采购标的的技术、服务要求的，磋商小组在磋商结束后，磋商小组应当要求所有实质性响应的供应商在规定时间内提交最后报价，最后报价是供应商响应文件的有效组成部分。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磋商文件不能详细列明采购标的的技术、服务要求，需经磋商由供应商提供最终整修方案或解决方案的，磋商结束后，磋商小组应当按照少数服从多数的原则投票推荐3家以上供应商的整修方案或者解决方案，并要求其在规定时间内提交最后报价。</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.6已提交响应文件的供应商，在提交最后报价之前，可以根据磋商情况退出磋商。</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w:t>
      </w:r>
      <w:r>
        <w:rPr>
          <w:rFonts w:hint="eastAsia" w:ascii="宋体" w:hAnsi="宋体" w:eastAsia="宋体" w:cs="宋体"/>
          <w:color w:val="auto"/>
          <w:sz w:val="24"/>
          <w:szCs w:val="20"/>
          <w:highlight w:val="none"/>
        </w:rPr>
        <w:t>磋商小组判断响应文件的响应性仅基于响应文件本身而不依靠任何外部证据，但响应文件有不真实、不正确的内容除外。</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9</w:t>
      </w:r>
      <w:r>
        <w:rPr>
          <w:rFonts w:hint="eastAsia" w:ascii="宋体" w:hAnsi="宋体" w:eastAsia="宋体" w:cs="宋体"/>
          <w:color w:val="auto"/>
          <w:sz w:val="24"/>
          <w:szCs w:val="20"/>
          <w:highlight w:val="none"/>
        </w:rPr>
        <w:t>.8如果响应文件实质上没有响应磋商文件的要求，磋商小组将予以拒绝，供应商不得通过修正或</w:t>
      </w:r>
      <w:r>
        <w:rPr>
          <w:rFonts w:hint="eastAsia" w:ascii="宋体" w:hAnsi="宋体" w:cs="宋体"/>
          <w:color w:val="auto"/>
          <w:sz w:val="24"/>
          <w:szCs w:val="20"/>
          <w:highlight w:val="none"/>
          <w:lang w:eastAsia="zh-CN"/>
        </w:rPr>
        <w:t>撤销</w:t>
      </w:r>
      <w:r>
        <w:rPr>
          <w:rFonts w:hint="eastAsia" w:ascii="宋体" w:hAnsi="宋体" w:eastAsia="宋体" w:cs="宋体"/>
          <w:color w:val="auto"/>
          <w:sz w:val="24"/>
          <w:szCs w:val="20"/>
          <w:highlight w:val="none"/>
        </w:rPr>
        <w:t>不符合要求的偏离或保留，而使其成为实质上响应。</w:t>
      </w:r>
    </w:p>
    <w:p>
      <w:pPr>
        <w:spacing w:line="360" w:lineRule="auto"/>
        <w:ind w:firstLine="480" w:firstLineChars="200"/>
        <w:outlineLvl w:val="1"/>
        <w:rPr>
          <w:rFonts w:hint="eastAsia" w:ascii="宋体" w:hAnsi="宋体" w:cs="宋体"/>
          <w:color w:val="000000"/>
          <w:sz w:val="24"/>
          <w:highlight w:val="none"/>
        </w:rPr>
      </w:pPr>
      <w:bookmarkStart w:id="130" w:name="_Toc224624628"/>
      <w:bookmarkStart w:id="131" w:name="_Toc243907606"/>
      <w:bookmarkStart w:id="132" w:name="_Toc224622928"/>
      <w:bookmarkStart w:id="133" w:name="_Toc245897305"/>
      <w:bookmarkStart w:id="134" w:name="_Toc224623557"/>
      <w:bookmarkStart w:id="135" w:name="_Toc243906345"/>
      <w:bookmarkStart w:id="136" w:name="_Toc224623451"/>
      <w:bookmarkStart w:id="137" w:name="_Toc224620071"/>
      <w:bookmarkStart w:id="138" w:name="_Toc224620150"/>
      <w:bookmarkStart w:id="139" w:name="_Toc224624488"/>
      <w:bookmarkStart w:id="140" w:name="_Toc224623663"/>
      <w:bookmarkStart w:id="141" w:name="_Toc224624767"/>
      <w:r>
        <w:rPr>
          <w:rFonts w:hint="eastAsia" w:ascii="宋体" w:hAnsi="宋体" w:cs="宋体"/>
          <w:color w:val="000000"/>
          <w:sz w:val="24"/>
          <w:highlight w:val="none"/>
        </w:rPr>
        <w:t>31、评审</w:t>
      </w:r>
    </w:p>
    <w:p>
      <w:pPr>
        <w:spacing w:line="360" w:lineRule="auto"/>
        <w:ind w:firstLine="480" w:firstLineChars="200"/>
        <w:outlineLvl w:val="1"/>
        <w:rPr>
          <w:rFonts w:hint="eastAsia" w:ascii="宋体" w:hAnsi="宋体" w:cs="宋体"/>
          <w:b/>
          <w:bCs/>
          <w:color w:val="000000"/>
          <w:sz w:val="24"/>
          <w:highlight w:val="none"/>
        </w:rPr>
      </w:pPr>
      <w:r>
        <w:rPr>
          <w:rFonts w:hint="eastAsia" w:ascii="宋体" w:hAnsi="宋体" w:cs="宋体"/>
          <w:color w:val="000000"/>
          <w:sz w:val="24"/>
          <w:highlight w:val="none"/>
        </w:rPr>
        <w:t>31.1经磋商确定最终采购需求和提交最后报价的供应商后，</w:t>
      </w:r>
      <w:r>
        <w:rPr>
          <w:rFonts w:hint="eastAsia" w:ascii="宋体" w:hAnsi="宋体" w:cs="宋体"/>
          <w:b/>
          <w:bCs/>
          <w:color w:val="000000"/>
          <w:sz w:val="24"/>
          <w:highlight w:val="none"/>
        </w:rPr>
        <w:t>由磋商小组采用综合评分法对提交最后报价的供应商响应文件和最后报价进行综合评分。</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31.2磋商小组将对实质性响应磋商文件的响应文件进行详细评审和比较。对服务、价格等进行比较，并与磋商文件、项目采购需求和采购人的实际需要进行比较和评价。</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31.3商务报价错误的修正</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如果发现商务报价存在计算或表达上错误，则按下列原则进行修正：</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（1）用数字表示的数额与用文字表示的数额不一致时，以文字数额为准；</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（2）单价与工程量的乘积与总价之间不一致时，以单价为准。若单价有明显小数点错位，应以总价为准，并修改单价。</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highlight w:val="none"/>
        </w:rPr>
        <w:t>31.4磋商小组将按第31.3条原则修正商务报价，并要求供应商进行确认。确认后的报价和文件将对供应商具有约束力。并以修正后的报价作为评审的依据。</w:t>
      </w:r>
    </w:p>
    <w:bookmarkEnd w:id="130"/>
    <w:bookmarkEnd w:id="131"/>
    <w:bookmarkEnd w:id="132"/>
    <w:bookmarkEnd w:id="133"/>
    <w:bookmarkEnd w:id="134"/>
    <w:bookmarkEnd w:id="135"/>
    <w:bookmarkEnd w:id="136"/>
    <w:bookmarkEnd w:id="137"/>
    <w:bookmarkEnd w:id="138"/>
    <w:bookmarkEnd w:id="139"/>
    <w:bookmarkEnd w:id="140"/>
    <w:bookmarkEnd w:id="141"/>
    <w:p>
      <w:pPr>
        <w:spacing w:line="360" w:lineRule="auto"/>
        <w:ind w:firstLine="480" w:firstLineChars="200"/>
        <w:outlineLvl w:val="1"/>
        <w:rPr>
          <w:rFonts w:hint="eastAsia" w:ascii="宋体" w:hAnsi="宋体" w:cs="宋体"/>
          <w:color w:val="000000"/>
          <w:highlight w:val="none"/>
        </w:rPr>
      </w:pPr>
      <w:r>
        <w:rPr>
          <w:rFonts w:hint="eastAsia" w:ascii="宋体" w:hAnsi="宋体" w:cs="宋体"/>
          <w:color w:val="000000"/>
          <w:sz w:val="24"/>
          <w:highlight w:val="none"/>
        </w:rPr>
        <w:t>32、响应文件的澄清</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32.1为有助于对响应文件的审查、评价和比较，磋商小组在评审过程中有权随时请供应商对其响应文件进行澄清，有关澄清的要求和答复应以书面形式提交，供应商对澄清问题的书面答复应有法定代表或委托代理人签字或盖章，但不得寻求、提供或允许对最后报价或响应文件中的其他实质性内容做任何更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32.2供应商法定代表或委托代理人在评审过程中应保证随时接受磋商小组质询。若供应商法定代表或委托代理人因故不能接受质询，其响应文件仍有效，但应视为供应商已默认磋商小组对缺席的质询所作出的结论。</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32.3 磋商小组允许供应商通过澄清答复修正其最后报价中不构成重大偏离的、微小的、非正规的、不一致的或不规范的地方，但这些修正不能影响任何供应商的相关名次排列。</w:t>
      </w:r>
    </w:p>
    <w:p>
      <w:pPr>
        <w:spacing w:line="360" w:lineRule="auto"/>
        <w:ind w:firstLine="482" w:firstLineChars="200"/>
        <w:rPr>
          <w:rFonts w:hint="eastAsia" w:ascii="宋体" w:hAnsi="宋体" w:cs="宋体"/>
          <w:color w:val="000000"/>
          <w:sz w:val="24"/>
          <w:szCs w:val="20"/>
          <w:highlight w:val="none"/>
        </w:rPr>
      </w:pPr>
      <w:r>
        <w:rPr>
          <w:rFonts w:hint="eastAsia" w:ascii="宋体" w:hAnsi="宋体" w:cs="宋体"/>
          <w:b/>
          <w:color w:val="000000"/>
          <w:sz w:val="24"/>
          <w:szCs w:val="20"/>
          <w:highlight w:val="none"/>
        </w:rPr>
        <w:t>32.4如果供应商在响应文件中未对磋商文件、技术规格及标准、项目采购需求、合同主要内容等提出偏离意见或澄清，将视同供应商同意上述文件的全部条款和要求。</w:t>
      </w:r>
    </w:p>
    <w:bookmarkEnd w:id="122"/>
    <w:bookmarkEnd w:id="123"/>
    <w:bookmarkEnd w:id="124"/>
    <w:bookmarkEnd w:id="125"/>
    <w:p>
      <w:pPr>
        <w:spacing w:line="360" w:lineRule="auto"/>
        <w:ind w:firstLine="482" w:firstLineChars="200"/>
        <w:outlineLvl w:val="1"/>
        <w:rPr>
          <w:rFonts w:hint="eastAsia" w:ascii="宋体" w:hAnsi="宋体" w:cs="宋体"/>
          <w:color w:val="000000"/>
          <w:sz w:val="24"/>
          <w:szCs w:val="20"/>
          <w:highlight w:val="none"/>
        </w:rPr>
      </w:pPr>
      <w:bookmarkStart w:id="142" w:name="_Toc245897308"/>
      <w:bookmarkStart w:id="143" w:name="_Toc233274847"/>
      <w:bookmarkStart w:id="144" w:name="_Toc243907609"/>
      <w:bookmarkStart w:id="145" w:name="_Toc243906348"/>
      <w:r>
        <w:rPr>
          <w:rFonts w:hint="eastAsia" w:ascii="宋体" w:hAnsi="宋体" w:cs="宋体"/>
          <w:b/>
          <w:color w:val="000000"/>
          <w:sz w:val="24"/>
          <w:szCs w:val="20"/>
          <w:highlight w:val="none"/>
        </w:rPr>
        <w:t>33、重大偏离</w:t>
      </w:r>
    </w:p>
    <w:p>
      <w:pPr>
        <w:spacing w:line="360" w:lineRule="auto"/>
        <w:ind w:firstLine="482" w:firstLineChars="200"/>
        <w:rPr>
          <w:rFonts w:hint="eastAsia" w:ascii="宋体" w:hAnsi="宋体" w:cs="宋体"/>
          <w:b/>
          <w:color w:val="000000"/>
          <w:sz w:val="24"/>
          <w:szCs w:val="20"/>
          <w:highlight w:val="none"/>
        </w:rPr>
      </w:pPr>
      <w:bookmarkStart w:id="146" w:name="_Toc245897307"/>
      <w:bookmarkStart w:id="147" w:name="_Toc243907608"/>
      <w:bookmarkStart w:id="148" w:name="_Toc243906347"/>
      <w:bookmarkStart w:id="149" w:name="_Toc233274846"/>
      <w:r>
        <w:rPr>
          <w:rFonts w:hint="eastAsia" w:ascii="宋体" w:hAnsi="宋体" w:cs="宋体"/>
          <w:b/>
          <w:color w:val="000000"/>
          <w:sz w:val="24"/>
          <w:szCs w:val="20"/>
          <w:highlight w:val="none"/>
        </w:rPr>
        <w:t>重大偏离是指实质上影响合同的采购范围、质量和性能、服务</w:t>
      </w:r>
      <w:r>
        <w:rPr>
          <w:rFonts w:hint="eastAsia" w:ascii="宋体" w:hAnsi="宋体" w:cs="宋体"/>
          <w:b/>
          <w:color w:val="000000"/>
          <w:sz w:val="24"/>
          <w:szCs w:val="20"/>
          <w:highlight w:val="none"/>
          <w:lang w:eastAsia="zh-CN"/>
        </w:rPr>
        <w:t>期限</w:t>
      </w:r>
      <w:r>
        <w:rPr>
          <w:rFonts w:hint="eastAsia" w:ascii="宋体" w:hAnsi="宋体" w:cs="宋体"/>
          <w:b/>
          <w:color w:val="000000"/>
          <w:sz w:val="24"/>
          <w:szCs w:val="20"/>
          <w:highlight w:val="none"/>
        </w:rPr>
        <w:t>等，或者实质上不满足磋商文件的要求，而且限制了采购人的</w:t>
      </w:r>
      <w:r>
        <w:rPr>
          <w:rFonts w:hint="eastAsia" w:ascii="宋体" w:hAnsi="宋体" w:cs="宋体"/>
          <w:b/>
          <w:color w:val="000000"/>
          <w:sz w:val="24"/>
          <w:szCs w:val="20"/>
          <w:highlight w:val="none"/>
          <w:lang w:eastAsia="zh-CN"/>
        </w:rPr>
        <w:t>权利</w:t>
      </w:r>
      <w:r>
        <w:rPr>
          <w:rFonts w:hint="eastAsia" w:ascii="宋体" w:hAnsi="宋体" w:cs="宋体"/>
          <w:b/>
          <w:color w:val="000000"/>
          <w:sz w:val="24"/>
          <w:szCs w:val="20"/>
          <w:highlight w:val="none"/>
        </w:rPr>
        <w:t>或减轻了供应商的义务。纠正或承认这些偏离将会对其他实质上响应要求的供应商合理的竞争地位产生不公正的影响。</w:t>
      </w:r>
    </w:p>
    <w:p>
      <w:pPr>
        <w:spacing w:line="360" w:lineRule="auto"/>
        <w:ind w:firstLine="482" w:firstLineChars="200"/>
        <w:outlineLvl w:val="1"/>
        <w:rPr>
          <w:rFonts w:hint="eastAsia" w:ascii="宋体" w:hAnsi="宋体" w:cs="宋体"/>
          <w:b/>
          <w:color w:val="000000"/>
          <w:sz w:val="24"/>
          <w:szCs w:val="20"/>
          <w:highlight w:val="none"/>
        </w:rPr>
      </w:pPr>
      <w:r>
        <w:rPr>
          <w:rFonts w:hint="eastAsia" w:ascii="宋体" w:hAnsi="宋体" w:cs="宋体"/>
          <w:b/>
          <w:color w:val="000000"/>
          <w:sz w:val="24"/>
          <w:szCs w:val="20"/>
          <w:highlight w:val="none"/>
        </w:rPr>
        <w:t>34、</w:t>
      </w:r>
      <w:bookmarkEnd w:id="146"/>
      <w:bookmarkEnd w:id="147"/>
      <w:bookmarkEnd w:id="148"/>
      <w:bookmarkEnd w:id="149"/>
      <w:r>
        <w:rPr>
          <w:rFonts w:hint="eastAsia" w:ascii="宋体" w:hAnsi="宋体" w:cs="宋体"/>
          <w:b/>
          <w:color w:val="000000"/>
          <w:sz w:val="24"/>
          <w:szCs w:val="20"/>
          <w:highlight w:val="none"/>
        </w:rPr>
        <w:t>无效响应文件</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highlight w:val="none"/>
        </w:rPr>
        <w:t>响应文件有下列情形之一的，由磋商小组评审后按无效响应文件处理：</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34.1</w:t>
      </w:r>
      <w:r>
        <w:rPr>
          <w:rFonts w:hint="eastAsia" w:ascii="宋体" w:hAnsi="宋体" w:cs="宋体"/>
          <w:b/>
          <w:color w:val="000000"/>
          <w:kern w:val="0"/>
          <w:sz w:val="24"/>
          <w:highlight w:val="none"/>
        </w:rPr>
        <w:t>供应商的商务报价高于采购项目预算；</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34.2响应文件附有采购人不能接受条件的；</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34.3出现重大偏离的；</w:t>
      </w:r>
    </w:p>
    <w:p>
      <w:pPr>
        <w:widowControl/>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34.4对磋商文件提出的实质性要求和条件未能实质性响应；</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34.5《中华人民共和国政府采购法》、《中华人民共和国政府采购</w:t>
      </w:r>
      <w:r>
        <w:rPr>
          <w:rFonts w:hint="eastAsia" w:ascii="宋体" w:hAnsi="宋体" w:cs="宋体"/>
          <w:color w:val="000000"/>
          <w:sz w:val="24"/>
          <w:highlight w:val="none"/>
          <w:lang w:eastAsia="zh-CN"/>
        </w:rPr>
        <w:t>法</w:t>
      </w:r>
      <w:r>
        <w:rPr>
          <w:rFonts w:hint="eastAsia" w:ascii="宋体" w:hAnsi="宋体" w:cs="宋体"/>
          <w:color w:val="000000"/>
          <w:sz w:val="24"/>
          <w:highlight w:val="none"/>
        </w:rPr>
        <w:t>实施条例》、《政府采购竞争性磋商采购方式管理暂行办法》及相关法律法规及磋商文件明确规定可以作无效响应的其他情形。</w:t>
      </w:r>
    </w:p>
    <w:bookmarkEnd w:id="126"/>
    <w:bookmarkEnd w:id="127"/>
    <w:bookmarkEnd w:id="128"/>
    <w:bookmarkEnd w:id="129"/>
    <w:bookmarkEnd w:id="142"/>
    <w:bookmarkEnd w:id="143"/>
    <w:bookmarkEnd w:id="144"/>
    <w:bookmarkEnd w:id="145"/>
    <w:p>
      <w:pPr>
        <w:spacing w:line="360" w:lineRule="auto"/>
        <w:ind w:firstLine="482" w:firstLineChars="200"/>
        <w:outlineLvl w:val="1"/>
        <w:rPr>
          <w:rFonts w:hint="eastAsia" w:ascii="宋体" w:hAnsi="宋体" w:cs="宋体"/>
          <w:b/>
          <w:color w:val="000000"/>
          <w:sz w:val="24"/>
          <w:szCs w:val="20"/>
          <w:highlight w:val="none"/>
        </w:rPr>
      </w:pPr>
      <w:r>
        <w:rPr>
          <w:rFonts w:hint="eastAsia" w:ascii="宋体" w:hAnsi="宋体" w:cs="宋体"/>
          <w:b/>
          <w:color w:val="000000"/>
          <w:sz w:val="24"/>
          <w:szCs w:val="20"/>
          <w:highlight w:val="none"/>
        </w:rPr>
        <w:t>35、评审标准</w:t>
      </w:r>
    </w:p>
    <w:p>
      <w:pPr>
        <w:spacing w:line="360" w:lineRule="auto"/>
        <w:ind w:firstLine="482" w:firstLineChars="200"/>
        <w:rPr>
          <w:rFonts w:hint="eastAsia" w:ascii="宋体" w:hAnsi="宋体" w:cs="宋体"/>
          <w:color w:val="000000"/>
          <w:sz w:val="24"/>
          <w:szCs w:val="20"/>
          <w:highlight w:val="none"/>
        </w:rPr>
      </w:pPr>
      <w:r>
        <w:rPr>
          <w:rFonts w:hint="eastAsia" w:ascii="宋体" w:hAnsi="宋体" w:cs="宋体"/>
          <w:b/>
          <w:color w:val="000000"/>
          <w:sz w:val="24"/>
          <w:szCs w:val="20"/>
          <w:highlight w:val="none"/>
        </w:rPr>
        <w:t>35.1</w:t>
      </w:r>
      <w:r>
        <w:rPr>
          <w:rFonts w:hint="eastAsia" w:ascii="宋体" w:hAnsi="宋体" w:cs="宋体"/>
          <w:color w:val="000000"/>
          <w:sz w:val="24"/>
          <w:szCs w:val="20"/>
          <w:highlight w:val="none"/>
        </w:rPr>
        <w:t>本项目评审</w:t>
      </w:r>
      <w:r>
        <w:rPr>
          <w:rFonts w:hint="eastAsia" w:ascii="宋体" w:hAnsi="宋体" w:cs="宋体"/>
          <w:b/>
          <w:color w:val="000000"/>
          <w:sz w:val="24"/>
          <w:szCs w:val="20"/>
          <w:highlight w:val="none"/>
        </w:rPr>
        <w:t>采用综合评分法</w:t>
      </w:r>
      <w:r>
        <w:rPr>
          <w:rFonts w:hint="eastAsia" w:ascii="宋体" w:hAnsi="宋体" w:cs="宋体"/>
          <w:color w:val="000000"/>
          <w:sz w:val="24"/>
          <w:szCs w:val="20"/>
          <w:highlight w:val="none"/>
        </w:rPr>
        <w:t>，严格按照磋商文件的要求和条件进行。</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35.2信用查询</w:t>
      </w:r>
      <w:r>
        <w:rPr>
          <w:rFonts w:hint="eastAsia" w:ascii="宋体" w:hAnsi="宋体" w:cs="宋体"/>
          <w:b/>
          <w:color w:val="000000"/>
          <w:sz w:val="24"/>
          <w:szCs w:val="20"/>
          <w:highlight w:val="none"/>
        </w:rPr>
        <w:br w:type="textWrapping"/>
      </w:r>
      <w:r>
        <w:rPr>
          <w:rFonts w:hint="eastAsia" w:ascii="宋体" w:hAnsi="宋体" w:cs="宋体"/>
          <w:b/>
          <w:color w:val="000000"/>
          <w:sz w:val="24"/>
          <w:szCs w:val="20"/>
          <w:highlight w:val="none"/>
        </w:rPr>
        <w:t xml:space="preserve">    35.2.1按照《财政部关于在政府采购活动中查询及使用信用记录有关问题的通知》（财库〔2016〕125号）的要求，根据开标当日“信用中国”网站（</w:t>
      </w:r>
      <w:r>
        <w:rPr>
          <w:rFonts w:hint="eastAsia" w:ascii="宋体" w:hAnsi="宋体" w:cs="宋体"/>
          <w:color w:val="000000"/>
          <w:highlight w:val="none"/>
        </w:rPr>
        <w:fldChar w:fldCharType="begin"/>
      </w:r>
      <w:r>
        <w:rPr>
          <w:rFonts w:hint="eastAsia" w:ascii="宋体" w:hAnsi="宋体" w:cs="宋体"/>
          <w:color w:val="000000"/>
          <w:highlight w:val="none"/>
        </w:rPr>
        <w:instrText xml:space="preserve"> HYPERLINK "qq://txfile/" </w:instrText>
      </w:r>
      <w:r>
        <w:rPr>
          <w:rFonts w:hint="eastAsia" w:ascii="宋体" w:hAnsi="宋体" w:cs="宋体"/>
          <w:color w:val="000000"/>
          <w:highlight w:val="none"/>
        </w:rPr>
        <w:fldChar w:fldCharType="separate"/>
      </w:r>
      <w:r>
        <w:rPr>
          <w:rFonts w:hint="eastAsia" w:ascii="宋体" w:hAnsi="宋体" w:cs="宋体"/>
          <w:b/>
          <w:color w:val="000000"/>
          <w:sz w:val="24"/>
          <w:szCs w:val="20"/>
          <w:highlight w:val="none"/>
        </w:rPr>
        <w:t>www.creditchina.gov.cn</w:t>
      </w:r>
      <w:r>
        <w:rPr>
          <w:rFonts w:hint="eastAsia" w:ascii="宋体" w:hAnsi="宋体" w:cs="宋体"/>
          <w:b/>
          <w:color w:val="000000"/>
          <w:sz w:val="24"/>
          <w:szCs w:val="20"/>
          <w:highlight w:val="none"/>
        </w:rPr>
        <w:fldChar w:fldCharType="end"/>
      </w:r>
      <w:r>
        <w:rPr>
          <w:rFonts w:hint="eastAsia" w:ascii="宋体" w:hAnsi="宋体" w:cs="宋体"/>
          <w:b/>
          <w:color w:val="000000"/>
          <w:sz w:val="24"/>
          <w:szCs w:val="20"/>
          <w:highlight w:val="none"/>
        </w:rPr>
        <w:t>）、中国政府采购网（</w:t>
      </w:r>
      <w:r>
        <w:rPr>
          <w:rFonts w:hint="eastAsia" w:ascii="宋体" w:hAnsi="宋体" w:cs="宋体"/>
          <w:color w:val="000000"/>
          <w:highlight w:val="none"/>
        </w:rPr>
        <w:fldChar w:fldCharType="begin"/>
      </w:r>
      <w:r>
        <w:rPr>
          <w:rFonts w:hint="eastAsia" w:ascii="宋体" w:hAnsi="宋体" w:cs="宋体"/>
          <w:color w:val="000000"/>
          <w:highlight w:val="none"/>
        </w:rPr>
        <w:instrText xml:space="preserve"> HYPERLINK "qq://txfile/" </w:instrText>
      </w:r>
      <w:r>
        <w:rPr>
          <w:rFonts w:hint="eastAsia" w:ascii="宋体" w:hAnsi="宋体" w:cs="宋体"/>
          <w:color w:val="000000"/>
          <w:highlight w:val="none"/>
        </w:rPr>
        <w:fldChar w:fldCharType="separate"/>
      </w:r>
      <w:r>
        <w:rPr>
          <w:rFonts w:hint="eastAsia" w:ascii="宋体" w:hAnsi="宋体" w:cs="宋体"/>
          <w:b/>
          <w:color w:val="000000"/>
          <w:sz w:val="24"/>
          <w:szCs w:val="20"/>
          <w:highlight w:val="none"/>
        </w:rPr>
        <w:t>www.ccgp.gov.cn</w:t>
      </w:r>
      <w:r>
        <w:rPr>
          <w:rFonts w:hint="eastAsia" w:ascii="宋体" w:hAnsi="宋体" w:cs="宋体"/>
          <w:b/>
          <w:color w:val="000000"/>
          <w:sz w:val="24"/>
          <w:szCs w:val="20"/>
          <w:highlight w:val="none"/>
        </w:rPr>
        <w:fldChar w:fldCharType="end"/>
      </w:r>
      <w:r>
        <w:rPr>
          <w:rFonts w:hint="eastAsia" w:ascii="宋体" w:hAnsi="宋体" w:cs="宋体"/>
          <w:b/>
          <w:color w:val="000000"/>
          <w:sz w:val="24"/>
          <w:szCs w:val="20"/>
          <w:highlight w:val="none"/>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35.3响应文件初审。初审分为资格性审查和符合性审查。响应文件初审</w:t>
      </w:r>
      <w:r>
        <w:rPr>
          <w:rFonts w:hint="eastAsia" w:ascii="宋体" w:hAnsi="宋体" w:cs="宋体"/>
          <w:b/>
          <w:color w:val="000000"/>
          <w:sz w:val="24"/>
          <w:highlight w:val="none"/>
        </w:rPr>
        <w:t>由磋商小组根据各供应商响应文件进行评审，</w:t>
      </w:r>
      <w:r>
        <w:rPr>
          <w:rFonts w:hint="eastAsia" w:ascii="宋体" w:hAnsi="宋体" w:cs="宋体"/>
          <w:b/>
          <w:color w:val="000000"/>
          <w:sz w:val="24"/>
          <w:szCs w:val="20"/>
          <w:highlight w:val="none"/>
        </w:rPr>
        <w:t>初</w:t>
      </w:r>
      <w:r>
        <w:rPr>
          <w:rFonts w:hint="eastAsia" w:ascii="宋体" w:hAnsi="宋体" w:cs="宋体"/>
          <w:b/>
          <w:color w:val="000000"/>
          <w:sz w:val="24"/>
          <w:highlight w:val="none"/>
        </w:rPr>
        <w:t>审内容详见第六章“评审标准（综合评分法）”。未通过初审的供应商其响应文件将按照无效磋商处理。</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35.3.1资格性审查。依据法律法规和磋商文件的规定，对响应文件中的资格证明等进行审查，以确定供应商是否具备磋商资格。</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35.3.2符合性审查。依据磋商文件的规定，从响应文件的有效性、完整性和对磋商文件的响应程度进行审查，以确定是否对磋商文件的实质性要求作出响应。</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35.3.2.1澄清有关问题。对响应文件中含义不明确、同类问题表述不一致或者有明显文字和计算错误的内容，磋商小组可以书面形式要求供应商作出必要的澄清、说明或者纠正。供应商的澄清、说明或者补正应当采用书面形式，由其法定代表或委托代理人签字或盖章，并不得超出响应文件的范围或者改变响应文件的实质性内容。</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35.3.2.2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35.4比较与评价。磋商小组按磋商文件中规定的评审标准和标准，对资格性检查和符合性检查合格的响应文件进行商务和技术评估，综合比较与评价。</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szCs w:val="20"/>
          <w:highlight w:val="none"/>
        </w:rPr>
        <w:t>35.5评审分值：总分值为10</w:t>
      </w:r>
      <w:r>
        <w:rPr>
          <w:rFonts w:hint="eastAsia" w:ascii="宋体" w:hAnsi="宋体" w:cs="宋体"/>
          <w:b/>
          <w:color w:val="000000"/>
          <w:sz w:val="24"/>
          <w:szCs w:val="20"/>
          <w:highlight w:val="none"/>
          <w:lang w:val="en-US" w:eastAsia="zh-CN"/>
        </w:rPr>
        <w:t>0</w:t>
      </w:r>
      <w:r>
        <w:rPr>
          <w:rFonts w:hint="eastAsia" w:ascii="宋体" w:hAnsi="宋体" w:cs="宋体"/>
          <w:b/>
          <w:color w:val="000000"/>
          <w:sz w:val="24"/>
          <w:szCs w:val="20"/>
          <w:highlight w:val="none"/>
        </w:rPr>
        <w:t>分，其中价格分值为</w:t>
      </w:r>
      <w:r>
        <w:rPr>
          <w:rFonts w:hint="eastAsia" w:ascii="宋体" w:hAnsi="宋体" w:cs="宋体"/>
          <w:b/>
          <w:color w:val="000000"/>
          <w:sz w:val="24"/>
          <w:szCs w:val="20"/>
          <w:highlight w:val="none"/>
          <w:lang w:val="en-US" w:eastAsia="zh-CN"/>
        </w:rPr>
        <w:t>3</w:t>
      </w:r>
      <w:r>
        <w:rPr>
          <w:rFonts w:hint="eastAsia" w:ascii="宋体" w:hAnsi="宋体" w:cs="宋体"/>
          <w:b/>
          <w:color w:val="000000"/>
          <w:sz w:val="24"/>
          <w:szCs w:val="20"/>
          <w:highlight w:val="none"/>
        </w:rPr>
        <w:t>0分，其余部分分值为</w:t>
      </w:r>
      <w:r>
        <w:rPr>
          <w:rFonts w:hint="eastAsia" w:ascii="宋体" w:hAnsi="宋体" w:cs="宋体"/>
          <w:b/>
          <w:color w:val="000000"/>
          <w:sz w:val="24"/>
          <w:szCs w:val="20"/>
          <w:highlight w:val="none"/>
          <w:lang w:val="en-US" w:eastAsia="zh-CN"/>
        </w:rPr>
        <w:t>7</w:t>
      </w:r>
      <w:r>
        <w:rPr>
          <w:rFonts w:hint="eastAsia" w:ascii="宋体" w:hAnsi="宋体" w:cs="宋体"/>
          <w:b/>
          <w:color w:val="000000"/>
          <w:sz w:val="24"/>
          <w:szCs w:val="20"/>
          <w:highlight w:val="none"/>
        </w:rPr>
        <w:t>0分</w:t>
      </w:r>
      <w:r>
        <w:rPr>
          <w:rFonts w:hint="eastAsia" w:ascii="宋体" w:hAnsi="宋体" w:cs="宋体"/>
          <w:b/>
          <w:color w:val="000000"/>
          <w:sz w:val="24"/>
          <w:szCs w:val="20"/>
          <w:highlight w:val="none"/>
          <w:lang w:eastAsia="zh-CN"/>
        </w:rPr>
        <w:t>，</w:t>
      </w:r>
      <w:r>
        <w:rPr>
          <w:rFonts w:hint="eastAsia" w:ascii="宋体" w:hAnsi="宋体" w:cs="宋体"/>
          <w:b/>
          <w:color w:val="000000"/>
          <w:sz w:val="24"/>
          <w:szCs w:val="20"/>
          <w:highlight w:val="none"/>
        </w:rPr>
        <w:t>具体评审评分内容详本磋商文件第六章“评审标准（综合评分法）”。</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szCs w:val="20"/>
          <w:highlight w:val="none"/>
        </w:rPr>
        <w:t>35.6推荐成交候选供应商</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35.6.1各供应商的评审得分由高至低排序，评审得分排列前3名的供应商被推荐为成交候选供应商。评审得分相同的，按照最后报价由低到高的顺序推荐。评审得分且最后报价相同的，按照技术指标优劣顺序推荐。</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35.6.2评分计算结果保留两位小数，第三位小数四舍五入。</w:t>
      </w:r>
    </w:p>
    <w:p>
      <w:pPr>
        <w:spacing w:line="360" w:lineRule="auto"/>
        <w:ind w:firstLine="482" w:firstLineChars="200"/>
        <w:rPr>
          <w:rFonts w:hint="eastAsia" w:ascii="宋体" w:hAnsi="宋体" w:cs="宋体"/>
          <w:b/>
          <w:color w:val="000000"/>
          <w:sz w:val="24"/>
          <w:szCs w:val="20"/>
          <w:highlight w:val="none"/>
        </w:rPr>
      </w:pPr>
      <w:r>
        <w:rPr>
          <w:rFonts w:hint="eastAsia" w:ascii="宋体" w:hAnsi="宋体" w:cs="宋体"/>
          <w:b/>
          <w:color w:val="000000"/>
          <w:sz w:val="24"/>
          <w:highlight w:val="none"/>
        </w:rPr>
        <w:t>35.7</w:t>
      </w:r>
      <w:r>
        <w:rPr>
          <w:rFonts w:hint="eastAsia" w:ascii="宋体" w:hAnsi="宋体" w:cs="宋体"/>
          <w:b/>
          <w:color w:val="000000"/>
          <w:sz w:val="24"/>
          <w:szCs w:val="20"/>
          <w:highlight w:val="none"/>
        </w:rPr>
        <w:t>磋商小组复核。磋商小组评分汇总结束后，磋商小组应当进行评审复核，对拟推荐为成交候选供应商的、报价最低的、供应商资格审查未通过的、供应商响应文件作无效处理的重点复核。</w:t>
      </w:r>
    </w:p>
    <w:p>
      <w:pPr>
        <w:wordWrap/>
        <w:adjustRightInd/>
        <w:snapToGrid/>
        <w:spacing w:line="360" w:lineRule="auto"/>
        <w:ind w:firstLine="482" w:firstLineChars="200"/>
        <w:jc w:val="left"/>
        <w:textAlignment w:val="auto"/>
        <w:outlineLvl w:val="9"/>
        <w:rPr>
          <w:rFonts w:hint="eastAsia" w:ascii="宋体" w:hAnsi="宋体" w:eastAsia="宋体" w:cs="宋体"/>
          <w:b/>
          <w:color w:val="auto"/>
          <w:sz w:val="24"/>
          <w:szCs w:val="20"/>
          <w:highlight w:val="none"/>
        </w:rPr>
      </w:pPr>
      <w:r>
        <w:rPr>
          <w:rFonts w:hint="eastAsia" w:ascii="宋体" w:hAnsi="宋体" w:cs="宋体"/>
          <w:b/>
          <w:color w:val="000000"/>
          <w:sz w:val="24"/>
          <w:highlight w:val="none"/>
        </w:rPr>
        <w:t>35.8采购人根据磋商小组推荐的成交候选供应商及有关规定确定成交供应商。</w:t>
      </w:r>
    </w:p>
    <w:p>
      <w:pPr>
        <w:spacing w:line="360" w:lineRule="auto"/>
        <w:ind w:firstLine="480" w:firstLineChars="200"/>
        <w:outlineLvl w:val="1"/>
        <w:rPr>
          <w:rFonts w:hint="eastAsia" w:ascii="宋体" w:hAnsi="宋体" w:eastAsia="宋体" w:cs="宋体"/>
          <w:color w:val="000000"/>
          <w:sz w:val="24"/>
          <w:szCs w:val="20"/>
          <w:highlight w:val="none"/>
          <w:lang w:eastAsia="zh-CN"/>
        </w:rPr>
      </w:pPr>
      <w:r>
        <w:rPr>
          <w:rFonts w:hint="eastAsia" w:ascii="宋体" w:hAnsi="宋体" w:cs="宋体"/>
          <w:color w:val="000000"/>
          <w:sz w:val="24"/>
          <w:szCs w:val="20"/>
          <w:highlight w:val="none"/>
        </w:rPr>
        <w:t>36、采购人依法接受和拒绝任一或所有供应商的</w:t>
      </w:r>
      <w:r>
        <w:rPr>
          <w:rFonts w:hint="eastAsia" w:ascii="宋体" w:hAnsi="宋体" w:cs="宋体"/>
          <w:color w:val="000000"/>
          <w:sz w:val="24"/>
          <w:szCs w:val="20"/>
          <w:highlight w:val="none"/>
          <w:lang w:eastAsia="zh-CN"/>
        </w:rPr>
        <w:t>权力</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采购人保留确定成交供应商之前的任何时候依法接受或拒绝任一或所有供应商的</w:t>
      </w:r>
      <w:r>
        <w:rPr>
          <w:rFonts w:hint="eastAsia" w:ascii="宋体" w:hAnsi="宋体" w:cs="宋体"/>
          <w:color w:val="000000"/>
          <w:sz w:val="24"/>
          <w:szCs w:val="20"/>
          <w:highlight w:val="none"/>
          <w:lang w:eastAsia="zh-CN"/>
        </w:rPr>
        <w:t>权力</w:t>
      </w:r>
      <w:r>
        <w:rPr>
          <w:rFonts w:hint="eastAsia" w:ascii="宋体" w:hAnsi="宋体" w:cs="宋体"/>
          <w:color w:val="000000"/>
          <w:sz w:val="24"/>
          <w:szCs w:val="20"/>
          <w:highlight w:val="none"/>
        </w:rPr>
        <w:t>，对受影响的供应商不承担任何责任，也无义务向受影响的供应商解释采取这一行动的理由。</w:t>
      </w:r>
    </w:p>
    <w:p>
      <w:pPr>
        <w:spacing w:line="360" w:lineRule="auto"/>
        <w:ind w:firstLine="480" w:firstLineChars="200"/>
        <w:outlineLvl w:val="1"/>
        <w:rPr>
          <w:rFonts w:hint="eastAsia" w:ascii="宋体" w:hAnsi="宋体" w:cs="宋体"/>
          <w:color w:val="000000"/>
          <w:sz w:val="24"/>
          <w:szCs w:val="20"/>
          <w:highlight w:val="none"/>
        </w:rPr>
      </w:pPr>
      <w:r>
        <w:rPr>
          <w:rFonts w:hint="eastAsia" w:ascii="宋体" w:hAnsi="宋体" w:cs="宋体"/>
          <w:color w:val="000000"/>
          <w:sz w:val="24"/>
          <w:szCs w:val="20"/>
          <w:highlight w:val="none"/>
        </w:rPr>
        <w:t>37、成交通知书</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37.1采购人确定成交供应商后，及时通知采购代理机构，采购代理机构将按程序公告成交结果，同时向成交供应商发出成交通知书，成交通知书一经发出即发生法律效力。</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37.2《成交通知书》将是合同的组成部分。</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37.3采购人将通知其他未成交的供应商。</w:t>
      </w:r>
    </w:p>
    <w:p>
      <w:pPr>
        <w:spacing w:line="360" w:lineRule="auto"/>
        <w:ind w:firstLine="480" w:firstLineChars="200"/>
        <w:outlineLvl w:val="1"/>
        <w:rPr>
          <w:rFonts w:hint="eastAsia" w:ascii="宋体" w:hAnsi="宋体" w:cs="宋体"/>
          <w:color w:val="000000"/>
          <w:sz w:val="24"/>
          <w:szCs w:val="20"/>
          <w:highlight w:val="none"/>
        </w:rPr>
      </w:pPr>
      <w:bookmarkStart w:id="150" w:name="_Toc233274849"/>
      <w:bookmarkStart w:id="151" w:name="_Toc243906350"/>
      <w:bookmarkStart w:id="152" w:name="_Toc245897310"/>
      <w:bookmarkStart w:id="153" w:name="_Toc243907611"/>
      <w:r>
        <w:rPr>
          <w:rFonts w:hint="eastAsia" w:ascii="宋体" w:hAnsi="宋体" w:cs="宋体"/>
          <w:color w:val="000000"/>
          <w:sz w:val="24"/>
          <w:szCs w:val="20"/>
          <w:highlight w:val="none"/>
        </w:rPr>
        <w:t>38、纪律与保密事项</w:t>
      </w:r>
      <w:bookmarkEnd w:id="150"/>
      <w:bookmarkEnd w:id="151"/>
      <w:bookmarkEnd w:id="152"/>
      <w:bookmarkEnd w:id="153"/>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38.1凡参与磋商工作的有关人员均应自觉接受有关主管部门的监督，不得向他人透露可能影响公平竞争的有关磋商的其他情况。</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38.2领取本磋商文件及其它相关资料者，应对文件进行保密，不得用作本次磋商以外的任何用途。由采购人向供应商提供的图纸、技术资料和所有其它资料，均视为保密资料，除非得到采购人的同意，不得向第三方透露。</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cs="宋体"/>
          <w:color w:val="000000"/>
          <w:sz w:val="24"/>
          <w:highlight w:val="none"/>
        </w:rPr>
        <w:t>38.3供应商不得与采购人串通磋商，不得向采购人或者磋商小组成员行贿谋取成交，不得以他人名义参与磋商或者以其它任何方式弄虚作假骗取参与磋商。供应商不得以任何方式干扰、影响评审工作。</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38.4供应商不得在磋商过程中互相串通、结盟、损害磋商的公正性和竞争性，或以任何方式影响其他供应商参与正当磋商。扰乱磋商市场，破坏公平竞争原则。如供应商在磋商过程中互相串通，一经查实，将取消磋商资格。</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38.5 磋商之日起直至授予成交供应商合同为止，凡属于对响应文件的审查、澄清、评价、比较有关的资料和成交候选人的推荐情况及与评审有关的其他任何情况均严格保密。</w:t>
      </w:r>
    </w:p>
    <w:p>
      <w:pPr>
        <w:spacing w:line="360" w:lineRule="auto"/>
        <w:ind w:firstLine="480" w:firstLineChars="200"/>
        <w:rPr>
          <w:rFonts w:hint="eastAsia" w:ascii="宋体" w:hAnsi="宋体" w:cs="宋体"/>
          <w:color w:val="000000"/>
          <w:sz w:val="24"/>
          <w:szCs w:val="20"/>
          <w:highlight w:val="none"/>
        </w:rPr>
      </w:pPr>
      <w:r>
        <w:rPr>
          <w:rFonts w:hint="eastAsia" w:ascii="宋体" w:hAnsi="宋体" w:cs="宋体"/>
          <w:color w:val="000000"/>
          <w:sz w:val="24"/>
          <w:szCs w:val="20"/>
          <w:highlight w:val="none"/>
        </w:rPr>
        <w:t>38.6从磋商之日起至授予合同期间，供应商试图向磋商小组、采购代理机构施加任何影响或对采购人的比较及授予合同的决定进行影响，都可能导致其响应文件被拒绝。</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38.7除供应商被要求对响应文件进行澄清外，从磋商之时起至授予合同期间，供应商不得就与其响应文件有关的事项主动与磋商小组、采购代理机构以及采购人联系。</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38.8成交供应商确定后，采购人不对未成交供应商就评审过程以及未能成交原因作出任何解释，未成交供应商不得向磋商小组或其他有关人员询问评审过程的情况和索取评审过程的资料。</w:t>
      </w: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F   授予合同</w:t>
      </w:r>
      <w:bookmarkStart w:id="154" w:name="_Toc245897315"/>
      <w:bookmarkStart w:id="155" w:name="_Toc233274853"/>
      <w:bookmarkStart w:id="156" w:name="_Toc243907618"/>
      <w:bookmarkStart w:id="157" w:name="_Toc243906355"/>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bookmarkEnd w:id="154"/>
    <w:bookmarkEnd w:id="155"/>
    <w:bookmarkEnd w:id="156"/>
    <w:bookmarkEnd w:id="157"/>
    <w:p>
      <w:pPr>
        <w:pStyle w:val="34"/>
        <w:spacing w:line="360" w:lineRule="auto"/>
        <w:ind w:firstLine="480" w:firstLineChars="200"/>
        <w:outlineLvl w:val="1"/>
        <w:rPr>
          <w:rFonts w:hint="eastAsia" w:hAnsi="宋体" w:cs="宋体"/>
          <w:bCs/>
          <w:color w:val="000000"/>
          <w:sz w:val="24"/>
          <w:szCs w:val="24"/>
          <w:highlight w:val="none"/>
        </w:rPr>
      </w:pPr>
      <w:r>
        <w:rPr>
          <w:rFonts w:hint="eastAsia" w:hAnsi="宋体" w:cs="宋体"/>
          <w:bCs/>
          <w:color w:val="000000"/>
          <w:sz w:val="24"/>
          <w:szCs w:val="24"/>
          <w:highlight w:val="none"/>
        </w:rPr>
        <w:t>39、授予合同标准</w:t>
      </w:r>
    </w:p>
    <w:p>
      <w:pPr>
        <w:pStyle w:val="34"/>
        <w:spacing w:line="360" w:lineRule="auto"/>
        <w:ind w:firstLine="480" w:firstLineChars="200"/>
        <w:rPr>
          <w:rFonts w:hint="eastAsia" w:hAnsi="宋体" w:cs="宋体"/>
          <w:bCs/>
          <w:color w:val="000000"/>
          <w:sz w:val="24"/>
          <w:szCs w:val="24"/>
          <w:highlight w:val="none"/>
        </w:rPr>
      </w:pPr>
      <w:r>
        <w:rPr>
          <w:rFonts w:hint="eastAsia" w:hAnsi="宋体" w:cs="宋体"/>
          <w:bCs/>
          <w:color w:val="000000"/>
          <w:sz w:val="24"/>
          <w:szCs w:val="24"/>
          <w:highlight w:val="none"/>
        </w:rPr>
        <w:t>39.1本采购项目的采购合同将授予按本须知第35.7条所确定成交供应商。</w:t>
      </w:r>
    </w:p>
    <w:p>
      <w:pPr>
        <w:pStyle w:val="34"/>
        <w:spacing w:line="360" w:lineRule="auto"/>
        <w:ind w:firstLine="480" w:firstLineChars="200"/>
        <w:outlineLvl w:val="1"/>
        <w:rPr>
          <w:rFonts w:hint="eastAsia" w:hAnsi="宋体" w:cs="宋体"/>
          <w:color w:val="000000"/>
          <w:sz w:val="24"/>
          <w:highlight w:val="none"/>
        </w:rPr>
      </w:pPr>
      <w:bookmarkStart w:id="158" w:name="_Toc245897317"/>
      <w:bookmarkStart w:id="159" w:name="_Toc243907620"/>
      <w:bookmarkStart w:id="160" w:name="_Toc243906357"/>
      <w:bookmarkStart w:id="161" w:name="_Toc233274855"/>
      <w:r>
        <w:rPr>
          <w:rFonts w:hint="eastAsia" w:hAnsi="宋体" w:cs="宋体"/>
          <w:color w:val="000000"/>
          <w:sz w:val="24"/>
          <w:highlight w:val="none"/>
        </w:rPr>
        <w:t>40、签订合同</w:t>
      </w:r>
      <w:bookmarkEnd w:id="158"/>
      <w:bookmarkEnd w:id="159"/>
      <w:bookmarkEnd w:id="160"/>
      <w:bookmarkEnd w:id="161"/>
    </w:p>
    <w:p>
      <w:pPr>
        <w:pStyle w:val="34"/>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40.1成交供应商应当自成交通知书发出之日起三十日内，按照磋商文件和成交供应商的响应文件订立书面合同。成交供应商不得要求订立背离本响应文件合同主要内容等响应文件实质性内容的其他协议。</w:t>
      </w:r>
    </w:p>
    <w:p>
      <w:pPr>
        <w:pStyle w:val="34"/>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40.2 成交通知书、成交供应商的响应文件及其澄清文件、技术规范及标准、项目采购需求、本磋商文件（含修改文件或补充文件）及答疑纪要等，均为签订合同的依据。</w:t>
      </w:r>
    </w:p>
    <w:p>
      <w:pPr>
        <w:pStyle w:val="34"/>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40.3采购人如不按本须知40.1条规定与成交供应商签订合同，或者采购人、成交供应商签订背离合同实质性内容的协议，由监督管理部门责令其改正。</w:t>
      </w:r>
    </w:p>
    <w:p>
      <w:pPr>
        <w:pStyle w:val="34"/>
        <w:spacing w:line="360" w:lineRule="auto"/>
        <w:ind w:firstLine="480" w:firstLineChars="200"/>
        <w:rPr>
          <w:rFonts w:hint="eastAsia" w:hAnsi="宋体" w:cs="宋体"/>
          <w:color w:val="000000"/>
          <w:sz w:val="24"/>
          <w:highlight w:val="none"/>
        </w:rPr>
      </w:pPr>
      <w:r>
        <w:rPr>
          <w:rFonts w:hint="eastAsia" w:hAnsi="宋体" w:cs="宋体"/>
          <w:color w:val="000000"/>
          <w:sz w:val="24"/>
          <w:highlight w:val="none"/>
        </w:rPr>
        <w:t>40.4成交供应商如不按本须知40.1条规定与采购人签订合同，则按违约处理，采购人将有权取消成交供应商资格，给采购人造成损失的，还应当予以赔偿，同时依法承担相应的法律责任。</w:t>
      </w:r>
    </w:p>
    <w:p>
      <w:pPr>
        <w:spacing w:line="360" w:lineRule="auto"/>
        <w:ind w:firstLine="482" w:firstLineChars="200"/>
        <w:rPr>
          <w:rFonts w:hint="eastAsia" w:ascii="宋体" w:hAnsi="宋体" w:cs="宋体"/>
          <w:color w:val="000000"/>
          <w:highlight w:val="none"/>
        </w:rPr>
      </w:pPr>
      <w:r>
        <w:rPr>
          <w:rFonts w:hint="eastAsia" w:ascii="宋体" w:hAnsi="宋体" w:cs="宋体"/>
          <w:b/>
          <w:color w:val="000000"/>
          <w:sz w:val="24"/>
          <w:highlight w:val="none"/>
        </w:rPr>
        <w:t>40.5成交供应商拒绝与采购人签订合同的，采购人可以按照评审报告推荐的成交候选人名单排序，确定下一名候选人为成交供应商，并组织重新选定的成交供应商和采购人签订合同，也可以重新开展政府采购活动。</w:t>
      </w:r>
    </w:p>
    <w:p>
      <w:pPr>
        <w:spacing w:line="360" w:lineRule="auto"/>
        <w:ind w:firstLine="480" w:firstLineChars="200"/>
        <w:outlineLvl w:val="1"/>
        <w:rPr>
          <w:rFonts w:hint="eastAsia" w:ascii="宋体" w:hAnsi="宋体" w:cs="宋体"/>
          <w:color w:val="000000"/>
          <w:highlight w:val="none"/>
        </w:rPr>
      </w:pPr>
      <w:bookmarkStart w:id="162" w:name="_Toc245897318"/>
      <w:bookmarkStart w:id="163" w:name="_Toc243907621"/>
      <w:r>
        <w:rPr>
          <w:rFonts w:hint="eastAsia" w:ascii="宋体" w:hAnsi="宋体" w:cs="宋体"/>
          <w:color w:val="000000"/>
          <w:sz w:val="24"/>
          <w:highlight w:val="none"/>
        </w:rPr>
        <w:t>41、合同的签订准则</w:t>
      </w:r>
      <w:bookmarkEnd w:id="162"/>
      <w:bookmarkEnd w:id="163"/>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41.1合同签订必须由采购人、成交供应商双方法定代表或其委托代理人签署并加盖法人公章后方能生效。</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41.2合同转包（实质性要求）</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成交供应商转包的，视同拒绝履行政府采购合同义务，将依法追究法律责任。</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41.3补充合同</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keepLines/>
        <w:widowControl w:val="0"/>
        <w:wordWrap/>
        <w:adjustRightInd/>
        <w:snapToGrid/>
        <w:spacing w:line="416" w:lineRule="auto"/>
        <w:jc w:val="left"/>
        <w:textAlignment w:val="auto"/>
        <w:outlineLvl w:val="9"/>
        <w:rPr>
          <w:rFonts w:hint="eastAsia"/>
          <w:color w:val="auto"/>
        </w:rPr>
      </w:pPr>
    </w:p>
    <w:p>
      <w:pPr>
        <w:wordWrap/>
        <w:snapToGrid w:val="0"/>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G  询问、质疑、投诉</w:t>
      </w:r>
    </w:p>
    <w:p>
      <w:pPr>
        <w:wordWrap/>
        <w:spacing w:line="360" w:lineRule="auto"/>
        <w:ind w:firstLine="480" w:firstLineChars="200"/>
        <w:jc w:val="center"/>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color w:val="000000"/>
          <w:sz w:val="24"/>
          <w:highlight w:val="none"/>
        </w:rPr>
      </w:pPr>
      <w:r>
        <w:rPr>
          <w:rFonts w:hint="eastAsia" w:ascii="宋体" w:hAnsi="宋体" w:cs="宋体"/>
          <w:b/>
          <w:bCs/>
          <w:color w:val="000000"/>
          <w:sz w:val="24"/>
          <w:highlight w:val="none"/>
        </w:rPr>
        <w:t>43、询问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43.1供应商对采购活动事项有疑问的，可以向采购人或采购代理机构提出询问，采购人或采购代理机构应当在三个工作日内对供应商依法提出的询问作出答复，但答复的内容不得涉及商业秘密。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44、质疑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44.1 供应商认为采购文件、采购过程和中标、成交结果使自己的合法权益受到损害的，可以在知道或者应知其权益受到损害之日起七个工作日内，将质疑文件原件和必要的证明材料送达采购代理机构。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rPr>
        <w:t>44.2供应商如对竞争性磋商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44.3上述应知其权益受到损害之日是指：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（1）对采购文件提出质疑的，为采购文件公告期限届满之日起计算；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（2）对采购过程提出质疑的，自采购程序环节结束之日起计算；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（3）对中标或者成交结果提出质疑的，自中标或者成交结果公告期限届满之日起计算。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44.4质疑供应商在法定质疑期内应当一次性提出针对同一采购环节提出质疑。</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44.5质疑文件应包括以下主要内容，并按照“谁主张、谁举证”的原则，附上相关证明材料。否则，采购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（1）供应商的姓名或者名称、地址、邮编、联系人及联系电话（包括座机、手机、传真号码等）；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（2）质疑项目的名称、项目编号、包号、采购公告发布时间、递交投标文件或响应文件截止时间；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（3）具体、明确的质疑事项和与质疑事项相关的请求；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（4）事实依据（具体条款，认为自己合法权益受到损害或可能受到损害的相关证据材料。如涉及到产品功能或技术指标的，应出具相关制造商的证明文件）；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 xml:space="preserve">（5）必要的法律依据；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（6）提起质疑的日期；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（7）质疑文件应当署</w:t>
      </w:r>
      <w:r>
        <w:rPr>
          <w:rFonts w:hint="eastAsia" w:ascii="宋体" w:hAnsi="宋体" w:cs="宋体"/>
          <w:color w:val="000000"/>
          <w:sz w:val="24"/>
          <w:highlight w:val="none"/>
          <w:lang w:eastAsia="zh-CN"/>
        </w:rPr>
        <w:t>实</w:t>
      </w:r>
      <w:r>
        <w:rPr>
          <w:rFonts w:hint="eastAsia" w:ascii="宋体" w:hAnsi="宋体" w:cs="宋体"/>
          <w:color w:val="000000"/>
          <w:sz w:val="24"/>
          <w:highlight w:val="none"/>
        </w:rPr>
        <w:t>名，质疑人为自然人的，应当由本人签字并附有效身份证明；质疑人为法人或其他组织的，应当由法定代表人签字并加盖单位公章；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（8）供应商委托代理质疑的，应当提交授权委托书，并载明代理人的姓名或者名称、代理事项、 具体权限、期限和相关事项。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44.6质疑供应商是指直接参加本项目采购活动的供应商，未参加政府采购活动的供应商或在采购活动中自身权益未受到损害的供应商所提出的质疑不予受理。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44.7采购人、采购代理机构在收到供应商的书面质疑后将及时组织调查核实，在七个工作日内作出答复，并以书面形式通知质疑供应商和其他有关供应商，答复的内容不涉及商业秘密。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45、投诉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45.1 质疑供应商对采购人、采购代理机构的答复不满意，或采购人、采购代理机构未在规定的时间内作出答复的，可以在答复期满后十五个工作日内向采购</w:t>
      </w:r>
      <w:r>
        <w:rPr>
          <w:rFonts w:hint="eastAsia" w:ascii="宋体" w:hAnsi="宋体" w:cs="宋体"/>
          <w:color w:val="000000"/>
          <w:sz w:val="24"/>
          <w:highlight w:val="none"/>
          <w:lang w:val="en-US" w:eastAsia="zh-CN"/>
        </w:rPr>
        <w:t>人</w:t>
      </w:r>
      <w:r>
        <w:rPr>
          <w:rFonts w:hint="eastAsia" w:ascii="宋体" w:hAnsi="宋体" w:cs="宋体"/>
          <w:color w:val="000000"/>
          <w:sz w:val="24"/>
          <w:highlight w:val="none"/>
        </w:rPr>
        <w:t>提起投诉。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45.2供应商投诉的事项不得超出已质疑事项的范围，但基于质疑答复内容提出的投诉事项除外。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000000"/>
          <w:sz w:val="24"/>
          <w:highlight w:val="none"/>
        </w:rPr>
      </w:pPr>
      <w:r>
        <w:rPr>
          <w:rFonts w:hint="eastAsia" w:ascii="宋体" w:hAnsi="宋体" w:cs="宋体"/>
          <w:b/>
          <w:color w:val="000000"/>
          <w:sz w:val="24"/>
          <w:highlight w:val="none"/>
        </w:rPr>
        <w:t>46、诚实信用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highlight w:val="none"/>
        </w:rPr>
      </w:pPr>
      <w:r>
        <w:rPr>
          <w:rFonts w:hint="eastAsia" w:ascii="宋体" w:hAnsi="宋体" w:cs="宋体"/>
          <w:color w:val="000000"/>
          <w:sz w:val="24"/>
          <w:highlight w:val="none"/>
        </w:rPr>
        <w:t>46.1供应商不得虚假承诺，否则，按照提供虚假材料谋取中标或成交处理。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000000"/>
          <w:sz w:val="24"/>
          <w:highlight w:val="none"/>
        </w:rPr>
        <w:t>46.2</w:t>
      </w:r>
      <w:r>
        <w:rPr>
          <w:rFonts w:hint="eastAsia" w:ascii="宋体" w:hAnsi="宋体" w:eastAsia="宋体" w:cs="宋体"/>
          <w:b/>
          <w:bCs/>
          <w:color w:val="auto"/>
          <w:sz w:val="24"/>
          <w:highlight w:val="none"/>
        </w:rPr>
        <w:t>中小企业应当按照《财政部 工业和信息化部关于印发&lt;政府采购促进中小企业发展管理办法&gt;的通知》（财库〔2020〕46号）规定和《工业和信息化部、国家统计局、国家发展和改革委员会、财政部关于印发中小企业划型标准规定的通知》（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widowControl w:val="0"/>
        <w:wordWrap/>
        <w:adjustRightInd/>
        <w:spacing w:line="360" w:lineRule="auto"/>
        <w:ind w:firstLine="480" w:firstLineChars="200"/>
        <w:jc w:val="left"/>
        <w:textAlignment w:val="auto"/>
        <w:rPr>
          <w:rFonts w:hint="eastAsia" w:ascii="宋体" w:hAnsi="宋体" w:eastAsia="宋体" w:cs="宋体"/>
          <w:color w:val="auto"/>
          <w:sz w:val="24"/>
          <w:highlight w:val="none"/>
        </w:rPr>
      </w:pPr>
    </w:p>
    <w:p>
      <w:pPr>
        <w:wordWrap/>
        <w:snapToGrid w:val="0"/>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H   义务、工作纪律</w:t>
      </w:r>
    </w:p>
    <w:p>
      <w:pPr>
        <w:widowControl w:val="0"/>
        <w:wordWrap/>
        <w:adjustRightInd/>
        <w:snapToGrid w:val="0"/>
        <w:spacing w:line="360" w:lineRule="auto"/>
        <w:ind w:left="0" w:leftChars="0" w:firstLine="562" w:firstLineChars="200"/>
        <w:jc w:val="left"/>
        <w:textAlignment w:val="auto"/>
        <w:rPr>
          <w:rFonts w:hint="eastAsia" w:ascii="宋体" w:hAnsi="宋体" w:eastAsia="宋体" w:cs="宋体"/>
          <w:b/>
          <w:bCs/>
          <w:color w:val="auto"/>
          <w:kern w:val="0"/>
          <w:sz w:val="28"/>
          <w:szCs w:val="28"/>
          <w:highlight w:val="none"/>
        </w:rPr>
      </w:pPr>
    </w:p>
    <w:p>
      <w:pPr>
        <w:tabs>
          <w:tab w:val="left" w:pos="7665"/>
        </w:tabs>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47、磋商小组在政府采购活动中承担以下义务：</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（一）遵守评审工作纪律；</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（三）不得泄露评审文件、评审情况和在评审过程中获悉的商业秘密；</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（六）及时向财政、监察等部门举报在评审过程中受到非法干预的情况；</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（七）配合答复处理供应商的询问、质疑和投诉等事项；</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（八）法律、法规和规章规定的其他义务。</w:t>
      </w:r>
    </w:p>
    <w:p>
      <w:pPr>
        <w:tabs>
          <w:tab w:val="left" w:pos="7665"/>
        </w:tabs>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48、评审专家在政府采购活动中应当遵守以下工作纪律</w:t>
      </w:r>
      <w:r>
        <w:rPr>
          <w:rFonts w:hint="eastAsia" w:ascii="宋体" w:hAnsi="宋体" w:cs="宋体"/>
          <w:color w:val="000000"/>
          <w:sz w:val="24"/>
          <w:highlight w:val="none"/>
        </w:rPr>
        <w:t>：</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（二）评审前，应当将通讯工具或者相关电子设备交由采购代理机构统一保管；</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（六）评审现场服从采购代理机构工作人员的管理，接受现场监督人员的合法监督；</w:t>
      </w:r>
    </w:p>
    <w:p>
      <w:pPr>
        <w:tabs>
          <w:tab w:val="left" w:pos="7665"/>
        </w:tabs>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（七）遵守有关廉洁自律规定，不得私下接触供应商，不得收受供应商及有关业务单位和个人的财物或好处，不得接受采购代理机构的请托。</w:t>
      </w:r>
    </w:p>
    <w:p>
      <w:pPr>
        <w:pStyle w:val="29"/>
        <w:rPr>
          <w:rFonts w:hint="eastAsia" w:ascii="宋体" w:hAnsi="宋体" w:cs="宋体"/>
          <w:color w:val="000000"/>
          <w:sz w:val="24"/>
          <w:highlight w:val="none"/>
        </w:rPr>
      </w:pPr>
    </w:p>
    <w:p>
      <w:pPr>
        <w:rPr>
          <w:rFonts w:hint="eastAsia" w:ascii="宋体" w:hAnsi="宋体" w:cs="宋体"/>
          <w:color w:val="000000"/>
          <w:sz w:val="24"/>
          <w:highlight w:val="none"/>
        </w:rPr>
      </w:pPr>
    </w:p>
    <w:p>
      <w:pPr>
        <w:pStyle w:val="29"/>
        <w:rPr>
          <w:rFonts w:hint="eastAsia" w:ascii="宋体" w:hAnsi="宋体" w:cs="宋体"/>
          <w:color w:val="000000"/>
          <w:sz w:val="24"/>
          <w:highlight w:val="none"/>
        </w:rPr>
      </w:pPr>
    </w:p>
    <w:p>
      <w:pPr>
        <w:rPr>
          <w:rFonts w:hint="eastAsia"/>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34"/>
        <w:wordWrap/>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项目采购需求及合同主要条款</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1.1本章条款仅限于</w:t>
      </w:r>
      <w:r>
        <w:rPr>
          <w:rFonts w:hint="eastAsia" w:ascii="宋体" w:hAnsi="宋体" w:cs="宋体"/>
          <w:color w:val="auto"/>
          <w:sz w:val="24"/>
          <w:szCs w:val="24"/>
          <w:highlight w:val="none"/>
          <w:lang w:val="en-US" w:eastAsia="zh-CN"/>
        </w:rPr>
        <w:t>电梯</w:t>
      </w:r>
      <w:r>
        <w:rPr>
          <w:rFonts w:hint="eastAsia" w:ascii="宋体" w:hAnsi="宋体" w:eastAsia="宋体" w:cs="宋体"/>
          <w:color w:val="auto"/>
          <w:sz w:val="24"/>
          <w:szCs w:val="24"/>
          <w:highlight w:val="none"/>
        </w:rPr>
        <w:t>的采购。</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1.3如果供应商没有以书面形式对本章条款提出异议，采购人就可以认为供应商提供的成果符合本章条款的要求。</w:t>
      </w:r>
    </w:p>
    <w:p>
      <w:pPr>
        <w:wordWrap/>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1.4供应商在响应文件中，应对采购文件中的服务进行详细的说明。</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1.5在签订合同之后，采购人有权提出因规范标准有变化而产生的一些补充要求。</w:t>
      </w:r>
    </w:p>
    <w:p>
      <w:pPr>
        <w:wordWrap/>
        <w:spacing w:line="360" w:lineRule="auto"/>
        <w:ind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1.6本章条款使用标准如与供应商所执行标准发生矛盾时，按较高标准执行。</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2、执行的规范和标准</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本项目必须遵循国家规范和标准并应按最新版本执行，若标准、规范出现矛盾时，以最新、最高标准规范执行。</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产品标准和规范要求：（供应商应达到下列标准和规范最新版本的要求）；</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《电梯技术条件》GB/T10058-1997；</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《电梯制造与安装安全规范》GB7588-2003；</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《电梯试验方法》GB/T10059-1997；</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《电梯主要参数及</w:t>
      </w:r>
      <w:r>
        <w:rPr>
          <w:rFonts w:hint="eastAsia" w:ascii="宋体" w:hAnsi="宋体" w:cs="宋体"/>
          <w:color w:val="auto"/>
          <w:sz w:val="24"/>
          <w:szCs w:val="24"/>
          <w:highlight w:val="none"/>
          <w:lang w:eastAsia="zh-CN"/>
        </w:rPr>
        <w:t>轿厢</w:t>
      </w:r>
      <w:r>
        <w:rPr>
          <w:rFonts w:hint="eastAsia" w:ascii="宋体" w:hAnsi="宋体" w:eastAsia="宋体" w:cs="宋体"/>
          <w:color w:val="auto"/>
          <w:sz w:val="24"/>
          <w:szCs w:val="24"/>
          <w:highlight w:val="none"/>
        </w:rPr>
        <w:t>、井道、机房的形式及尺寸》GB/T7025-2008；</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 《电梯安装验收规范》GB/T10060-2011；</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 《电梯工程施工质量验收规范》GB50310-2002；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.8 《电梯用钢丝》GB8903-1988；</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 《电梯曳引机》GB/T13435-1992；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 《交流电梯电动机通用技术条件》GB/T12974-1991；</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《电梯层门耐火实验方法》GA109-1995；</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《电梯操作装置、信号和附件》（JG/T5009-1992）；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 《电梯电气装置施工及验收规范》GB50182-93；</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.14 新疆维吾尔自治区防火部门的条例及相关的中国国家防火规则；</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.15 中华人民共和国现行的相关国家标准，包括且不限于执行GB7588-2003；GB10058-1997 ；GB10060- 93 ；GB50310-2002；GB/T3435-92等规范。 </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特别说明：以上规范、标准如有最新颁布版本，则以最新版本为准。其他未明确的国家现行规范、标准亦对本合同所涉及产品具有约束作用。除以上外还应符合当地现行质量验收规范及相关要求。</w:t>
      </w:r>
    </w:p>
    <w:p>
      <w:pPr>
        <w:widowControl/>
        <w:spacing w:line="360" w:lineRule="exact"/>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rPr>
          <w:rFonts w:ascii="宋体" w:hAnsi="宋体" w:cs="宋体"/>
          <w:b/>
          <w:kern w:val="0"/>
          <w:sz w:val="30"/>
          <w:szCs w:val="30"/>
        </w:rPr>
      </w:pPr>
    </w:p>
    <w:p>
      <w:pPr>
        <w:pStyle w:val="29"/>
        <w:rPr>
          <w:rFonts w:ascii="宋体" w:hAnsi="宋体" w:cs="宋体"/>
          <w:b/>
          <w:kern w:val="0"/>
          <w:sz w:val="30"/>
          <w:szCs w:val="30"/>
        </w:rPr>
      </w:pPr>
    </w:p>
    <w:p>
      <w:pPr>
        <w:sectPr>
          <w:footerReference r:id="rId6" w:type="default"/>
          <w:pgSz w:w="11905" w:h="16838"/>
          <w:pgMar w:top="1440" w:right="1080" w:bottom="1440" w:left="1080" w:header="850" w:footer="850" w:gutter="0"/>
          <w:pgNumType w:fmt="decimal" w:start="1"/>
          <w:cols w:space="0" w:num="1"/>
          <w:rtlGutter w:val="0"/>
          <w:docGrid w:linePitch="312" w:charSpace="0"/>
        </w:sectPr>
      </w:pPr>
    </w:p>
    <w:p>
      <w:pPr>
        <w:pageBreakBefore w:val="0"/>
        <w:widowControl/>
        <w:kinsoku/>
        <w:wordWrap/>
        <w:overflowPunct/>
        <w:topLinePunct w:val="0"/>
        <w:autoSpaceDE/>
        <w:autoSpaceDN/>
        <w:bidi w:val="0"/>
        <w:adjustRightInd/>
        <w:snapToGrid/>
        <w:spacing w:line="360" w:lineRule="auto"/>
        <w:ind w:firstLine="602" w:firstLineChars="200"/>
        <w:jc w:val="center"/>
        <w:rPr>
          <w:rFonts w:ascii="宋体" w:hAnsi="宋体" w:cs="宋体"/>
          <w:b/>
          <w:kern w:val="0"/>
          <w:sz w:val="30"/>
          <w:szCs w:val="30"/>
        </w:rPr>
      </w:pPr>
      <w:r>
        <w:rPr>
          <w:rFonts w:hint="eastAsia" w:ascii="宋体" w:hAnsi="宋体" w:cs="宋体"/>
          <w:b/>
          <w:kern w:val="0"/>
          <w:sz w:val="30"/>
          <w:szCs w:val="30"/>
        </w:rPr>
        <w:t>一</w:t>
      </w:r>
      <w:r>
        <w:rPr>
          <w:rFonts w:hint="eastAsia" w:ascii="宋体" w:hAnsi="宋体" w:cs="宋体"/>
          <w:b/>
          <w:kern w:val="0"/>
          <w:sz w:val="30"/>
          <w:szCs w:val="30"/>
          <w:lang w:eastAsia="zh-CN"/>
        </w:rPr>
        <w:t>）</w:t>
      </w:r>
      <w:r>
        <w:rPr>
          <w:rFonts w:hint="eastAsia" w:ascii="宋体" w:hAnsi="宋体" w:cs="宋体"/>
          <w:b/>
          <w:kern w:val="0"/>
          <w:sz w:val="30"/>
          <w:szCs w:val="30"/>
        </w:rPr>
        <w:t>克拉玛依税务局更换电梯主要参数表</w:t>
      </w:r>
    </w:p>
    <w:p>
      <w:pPr>
        <w:pageBreakBefore w:val="0"/>
        <w:widowControl/>
        <w:kinsoku/>
        <w:wordWrap/>
        <w:overflowPunct/>
        <w:topLinePunct w:val="0"/>
        <w:autoSpaceDE/>
        <w:autoSpaceDN/>
        <w:bidi w:val="0"/>
        <w:adjustRightInd/>
        <w:snapToGrid/>
        <w:spacing w:line="360" w:lineRule="auto"/>
        <w:ind w:firstLine="640" w:firstLineChars="200"/>
        <w:jc w:val="center"/>
        <w:rPr>
          <w:sz w:val="32"/>
          <w:szCs w:val="32"/>
        </w:rPr>
      </w:pPr>
    </w:p>
    <w:tbl>
      <w:tblPr>
        <w:tblStyle w:val="59"/>
        <w:tblW w:w="14605" w:type="dxa"/>
        <w:jc w:val="center"/>
        <w:tblLayout w:type="fixed"/>
        <w:tblCellMar>
          <w:top w:w="0" w:type="dxa"/>
          <w:left w:w="108" w:type="dxa"/>
          <w:bottom w:w="0" w:type="dxa"/>
          <w:right w:w="108" w:type="dxa"/>
        </w:tblCellMar>
      </w:tblPr>
      <w:tblGrid>
        <w:gridCol w:w="1062"/>
        <w:gridCol w:w="1498"/>
        <w:gridCol w:w="973"/>
        <w:gridCol w:w="1150"/>
        <w:gridCol w:w="1061"/>
        <w:gridCol w:w="1499"/>
        <w:gridCol w:w="1495"/>
        <w:gridCol w:w="1294"/>
        <w:gridCol w:w="1499"/>
        <w:gridCol w:w="1060"/>
        <w:gridCol w:w="1094"/>
        <w:gridCol w:w="920"/>
      </w:tblGrid>
      <w:tr>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电梯</w:t>
            </w:r>
          </w:p>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编号</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电梯类型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载重kg</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层/站/门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速度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井道净尺寸（宽）*（深）</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轿厢内净尺寸（宽*深*高）</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开门净尺寸</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开门方式</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提升高度</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顶层高度</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color w:val="000000"/>
                <w:sz w:val="24"/>
                <w:szCs w:val="24"/>
              </w:rPr>
              <w:t>地坑深度</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sz w:val="24"/>
                <w:szCs w:val="24"/>
              </w:rPr>
              <w:t>1#电梯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有机房乘客兼消防电梯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1150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8/8/8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2210*2230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1700*1600*2600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900*2100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29.1m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1.5</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asciiTheme="minorEastAsia" w:hAnsiTheme="minorEastAsia"/>
                <w:sz w:val="24"/>
                <w:szCs w:val="24"/>
              </w:rPr>
              <w:t>2#电梯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有机房乘客电梯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1150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9/9/9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2210*2230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1700*1600*2600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900*2100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34.1m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1.5</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sz w:val="24"/>
                <w:szCs w:val="24"/>
              </w:rPr>
            </w:pPr>
            <w:r>
              <w:rPr>
                <w:rFonts w:hint="eastAsia" w:asciiTheme="minorEastAsia" w:hAnsiTheme="minorEastAsia"/>
                <w:sz w:val="24"/>
                <w:szCs w:val="24"/>
              </w:rPr>
              <w:t>3#电梯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有机房乘客电梯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1150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9/9/9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2210*2230</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1700*1600*2600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000000"/>
                <w:sz w:val="24"/>
                <w:szCs w:val="24"/>
              </w:rPr>
            </w:pPr>
            <w:r>
              <w:rPr>
                <w:rFonts w:hint="eastAsia" w:cs="宋体" w:asciiTheme="minorEastAsia" w:hAnsiTheme="minorEastAsia"/>
                <w:color w:val="000000"/>
                <w:kern w:val="0"/>
                <w:sz w:val="24"/>
                <w:szCs w:val="24"/>
              </w:rPr>
              <w:t>900*2100</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34.1m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000000"/>
                <w:sz w:val="24"/>
                <w:szCs w:val="24"/>
              </w:rPr>
            </w:pPr>
            <w:r>
              <w:rPr>
                <w:rFonts w:hint="eastAsia" w:asciiTheme="minorEastAsia" w:hAnsiTheme="minorEastAsia"/>
                <w:color w:val="000000"/>
                <w:sz w:val="24"/>
                <w:szCs w:val="24"/>
              </w:rPr>
              <w:t>1.4</w:t>
            </w:r>
          </w:p>
        </w:tc>
      </w:tr>
    </w:tbl>
    <w:p>
      <w:pPr>
        <w:pageBreakBefore w:val="0"/>
        <w:kinsoku/>
        <w:wordWrap/>
        <w:overflowPunct/>
        <w:topLinePunct w:val="0"/>
        <w:autoSpaceDE/>
        <w:autoSpaceDN/>
        <w:bidi w:val="0"/>
        <w:adjustRightInd/>
        <w:snapToGrid/>
        <w:spacing w:line="360" w:lineRule="auto"/>
        <w:rPr>
          <w:rFonts w:asciiTheme="minorEastAsia" w:hAnsiTheme="minorEastAsia"/>
          <w:sz w:val="24"/>
          <w:szCs w:val="24"/>
        </w:rPr>
      </w:pPr>
      <w:r>
        <w:rPr>
          <w:rFonts w:asciiTheme="minorEastAsia" w:hAnsiTheme="minorEastAsia"/>
          <w:sz w:val="24"/>
          <w:szCs w:val="24"/>
        </w:rPr>
        <w:t>说明</w:t>
      </w:r>
      <w:r>
        <w:rPr>
          <w:rFonts w:hint="eastAsia" w:asciiTheme="minorEastAsia" w:hAnsiTheme="minorEastAsia"/>
          <w:sz w:val="24"/>
          <w:szCs w:val="24"/>
        </w:rPr>
        <w:t>：1#电梯独立控制，2#、3#电梯并联控制。电梯井道尺寸、提升高度、顶层高度、地坑深度均为参考值，具体准确数据由投标人自行现场勘察测量。</w:t>
      </w: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sectPr>
          <w:pgSz w:w="16838" w:h="11905" w:orient="landscape"/>
          <w:pgMar w:top="1440" w:right="1080" w:bottom="1440" w:left="1080" w:header="850" w:footer="850" w:gutter="0"/>
          <w:pgNumType w:fmt="decimal"/>
          <w:cols w:space="0" w:num="1"/>
          <w:rtlGutter w:val="0"/>
          <w:docGrid w:linePitch="312" w:charSpace="0"/>
        </w:sectPr>
      </w:pPr>
    </w:p>
    <w:p>
      <w:pPr>
        <w:pStyle w:val="7"/>
        <w:pageBreakBefore w:val="0"/>
        <w:kinsoku/>
        <w:wordWrap/>
        <w:overflowPunct/>
        <w:topLinePunct w:val="0"/>
        <w:autoSpaceDE/>
        <w:autoSpaceDN/>
        <w:bidi w:val="0"/>
        <w:adjustRightInd/>
        <w:snapToGrid/>
        <w:spacing w:before="0" w:after="0" w:line="360" w:lineRule="auto"/>
        <w:jc w:val="center"/>
        <w:rPr>
          <w:sz w:val="30"/>
          <w:szCs w:val="30"/>
        </w:rPr>
      </w:pPr>
      <w:bookmarkStart w:id="164" w:name="_Toc1100"/>
      <w:bookmarkStart w:id="165" w:name="_Toc25149"/>
      <w:bookmarkStart w:id="166" w:name="_Toc127207813"/>
      <w:bookmarkStart w:id="167" w:name="_Toc2443"/>
      <w:r>
        <w:rPr>
          <w:rFonts w:hint="eastAsia"/>
          <w:sz w:val="30"/>
          <w:szCs w:val="30"/>
        </w:rPr>
        <w:t>二</w:t>
      </w:r>
      <w:r>
        <w:rPr>
          <w:rFonts w:hint="eastAsia"/>
          <w:sz w:val="30"/>
          <w:szCs w:val="30"/>
          <w:lang w:eastAsia="zh-CN"/>
        </w:rPr>
        <w:t>）</w:t>
      </w:r>
      <w:r>
        <w:rPr>
          <w:rFonts w:hint="eastAsia"/>
          <w:sz w:val="30"/>
          <w:szCs w:val="30"/>
        </w:rPr>
        <w:t>电梯设备主要技术参数表</w:t>
      </w:r>
      <w:bookmarkEnd w:id="164"/>
      <w:bookmarkEnd w:id="165"/>
      <w:bookmarkEnd w:id="166"/>
      <w:bookmarkEnd w:id="167"/>
    </w:p>
    <w:p>
      <w:pPr>
        <w:pStyle w:val="34"/>
        <w:pageBreakBefore w:val="0"/>
        <w:kinsoku/>
        <w:wordWrap/>
        <w:overflowPunct/>
        <w:topLinePunct w:val="0"/>
        <w:autoSpaceDE/>
        <w:autoSpaceDN/>
        <w:bidi w:val="0"/>
        <w:adjustRightInd/>
        <w:snapToGrid/>
        <w:spacing w:line="360" w:lineRule="auto"/>
        <w:jc w:val="center"/>
        <w:rPr>
          <w:b/>
          <w:sz w:val="24"/>
          <w:szCs w:val="24"/>
        </w:rPr>
      </w:pPr>
      <w:r>
        <w:rPr>
          <w:rFonts w:hint="eastAsia"/>
          <w:b/>
          <w:sz w:val="24"/>
          <w:szCs w:val="24"/>
        </w:rPr>
        <w:t>1</w:t>
      </w:r>
      <w:r>
        <w:rPr>
          <w:rFonts w:hint="eastAsia"/>
          <w:b/>
          <w:sz w:val="24"/>
          <w:szCs w:val="24"/>
          <w:lang w:eastAsia="zh-CN"/>
        </w:rPr>
        <w:t>）</w:t>
      </w:r>
      <w:r>
        <w:rPr>
          <w:rFonts w:hint="eastAsia"/>
          <w:b/>
          <w:sz w:val="24"/>
          <w:szCs w:val="24"/>
        </w:rPr>
        <w:t xml:space="preserve">  1#电梯技术参数表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3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序号</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规格名称</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投标技术规格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电梯类型</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cs="宋体"/>
                <w:sz w:val="24"/>
              </w:rPr>
              <w:t>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数量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载重量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1150kg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速度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pacing w:val="8"/>
                <w:sz w:val="24"/>
              </w:rPr>
            </w:pPr>
            <w:r>
              <w:rPr>
                <w:rFonts w:hint="eastAsia" w:ascii="宋体" w:hAnsi="宋体"/>
                <w:sz w:val="24"/>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提升高度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29.1米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顶层高度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4.40米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底坑深度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1.5米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服务层站</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8层8站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基层位置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机房位置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顶置式有机房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电源要求</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ascii="宋体" w:hAnsi="宋体"/>
                <w:color w:val="000000"/>
                <w:sz w:val="24"/>
              </w:rPr>
              <w:t>380</w:t>
            </w:r>
            <w:r>
              <w:rPr>
                <w:rFonts w:hint="eastAsia" w:ascii="宋体" w:hAnsi="宋体"/>
                <w:color w:val="000000"/>
                <w:sz w:val="24"/>
              </w:rPr>
              <w:t xml:space="preserve">V  </w:t>
            </w:r>
            <w:r>
              <w:rPr>
                <w:rFonts w:ascii="宋体" w:hAnsi="宋体"/>
                <w:color w:val="000000"/>
                <w:sz w:val="24"/>
              </w:rPr>
              <w:t>50</w:t>
            </w:r>
            <w:r>
              <w:rPr>
                <w:rFonts w:hint="eastAsia" w:ascii="宋体" w:hAnsi="宋体"/>
                <w:color w:val="000000"/>
                <w:sz w:val="24"/>
              </w:rPr>
              <w:t xml:space="preserve">HZ </w:t>
            </w:r>
            <w:r>
              <w:rPr>
                <w:rFonts w:ascii="宋体" w:hAnsi="宋体"/>
                <w:color w:val="000000"/>
                <w:sz w:val="24"/>
              </w:rPr>
              <w:t>误差</w:t>
            </w:r>
            <w:r>
              <w:rPr>
                <w:rFonts w:hint="eastAsia" w:ascii="宋体" w:hAnsi="宋体"/>
                <w:color w:val="000000"/>
                <w:sz w:val="24"/>
                <w:u w:val="single"/>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照明220V </w:t>
            </w:r>
            <w:r>
              <w:rPr>
                <w:rFonts w:ascii="宋体" w:hAnsi="宋体"/>
                <w:color w:val="000000"/>
                <w:sz w:val="24"/>
              </w:rPr>
              <w:t>50</w:t>
            </w:r>
            <w:r>
              <w:rPr>
                <w:rFonts w:hint="eastAsia" w:ascii="宋体" w:hAnsi="宋体"/>
                <w:color w:val="000000"/>
                <w:sz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驱动主机</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color w:val="000000"/>
                <w:sz w:val="24"/>
              </w:rPr>
              <w:t>永磁同步电</w:t>
            </w:r>
            <w:r>
              <w:rPr>
                <w:rFonts w:hint="eastAsia" w:ascii="宋体" w:hAnsi="宋体"/>
                <w:color w:val="000000"/>
                <w:sz w:val="24"/>
                <w:lang w:eastAsia="zh-CN"/>
              </w:rPr>
              <w:t>动</w:t>
            </w:r>
            <w:r>
              <w:rPr>
                <w:rFonts w:hint="eastAsia" w:ascii="宋体" w:hAnsi="宋体"/>
                <w:color w:val="000000"/>
                <w:sz w:val="24"/>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驱动系统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全数字变频变压调速，闭环矢量控制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制动系统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电磁制动器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主控系统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分散控制系统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控制方式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通讯方式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数据总线信号系统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门机系统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变频变压调速控制，系统带位置编码器</w:t>
            </w:r>
            <w:r>
              <w:rPr>
                <w:rFonts w:hint="eastAsia" w:ascii="宋体" w:hAnsi="宋体"/>
                <w:sz w:val="24"/>
                <w:lang w:eastAsia="zh-CN"/>
              </w:rPr>
              <w:t>并</w:t>
            </w:r>
            <w:r>
              <w:rPr>
                <w:rFonts w:hint="eastAsia" w:ascii="宋体" w:hAnsi="宋体"/>
                <w:sz w:val="24"/>
              </w:rPr>
              <w:t>具有自学习功能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门机传动结构</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永磁同步电机、齿型皮带传动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开门方式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中分自动门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开门尺寸（宽×高）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井道尺寸（宽×深）</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2210mm×2230mm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轿厢尺寸（宽×深×高）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1700mm×1600mm×2600mm（净高度）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轿厢围壁</w:t>
            </w:r>
          </w:p>
        </w:tc>
        <w:tc>
          <w:tcPr>
            <w:tcW w:w="6102" w:type="dxa"/>
            <w:vAlign w:val="center"/>
          </w:tcPr>
          <w:p>
            <w:pPr>
              <w:pStyle w:val="34"/>
              <w:pageBreakBefore w:val="0"/>
              <w:tabs>
                <w:tab w:val="left" w:pos="2268"/>
                <w:tab w:val="left" w:pos="3402"/>
              </w:tabs>
              <w:kinsoku/>
              <w:wordWrap/>
              <w:overflowPunct/>
              <w:topLinePunct w:val="0"/>
              <w:autoSpaceDE/>
              <w:autoSpaceDN/>
              <w:bidi w:val="0"/>
              <w:adjustRightInd/>
              <w:snapToGrid/>
              <w:spacing w:line="360" w:lineRule="auto"/>
              <w:jc w:val="center"/>
              <w:rPr>
                <w:sz w:val="24"/>
                <w:szCs w:val="24"/>
              </w:rPr>
            </w:pPr>
            <w:r>
              <w:rPr>
                <w:rFonts w:hint="eastAsia"/>
                <w:sz w:val="24"/>
                <w:szCs w:val="24"/>
              </w:rPr>
              <w:t>发纹不锈钢+后壁扶手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轿厢地面</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PVC耐磨地板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轿厢天花板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豪华明亮型轿顶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轿厢照明</w:t>
            </w:r>
          </w:p>
        </w:tc>
        <w:tc>
          <w:tcPr>
            <w:tcW w:w="6102" w:type="dxa"/>
            <w:vAlign w:val="center"/>
          </w:tcPr>
          <w:p>
            <w:pPr>
              <w:pageBreakBefore w:val="0"/>
              <w:tabs>
                <w:tab w:val="left" w:pos="1875"/>
              </w:tabs>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照明系统采用LED节能型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轿门安全系统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光幕门保护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门套</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发纹不锈钢大门套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厅门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轿厢操作板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一体化COP，9英寸以上液晶显示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门厅显示板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4.6英寸液晶显示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缓冲器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液压缓冲器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称重装置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电子传感器</w:t>
            </w:r>
          </w:p>
        </w:tc>
      </w:tr>
    </w:tbl>
    <w:p>
      <w:pPr>
        <w:pStyle w:val="34"/>
        <w:pageBreakBefore w:val="0"/>
        <w:kinsoku/>
        <w:wordWrap/>
        <w:overflowPunct/>
        <w:topLinePunct w:val="0"/>
        <w:autoSpaceDE/>
        <w:autoSpaceDN/>
        <w:bidi w:val="0"/>
        <w:adjustRightInd/>
        <w:snapToGrid/>
        <w:spacing w:line="360" w:lineRule="auto"/>
        <w:rPr>
          <w:sz w:val="24"/>
          <w:szCs w:val="24"/>
        </w:rPr>
      </w:pPr>
    </w:p>
    <w:p>
      <w:pPr>
        <w:pageBreakBefore w:val="0"/>
        <w:kinsoku/>
        <w:wordWrap/>
        <w:overflowPunct/>
        <w:topLinePunct w:val="0"/>
        <w:autoSpaceDE/>
        <w:autoSpaceDN/>
        <w:bidi w:val="0"/>
        <w:adjustRightInd/>
        <w:snapToGrid/>
        <w:spacing w:line="360" w:lineRule="auto"/>
        <w:rPr>
          <w:rFonts w:ascii="宋体" w:hAnsi="宋体"/>
          <w:b/>
          <w:sz w:val="24"/>
          <w:szCs w:val="20"/>
        </w:rPr>
      </w:pPr>
    </w:p>
    <w:p>
      <w:pPr>
        <w:pageBreakBefore w:val="0"/>
        <w:kinsoku/>
        <w:wordWrap/>
        <w:overflowPunct/>
        <w:topLinePunct w:val="0"/>
        <w:autoSpaceDE/>
        <w:autoSpaceDN/>
        <w:bidi w:val="0"/>
        <w:adjustRightInd/>
        <w:snapToGrid/>
        <w:spacing w:line="360" w:lineRule="auto"/>
        <w:rPr>
          <w:rFonts w:ascii="宋体" w:hAnsi="宋体"/>
          <w:b/>
          <w:sz w:val="24"/>
          <w:szCs w:val="20"/>
        </w:rPr>
      </w:pPr>
    </w:p>
    <w:p>
      <w:pPr>
        <w:pStyle w:val="29"/>
        <w:rPr>
          <w:rFonts w:ascii="宋体" w:hAnsi="宋体"/>
          <w:b/>
          <w:sz w:val="24"/>
          <w:szCs w:val="20"/>
        </w:rPr>
      </w:pPr>
    </w:p>
    <w:p>
      <w:pPr>
        <w:rPr>
          <w:rFonts w:ascii="宋体" w:hAnsi="宋体"/>
          <w:b/>
          <w:sz w:val="24"/>
          <w:szCs w:val="20"/>
        </w:rPr>
      </w:pPr>
    </w:p>
    <w:p>
      <w:pPr>
        <w:pStyle w:val="29"/>
        <w:rPr>
          <w:rFonts w:ascii="宋体" w:hAnsi="宋体"/>
          <w:b/>
          <w:sz w:val="24"/>
          <w:szCs w:val="20"/>
        </w:rPr>
      </w:pPr>
    </w:p>
    <w:p>
      <w:pPr>
        <w:rPr>
          <w:rFonts w:ascii="宋体" w:hAnsi="宋体"/>
          <w:b/>
          <w:sz w:val="24"/>
          <w:szCs w:val="20"/>
        </w:rPr>
      </w:pPr>
    </w:p>
    <w:p>
      <w:pPr>
        <w:pStyle w:val="29"/>
        <w:rPr>
          <w:rFonts w:ascii="宋体" w:hAnsi="宋体"/>
          <w:b/>
          <w:sz w:val="24"/>
          <w:szCs w:val="20"/>
        </w:rPr>
      </w:pPr>
    </w:p>
    <w:p>
      <w:pPr>
        <w:rPr>
          <w:rFonts w:ascii="宋体" w:hAnsi="宋体"/>
          <w:b/>
          <w:sz w:val="24"/>
          <w:szCs w:val="20"/>
        </w:rPr>
      </w:pPr>
    </w:p>
    <w:p>
      <w:pPr>
        <w:pStyle w:val="29"/>
        <w:rPr>
          <w:rFonts w:ascii="宋体" w:hAnsi="宋体"/>
          <w:b/>
          <w:sz w:val="24"/>
          <w:szCs w:val="20"/>
        </w:rPr>
      </w:pPr>
    </w:p>
    <w:p>
      <w:pPr>
        <w:rPr>
          <w:rFonts w:ascii="宋体" w:hAnsi="宋体"/>
          <w:b/>
          <w:sz w:val="24"/>
          <w:szCs w:val="20"/>
        </w:rPr>
      </w:pPr>
    </w:p>
    <w:p>
      <w:pPr>
        <w:pStyle w:val="29"/>
        <w:rPr>
          <w:rFonts w:ascii="宋体" w:hAnsi="宋体"/>
          <w:b/>
          <w:sz w:val="24"/>
          <w:szCs w:val="20"/>
        </w:rPr>
      </w:pPr>
    </w:p>
    <w:p>
      <w:pPr>
        <w:rPr>
          <w:rFonts w:ascii="宋体" w:hAnsi="宋体"/>
          <w:b/>
          <w:sz w:val="24"/>
          <w:szCs w:val="20"/>
        </w:rPr>
      </w:pPr>
    </w:p>
    <w:p>
      <w:pPr>
        <w:pStyle w:val="29"/>
        <w:rPr>
          <w:rFonts w:ascii="宋体" w:hAnsi="宋体"/>
          <w:b/>
          <w:sz w:val="24"/>
          <w:szCs w:val="20"/>
        </w:rPr>
      </w:pPr>
    </w:p>
    <w:p>
      <w:pPr>
        <w:pStyle w:val="34"/>
        <w:pageBreakBefore w:val="0"/>
        <w:kinsoku/>
        <w:wordWrap/>
        <w:overflowPunct/>
        <w:topLinePunct w:val="0"/>
        <w:autoSpaceDE/>
        <w:autoSpaceDN/>
        <w:bidi w:val="0"/>
        <w:adjustRightInd/>
        <w:snapToGrid/>
        <w:spacing w:line="360" w:lineRule="auto"/>
        <w:jc w:val="center"/>
        <w:rPr>
          <w:b/>
          <w:sz w:val="24"/>
          <w:szCs w:val="24"/>
        </w:rPr>
      </w:pPr>
      <w:r>
        <w:rPr>
          <w:rFonts w:hint="eastAsia"/>
          <w:b/>
          <w:sz w:val="24"/>
          <w:szCs w:val="24"/>
        </w:rPr>
        <w:t>2</w:t>
      </w:r>
      <w:r>
        <w:rPr>
          <w:rFonts w:hint="eastAsia"/>
          <w:b/>
          <w:sz w:val="24"/>
          <w:szCs w:val="24"/>
          <w:lang w:eastAsia="zh-CN"/>
        </w:rPr>
        <w:t>）</w:t>
      </w:r>
      <w:r>
        <w:rPr>
          <w:rFonts w:hint="eastAsia"/>
          <w:b/>
          <w:sz w:val="24"/>
          <w:szCs w:val="24"/>
        </w:rPr>
        <w:t xml:space="preserve">  2#、3#电梯技术参数表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3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序号</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规格名称</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投标技术规格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电梯类型</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sz w:val="24"/>
                <w:lang w:eastAsia="zh-CN"/>
              </w:rPr>
            </w:pPr>
            <w:r>
              <w:rPr>
                <w:rFonts w:hint="eastAsia" w:ascii="宋体" w:hAnsi="宋体"/>
                <w:sz w:val="24"/>
                <w:lang w:eastAsia="zh-CN"/>
              </w:rPr>
              <w:t>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数量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载重量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1150kg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速度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pacing w:val="8"/>
                <w:sz w:val="24"/>
              </w:rPr>
            </w:pPr>
            <w:r>
              <w:rPr>
                <w:rFonts w:hint="eastAsia" w:ascii="宋体" w:hAnsi="宋体"/>
                <w:sz w:val="24"/>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提升高度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34.1米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顶层高度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4.40米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底坑深度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 xml:space="preserve">1.5米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服务层站</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9层9站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基层位置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机房位置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顶置式有机房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电源要求</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ascii="宋体" w:hAnsi="宋体"/>
                <w:color w:val="000000"/>
                <w:sz w:val="24"/>
              </w:rPr>
              <w:t>380</w:t>
            </w:r>
            <w:r>
              <w:rPr>
                <w:rFonts w:hint="eastAsia" w:ascii="宋体" w:hAnsi="宋体"/>
                <w:color w:val="000000"/>
                <w:sz w:val="24"/>
              </w:rPr>
              <w:t xml:space="preserve">V  </w:t>
            </w:r>
            <w:r>
              <w:rPr>
                <w:rFonts w:ascii="宋体" w:hAnsi="宋体"/>
                <w:color w:val="000000"/>
                <w:sz w:val="24"/>
              </w:rPr>
              <w:t>50</w:t>
            </w:r>
            <w:r>
              <w:rPr>
                <w:rFonts w:hint="eastAsia" w:ascii="宋体" w:hAnsi="宋体"/>
                <w:color w:val="000000"/>
                <w:sz w:val="24"/>
              </w:rPr>
              <w:t xml:space="preserve">HZ </w:t>
            </w:r>
            <w:r>
              <w:rPr>
                <w:rFonts w:ascii="宋体" w:hAnsi="宋体"/>
                <w:color w:val="000000"/>
                <w:sz w:val="24"/>
              </w:rPr>
              <w:t>误差</w:t>
            </w:r>
            <w:r>
              <w:rPr>
                <w:rFonts w:hint="eastAsia" w:ascii="宋体" w:hAnsi="宋体"/>
                <w:color w:val="000000"/>
                <w:sz w:val="24"/>
                <w:u w:val="single"/>
              </w:rPr>
              <w:t>+</w:t>
            </w:r>
            <w:r>
              <w:rPr>
                <w:rFonts w:hint="eastAsia" w:ascii="宋体" w:hAnsi="宋体"/>
                <w:color w:val="000000"/>
                <w:sz w:val="24"/>
              </w:rPr>
              <w:t>7</w:t>
            </w:r>
            <w:r>
              <w:rPr>
                <w:rFonts w:ascii="宋体" w:hAnsi="宋体"/>
                <w:color w:val="000000"/>
                <w:sz w:val="24"/>
              </w:rPr>
              <w:t>%</w:t>
            </w:r>
            <w:r>
              <w:rPr>
                <w:rFonts w:hint="eastAsia" w:ascii="宋体" w:hAnsi="宋体"/>
                <w:color w:val="000000"/>
                <w:sz w:val="24"/>
              </w:rPr>
              <w:t xml:space="preserve"> 照明220V </w:t>
            </w:r>
            <w:r>
              <w:rPr>
                <w:rFonts w:ascii="宋体" w:hAnsi="宋体"/>
                <w:color w:val="000000"/>
                <w:sz w:val="24"/>
              </w:rPr>
              <w:t>50</w:t>
            </w:r>
            <w:r>
              <w:rPr>
                <w:rFonts w:hint="eastAsia" w:ascii="宋体" w:hAnsi="宋体"/>
                <w:color w:val="000000"/>
                <w:sz w:val="24"/>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驱动主机</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color w:val="000000"/>
                <w:sz w:val="24"/>
              </w:rPr>
              <w:t>永磁同步电</w:t>
            </w:r>
            <w:r>
              <w:rPr>
                <w:rFonts w:hint="eastAsia" w:ascii="宋体" w:hAnsi="宋体"/>
                <w:color w:val="000000"/>
                <w:sz w:val="24"/>
                <w:lang w:eastAsia="zh-CN"/>
              </w:rPr>
              <w:t>动</w:t>
            </w:r>
            <w:r>
              <w:rPr>
                <w:rFonts w:hint="eastAsia" w:ascii="宋体" w:hAnsi="宋体"/>
                <w:color w:val="000000"/>
                <w:sz w:val="24"/>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驱动系统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全数字变频变压调速，闭环矢量控制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制动系统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电磁制动器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主控系统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分散控制系统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控制方式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通讯方式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数据总线信号系统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门机系统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变频变压调速控制，系统带位置编码器</w:t>
            </w:r>
            <w:r>
              <w:rPr>
                <w:rFonts w:hint="eastAsia" w:ascii="宋体" w:hAnsi="宋体"/>
                <w:sz w:val="24"/>
                <w:lang w:eastAsia="zh-CN"/>
              </w:rPr>
              <w:t>并</w:t>
            </w:r>
            <w:r>
              <w:rPr>
                <w:rFonts w:hint="eastAsia" w:ascii="宋体" w:hAnsi="宋体"/>
                <w:sz w:val="24"/>
              </w:rPr>
              <w:t>具有自学习功能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门机传动结构</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永磁同步电机、齿型皮带传动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开门方式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中分自动门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开门尺寸（宽×高）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井道尺寸（宽×深）</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2210mm×2230mm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轿厢尺寸（宽×深×高）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1700mm×1600mm×2600mm（净高度）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轿厢围壁</w:t>
            </w:r>
          </w:p>
        </w:tc>
        <w:tc>
          <w:tcPr>
            <w:tcW w:w="6102" w:type="dxa"/>
            <w:vAlign w:val="center"/>
          </w:tcPr>
          <w:p>
            <w:pPr>
              <w:pStyle w:val="34"/>
              <w:pageBreakBefore w:val="0"/>
              <w:tabs>
                <w:tab w:val="left" w:pos="2268"/>
                <w:tab w:val="left" w:pos="3402"/>
              </w:tabs>
              <w:kinsoku/>
              <w:wordWrap/>
              <w:overflowPunct/>
              <w:topLinePunct w:val="0"/>
              <w:autoSpaceDE/>
              <w:autoSpaceDN/>
              <w:bidi w:val="0"/>
              <w:adjustRightInd/>
              <w:snapToGrid/>
              <w:spacing w:line="360" w:lineRule="auto"/>
              <w:jc w:val="center"/>
              <w:rPr>
                <w:sz w:val="24"/>
                <w:szCs w:val="24"/>
              </w:rPr>
            </w:pPr>
            <w:r>
              <w:rPr>
                <w:rFonts w:hint="eastAsia"/>
                <w:sz w:val="24"/>
                <w:szCs w:val="24"/>
              </w:rPr>
              <w:t>发纹不锈钢+后壁扶手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轿厢地面</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PVC耐磨地板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轿厢天花板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豪华明亮型轿顶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轿厢照明</w:t>
            </w:r>
          </w:p>
        </w:tc>
        <w:tc>
          <w:tcPr>
            <w:tcW w:w="6102" w:type="dxa"/>
            <w:vAlign w:val="center"/>
          </w:tcPr>
          <w:p>
            <w:pPr>
              <w:pageBreakBefore w:val="0"/>
              <w:tabs>
                <w:tab w:val="left" w:pos="1875"/>
              </w:tabs>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照明系统采用LED节能型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轿门安全系统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光幕门保护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门套</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发纹不锈钢大门套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厅门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轿厢操作板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一体化COP，9英寸以上液晶显示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轿内操作板按钮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门厅显示板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4.6英寸液晶显示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门厅操作板按钮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缓冲器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液压缓冲器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称重装置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电子传感器</w:t>
            </w:r>
          </w:p>
        </w:tc>
      </w:tr>
    </w:tbl>
    <w:p>
      <w:pPr>
        <w:pStyle w:val="34"/>
        <w:pageBreakBefore w:val="0"/>
        <w:kinsoku/>
        <w:wordWrap/>
        <w:overflowPunct/>
        <w:topLinePunct w:val="0"/>
        <w:autoSpaceDE/>
        <w:autoSpaceDN/>
        <w:bidi w:val="0"/>
        <w:adjustRightInd/>
        <w:snapToGrid/>
        <w:spacing w:line="360" w:lineRule="auto"/>
        <w:rPr>
          <w:sz w:val="24"/>
          <w:szCs w:val="24"/>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rPr>
          <w:rFonts w:ascii="宋体" w:hAnsi="宋体"/>
          <w:b/>
          <w:sz w:val="28"/>
          <w:szCs w:val="28"/>
        </w:rPr>
      </w:pPr>
    </w:p>
    <w:p>
      <w:pPr>
        <w:pageBreakBefore w:val="0"/>
        <w:kinsoku/>
        <w:wordWrap/>
        <w:overflowPunct/>
        <w:topLinePunct w:val="0"/>
        <w:autoSpaceDE/>
        <w:autoSpaceDN/>
        <w:bidi w:val="0"/>
        <w:adjustRightInd/>
        <w:snapToGrid/>
        <w:spacing w:line="360" w:lineRule="auto"/>
        <w:jc w:val="center"/>
        <w:rPr>
          <w:rFonts w:ascii="宋体" w:hAnsi="宋体"/>
          <w:b/>
          <w:sz w:val="28"/>
          <w:szCs w:val="28"/>
        </w:rPr>
      </w:pPr>
      <w:r>
        <w:rPr>
          <w:rFonts w:hint="eastAsia" w:ascii="宋体" w:hAnsi="宋体"/>
          <w:b/>
          <w:sz w:val="28"/>
          <w:szCs w:val="28"/>
        </w:rPr>
        <w:t>三</w:t>
      </w:r>
      <w:r>
        <w:rPr>
          <w:rFonts w:hint="eastAsia" w:ascii="宋体" w:hAnsi="宋体"/>
          <w:b/>
          <w:sz w:val="28"/>
          <w:szCs w:val="28"/>
          <w:lang w:eastAsia="zh-CN"/>
        </w:rPr>
        <w:t>）</w:t>
      </w:r>
      <w:r>
        <w:rPr>
          <w:rFonts w:hint="eastAsia" w:ascii="宋体" w:hAnsi="宋体"/>
          <w:b/>
          <w:sz w:val="28"/>
          <w:szCs w:val="28"/>
        </w:rPr>
        <w:t>电梯功能要求一览表</w:t>
      </w:r>
    </w:p>
    <w:p>
      <w:pPr>
        <w:pageBreakBefore w:val="0"/>
        <w:kinsoku/>
        <w:wordWrap/>
        <w:overflowPunct/>
        <w:topLinePunct w:val="0"/>
        <w:autoSpaceDE/>
        <w:autoSpaceDN/>
        <w:bidi w:val="0"/>
        <w:adjustRightInd/>
        <w:snapToGrid/>
        <w:spacing w:line="360" w:lineRule="auto"/>
        <w:jc w:val="center"/>
        <w:rPr>
          <w:rFonts w:ascii="宋体" w:hAnsi="宋体"/>
          <w:b/>
          <w:sz w:val="28"/>
          <w:szCs w:val="28"/>
        </w:rPr>
      </w:pPr>
    </w:p>
    <w:tbl>
      <w:tblPr>
        <w:tblStyle w:val="5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序号</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全集选控制运行功能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断电自动平层功能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超载报警功能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超速机械保护功能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电动机空转保护功能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电动机过热保护功能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楼层自测定功能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警铃报警功能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位置异常自动校正功能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停电应急照明功能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轿顶检修操作功能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轿内检修操作功能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满载直驶运行功能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语音报站功能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bCs/>
                <w:sz w:val="24"/>
              </w:rPr>
              <w:t>轿内错误指令消除功能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开门时间自动调整功能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19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开关门受阻自动换向功能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强迫关门功能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轿内照明自动控制功能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轿内通风自动控制功能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故障自动存储功能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待机定期自检功能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层高自测定功能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消防迫降功能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启动补偿功能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29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电梯驻停功能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变频器过压保护功能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独立服务功能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轿厢门安全光幕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司机操作功能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电磁干扰滤波器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五方对讲功能（电梯机房至监控室通信线缆由乙方敷设完成）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故障自诊断记忆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预留监控设备数字线路</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内呼优先功能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39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双击取消轿厢呼叫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ascii="宋体" w:hAnsi="宋体"/>
                <w:sz w:val="24"/>
              </w:rPr>
              <w:t>轿厢内监控摄像头安装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消防操作功能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sz w:val="24"/>
              </w:rPr>
            </w:pPr>
            <w:r>
              <w:rPr>
                <w:rFonts w:hint="eastAsia" w:ascii="宋体" w:hAnsi="宋体"/>
                <w:sz w:val="24"/>
              </w:rPr>
              <w:t>42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sz w:val="24"/>
              </w:rPr>
            </w:pPr>
            <w:r>
              <w:rPr>
                <w:rFonts w:hint="eastAsia" w:ascii="宋体" w:hAnsi="宋体"/>
                <w:sz w:val="24"/>
              </w:rPr>
              <w:t>电梯远程监控系统</w:t>
            </w:r>
          </w:p>
        </w:tc>
      </w:tr>
    </w:tbl>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pageBreakBefore w:val="0"/>
        <w:kinsoku/>
        <w:wordWrap/>
        <w:overflowPunct/>
        <w:topLinePunct w:val="0"/>
        <w:autoSpaceDE/>
        <w:autoSpaceDN/>
        <w:bidi w:val="0"/>
        <w:adjustRightInd/>
        <w:snapToGrid/>
        <w:spacing w:line="360" w:lineRule="auto"/>
      </w:pP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sz w:val="24"/>
          <w:szCs w:val="24"/>
        </w:rPr>
      </w:pPr>
      <w:r>
        <w:rPr>
          <w:rFonts w:hint="eastAsia" w:ascii="宋体" w:hAnsi="宋体" w:cs="宋体"/>
          <w:b/>
          <w:sz w:val="24"/>
          <w:szCs w:val="24"/>
          <w:lang w:eastAsia="zh-CN"/>
        </w:rPr>
        <w:t>（</w:t>
      </w:r>
      <w:r>
        <w:rPr>
          <w:rFonts w:hint="eastAsia" w:ascii="宋体" w:hAnsi="宋体" w:eastAsia="宋体" w:cs="宋体"/>
          <w:b/>
          <w:sz w:val="24"/>
          <w:szCs w:val="24"/>
        </w:rPr>
        <w:t>四</w:t>
      </w:r>
      <w:r>
        <w:rPr>
          <w:rFonts w:hint="eastAsia" w:ascii="宋体" w:hAnsi="宋体" w:cs="宋体"/>
          <w:b/>
          <w:sz w:val="24"/>
          <w:szCs w:val="24"/>
          <w:lang w:eastAsia="zh-CN"/>
        </w:rPr>
        <w:t>）</w:t>
      </w:r>
      <w:r>
        <w:rPr>
          <w:rFonts w:hint="eastAsia" w:ascii="宋体" w:hAnsi="宋体" w:eastAsia="宋体" w:cs="宋体"/>
          <w:b/>
          <w:sz w:val="24"/>
          <w:szCs w:val="24"/>
        </w:rPr>
        <w:t>采购范围及相关要求</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lang w:val="en-US" w:eastAsia="zh-CN" w:bidi="en-US"/>
        </w:rPr>
      </w:pP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bidi="en-US"/>
        </w:rPr>
        <w:t>1、</w:t>
      </w:r>
      <w:r>
        <w:rPr>
          <w:rFonts w:hint="eastAsia" w:ascii="宋体" w:hAnsi="宋体" w:eastAsia="宋体" w:cs="宋体"/>
          <w:bCs/>
          <w:sz w:val="24"/>
          <w:szCs w:val="24"/>
          <w:lang w:eastAsia="zh-CN"/>
        </w:rPr>
        <w:t xml:space="preserve"> </w:t>
      </w:r>
      <w:r>
        <w:rPr>
          <w:rFonts w:hint="eastAsia" w:ascii="宋体" w:hAnsi="宋体" w:eastAsia="宋体" w:cs="宋体"/>
          <w:sz w:val="24"/>
          <w:szCs w:val="24"/>
          <w:lang w:eastAsia="zh-CN"/>
        </w:rPr>
        <w:t>采购范围：</w:t>
      </w:r>
      <w:r>
        <w:rPr>
          <w:rFonts w:hint="eastAsia" w:ascii="宋体" w:hAnsi="宋体" w:eastAsia="宋体" w:cs="宋体"/>
          <w:sz w:val="24"/>
          <w:szCs w:val="24"/>
          <w:lang w:val="en-US" w:eastAsia="zh-CN"/>
        </w:rPr>
        <w:t>采购三部1150kg及以上曳引式乘客电梯（有机房电梯），1部8层8站, 2部9层9站，速度:1.75m/s及以上。包括旧梯拆卸、电梯供电系统的修缮、新梯</w:t>
      </w:r>
      <w:r>
        <w:rPr>
          <w:rFonts w:hint="eastAsia" w:ascii="宋体" w:hAnsi="宋体" w:eastAsia="宋体" w:cs="宋体"/>
          <w:sz w:val="24"/>
          <w:szCs w:val="24"/>
          <w:lang w:eastAsia="zh-CN"/>
        </w:rPr>
        <w:t>采购、供货、</w:t>
      </w:r>
      <w:r>
        <w:rPr>
          <w:rFonts w:hint="eastAsia" w:ascii="宋体" w:hAnsi="宋体" w:eastAsia="宋体" w:cs="宋体"/>
          <w:color w:val="000000"/>
          <w:kern w:val="0"/>
          <w:sz w:val="24"/>
          <w:szCs w:val="24"/>
        </w:rPr>
        <w:t>吊装费</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lang w:val="en-US" w:eastAsia="zh-CN"/>
        </w:rPr>
        <w:t>安装（</w:t>
      </w:r>
      <w:r>
        <w:rPr>
          <w:rFonts w:hint="eastAsia" w:ascii="宋体" w:hAnsi="宋体" w:eastAsia="宋体" w:cs="宋体"/>
          <w:color w:val="000000"/>
          <w:kern w:val="0"/>
          <w:sz w:val="24"/>
          <w:szCs w:val="24"/>
        </w:rPr>
        <w:t>包括施工现场的脚手架的搭建和拆除、水电设施、垃圾清运费用等</w:t>
      </w:r>
      <w:r>
        <w:rPr>
          <w:rFonts w:hint="eastAsia" w:ascii="宋体" w:hAnsi="宋体" w:eastAsia="宋体" w:cs="宋体"/>
          <w:sz w:val="24"/>
          <w:szCs w:val="24"/>
          <w:lang w:val="en-US" w:eastAsia="zh-CN"/>
        </w:rPr>
        <w:t>）、调试、检测验收、</w:t>
      </w:r>
      <w:r>
        <w:rPr>
          <w:rFonts w:hint="eastAsia" w:ascii="宋体" w:hAnsi="宋体" w:eastAsia="宋体" w:cs="宋体"/>
          <w:color w:val="000000"/>
          <w:kern w:val="0"/>
          <w:sz w:val="24"/>
          <w:szCs w:val="24"/>
        </w:rPr>
        <w:t>培训费</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lang w:val="en-US" w:eastAsia="zh-CN"/>
        </w:rPr>
        <w:t>土建整改、电梯大门套制作、</w:t>
      </w:r>
      <w:r>
        <w:rPr>
          <w:rFonts w:hint="eastAsia" w:cs="宋体"/>
          <w:sz w:val="24"/>
          <w:szCs w:val="24"/>
          <w:lang w:val="en-US" w:eastAsia="zh-CN"/>
        </w:rPr>
        <w:t>候</w:t>
      </w:r>
      <w:r>
        <w:rPr>
          <w:rFonts w:hint="eastAsia" w:ascii="宋体" w:hAnsi="宋体" w:eastAsia="宋体" w:cs="宋体"/>
          <w:sz w:val="24"/>
          <w:szCs w:val="24"/>
          <w:lang w:val="en-US" w:eastAsia="zh-CN"/>
        </w:rPr>
        <w:t>梯厅墙面地面装修部分修改修复、电梯维护、以及技术支持和售后服务、</w:t>
      </w:r>
      <w:r>
        <w:rPr>
          <w:rFonts w:hint="eastAsia" w:ascii="宋体" w:hAnsi="宋体" w:eastAsia="宋体" w:cs="宋体"/>
          <w:color w:val="000000"/>
          <w:kern w:val="0"/>
          <w:sz w:val="24"/>
          <w:szCs w:val="24"/>
        </w:rPr>
        <w:t>质保期内年检年审费用</w:t>
      </w:r>
      <w:r>
        <w:rPr>
          <w:rFonts w:hint="eastAsia" w:ascii="宋体" w:hAnsi="宋体" w:eastAsia="宋体" w:cs="宋体"/>
          <w:sz w:val="24"/>
          <w:szCs w:val="24"/>
          <w:lang w:val="en-US" w:eastAsia="zh-CN"/>
        </w:rPr>
        <w:t>等</w:t>
      </w:r>
      <w:r>
        <w:rPr>
          <w:rFonts w:hint="eastAsia" w:ascii="宋体" w:hAnsi="宋体" w:eastAsia="宋体" w:cs="宋体"/>
          <w:color w:val="000000"/>
          <w:kern w:val="0"/>
          <w:sz w:val="24"/>
          <w:szCs w:val="24"/>
        </w:rPr>
        <w:t>一切电梯合法使用前所发生的全部</w:t>
      </w:r>
      <w:r>
        <w:rPr>
          <w:rFonts w:hint="eastAsia" w:ascii="宋体" w:hAnsi="宋体" w:eastAsia="宋体" w:cs="宋体"/>
          <w:sz w:val="24"/>
          <w:szCs w:val="24"/>
          <w:lang w:val="en-US" w:eastAsia="zh-CN"/>
        </w:rPr>
        <w:t>服务，本项目为交钥匙工程。</w:t>
      </w:r>
    </w:p>
    <w:p>
      <w:pPr>
        <w:pStyle w:val="2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 投标人自行现场勘查、测量，得出准确数据，以上参数表中井道尺寸、底坑深度、门洞尺寸等为参考值，具体尺寸以实际现场测量为准。</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Cs/>
          <w:sz w:val="24"/>
          <w:szCs w:val="24"/>
          <w:lang w:val="en-US" w:eastAsia="zh-CN" w:bidi="en-US"/>
        </w:rPr>
        <w:t xml:space="preserve"> </w:t>
      </w:r>
      <w:r>
        <w:rPr>
          <w:rFonts w:hint="eastAsia" w:ascii="宋体" w:hAnsi="宋体" w:eastAsia="宋体" w:cs="宋体"/>
          <w:sz w:val="24"/>
          <w:szCs w:val="24"/>
          <w:lang w:eastAsia="zh-CN"/>
        </w:rPr>
        <w:t>交货期：</w:t>
      </w:r>
      <w:r>
        <w:rPr>
          <w:rFonts w:hint="eastAsia" w:ascii="宋体" w:hAnsi="宋体" w:eastAsia="宋体" w:cs="宋体"/>
          <w:sz w:val="24"/>
          <w:szCs w:val="24"/>
          <w:lang w:val="en-US" w:eastAsia="zh-CN"/>
        </w:rPr>
        <w:t xml:space="preserve">合同签订并接到采购人通知后 90 日内安装、调试、运营完毕。         </w:t>
      </w:r>
      <w:r>
        <w:rPr>
          <w:rFonts w:hint="eastAsia" w:ascii="宋体" w:hAnsi="宋体" w:eastAsia="宋体" w:cs="宋体"/>
          <w:sz w:val="24"/>
          <w:szCs w:val="24"/>
          <w:u w:val="single"/>
          <w:lang w:val="en-US" w:eastAsia="zh-CN"/>
        </w:rPr>
        <w:t xml:space="preserve">                       </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Cs/>
          <w:sz w:val="24"/>
          <w:szCs w:val="24"/>
          <w:lang w:val="en-US" w:eastAsia="zh-CN" w:bidi="en-US"/>
        </w:rPr>
        <w:t xml:space="preserve">4、 </w:t>
      </w:r>
      <w:r>
        <w:rPr>
          <w:rFonts w:hint="eastAsia" w:ascii="宋体" w:hAnsi="宋体" w:eastAsia="宋体" w:cs="宋体"/>
          <w:sz w:val="24"/>
          <w:szCs w:val="24"/>
          <w:lang w:eastAsia="zh-CN"/>
        </w:rPr>
        <w:t>交货地点：克拉玛依市税务局办公楼。</w:t>
      </w:r>
      <w:r>
        <w:rPr>
          <w:rFonts w:hint="eastAsia" w:ascii="宋体" w:hAnsi="宋体" w:eastAsia="宋体" w:cs="宋体"/>
          <w:sz w:val="24"/>
          <w:szCs w:val="24"/>
          <w:lang w:val="en-US" w:eastAsia="zh-CN"/>
        </w:rPr>
        <w:t xml:space="preserve">               </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5、</w:t>
      </w:r>
      <w:r>
        <w:rPr>
          <w:rFonts w:hint="eastAsia" w:ascii="宋体" w:hAnsi="宋体" w:eastAsia="宋体" w:cs="宋体"/>
          <w:bCs/>
          <w:sz w:val="24"/>
          <w:szCs w:val="24"/>
          <w:lang w:val="en-US" w:eastAsia="zh-CN" w:bidi="en-US"/>
        </w:rPr>
        <w:t xml:space="preserve"> </w:t>
      </w:r>
      <w:r>
        <w:rPr>
          <w:rFonts w:hint="eastAsia" w:ascii="宋体" w:hAnsi="宋体" w:eastAsia="宋体" w:cs="宋体"/>
          <w:sz w:val="24"/>
          <w:szCs w:val="24"/>
          <w:lang w:eastAsia="zh-CN"/>
        </w:rPr>
        <w:t xml:space="preserve">质量标准： </w:t>
      </w:r>
      <w:r>
        <w:rPr>
          <w:rFonts w:hint="eastAsia" w:ascii="宋体" w:hAnsi="宋体" w:eastAsia="宋体" w:cs="宋体"/>
          <w:sz w:val="24"/>
          <w:szCs w:val="24"/>
          <w:lang w:val="en-US" w:eastAsia="zh-CN"/>
        </w:rPr>
        <w:t>合格。电梯六大核心部（控制柜、曳引机、门机整机、安全钳、限速器、缓冲器）均为原厂原品牌设计及生产。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rPr>
      </w:pPr>
      <w:bookmarkStart w:id="168" w:name="_Toc131007297"/>
      <w:bookmarkStart w:id="169" w:name="_Toc30713"/>
      <w:r>
        <w:rPr>
          <w:rFonts w:hint="eastAsia" w:ascii="宋体" w:hAnsi="宋体" w:eastAsia="宋体" w:cs="宋体"/>
          <w:bCs/>
          <w:sz w:val="24"/>
          <w:szCs w:val="24"/>
        </w:rPr>
        <w:t>6、质量保证期及维保期</w:t>
      </w:r>
      <w:bookmarkEnd w:id="168"/>
      <w:bookmarkEnd w:id="169"/>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6.1质量保修期两年（自交货验收合格之日算起），国家主管部门或者行业标准对货物本身有更高要求的，从其规定并在合同中约定，投标人亦可提报更长的质保期。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6.2质量保证期内，如果证实货物是有缺陷的，包括潜在的缺陷或者使用不符合要求的材料等，中标人应立即免费维修或者更换有缺陷的货物或者部件，保证达到合同规定的技术以及性能要求。中标人在收到通知后五个工作日内没有弥补缺陷，招标人可自行采取必要的补救措施，但风险和费用由中标人承担，招标人同时保留通过法律途径进行索赔的权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rPr>
      </w:pPr>
      <w:bookmarkStart w:id="170" w:name="_Toc131007298"/>
      <w:bookmarkStart w:id="171" w:name="_Toc9883"/>
      <w:r>
        <w:rPr>
          <w:rFonts w:hint="eastAsia" w:ascii="宋体" w:hAnsi="宋体" w:eastAsia="宋体" w:cs="宋体"/>
          <w:bCs/>
          <w:sz w:val="24"/>
          <w:szCs w:val="24"/>
        </w:rPr>
        <w:t>7、技术服务</w:t>
      </w:r>
      <w:bookmarkEnd w:id="170"/>
      <w:bookmarkEnd w:id="171"/>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中标人应保证提供以下服务项目：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7.1执行和监督所提供设备的现场组装和调试，确保办公楼能正常运营。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7.2提供组装和维修工具。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7.3提供设备每一部件的详细操作手册和维修手册。</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7.4提供以下有关制造、销售和零部件的资料及报告书。</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（1）采购人向中标人选购零部件时，中标人不能解脱合同所规定的任何义务。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（2）中标人生产厂在零部件停产前，应事先通知采购人，以便采购人有足够的时间购买所需的零部件。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（3）在生产厂零部件停产后，如果采购人还需要的话，中标人应无偿向采购人提供零部件的图纸和技术规范。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（4）由中标人负责办理电梯安全运行使用许可证并承担相关费用。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rPr>
      </w:pPr>
      <w:bookmarkStart w:id="172" w:name="_Toc9945"/>
      <w:bookmarkStart w:id="173" w:name="_Toc131007299"/>
      <w:r>
        <w:rPr>
          <w:rFonts w:hint="eastAsia" w:ascii="宋体" w:hAnsi="宋体" w:eastAsia="宋体" w:cs="宋体"/>
          <w:bCs/>
          <w:sz w:val="24"/>
          <w:szCs w:val="24"/>
        </w:rPr>
        <w:t>8、培训</w:t>
      </w:r>
      <w:bookmarkEnd w:id="172"/>
      <w:bookmarkEnd w:id="173"/>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在设备安装调试期间或以后，中标人负责安排采购人操作、维护技术人员进行培训，使他们具备操作和必要的调整、维护技能。</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rPr>
      </w:pPr>
      <w:bookmarkStart w:id="174" w:name="_Toc3873"/>
      <w:bookmarkStart w:id="175" w:name="_Toc131007300"/>
      <w:r>
        <w:rPr>
          <w:rFonts w:hint="eastAsia" w:ascii="宋体" w:hAnsi="宋体" w:eastAsia="宋体" w:cs="宋体"/>
          <w:bCs/>
          <w:sz w:val="24"/>
          <w:szCs w:val="24"/>
        </w:rPr>
        <w:t>9、售后服务</w:t>
      </w:r>
      <w:bookmarkEnd w:id="174"/>
      <w:bookmarkEnd w:id="175"/>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9.1中标人应提供及时周到的售后服务。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9.2成交人在接招标人通知15分钟</w:t>
      </w:r>
      <w:r>
        <w:rPr>
          <w:rFonts w:hint="eastAsia" w:ascii="宋体" w:hAnsi="宋体" w:cs="宋体"/>
          <w:sz w:val="24"/>
          <w:szCs w:val="24"/>
          <w:lang w:eastAsia="zh-CN"/>
        </w:rPr>
        <w:t>内</w:t>
      </w:r>
      <w:r>
        <w:rPr>
          <w:rFonts w:hint="eastAsia" w:ascii="宋体" w:hAnsi="宋体" w:eastAsia="宋体" w:cs="宋体"/>
          <w:sz w:val="24"/>
          <w:szCs w:val="24"/>
        </w:rPr>
        <w:t>作出响应，30分钟内到达现场，2 小时内维修完毕，不能在规定时间内修好的要免费提供备品备件。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9.3在保修期内成交供应商应负责电梯的日常保养、维修或更换。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9.4供应商必须免费提供维护、管理、操作手册及人员培训。</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9.5维护保养期间，如因成交供应商原因造成的质量问题，成交供应商应免费修复、更换；成交供应商负责确保电梯通过有关部门的年检。</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sz w:val="24"/>
          <w:szCs w:val="24"/>
        </w:rPr>
      </w:pPr>
      <w:bookmarkStart w:id="176" w:name="_Toc131007302"/>
      <w:bookmarkStart w:id="177" w:name="_Toc10864"/>
      <w:r>
        <w:rPr>
          <w:rFonts w:hint="eastAsia" w:ascii="宋体" w:hAnsi="宋体" w:eastAsia="宋体" w:cs="宋体"/>
          <w:bCs/>
          <w:sz w:val="24"/>
          <w:szCs w:val="24"/>
        </w:rPr>
        <w:t>10、竣工验收</w:t>
      </w:r>
      <w:bookmarkEnd w:id="176"/>
      <w:bookmarkEnd w:id="17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中标单位安装并调试好电梯后，由技术监督局按照国家标准进行检测验收。（检测费用由乙方承担包含在投标总报价中）。</w:t>
      </w:r>
    </w:p>
    <w:p>
      <w:pPr>
        <w:pStyle w:val="529"/>
        <w:pageBreakBefore w:val="0"/>
        <w:tabs>
          <w:tab w:val="left" w:pos="9029"/>
        </w:tabs>
        <w:kinsoku/>
        <w:wordWrap/>
        <w:overflowPunct/>
        <w:topLinePunct w:val="0"/>
        <w:autoSpaceDE/>
        <w:autoSpaceDN/>
        <w:bidi w:val="0"/>
        <w:adjustRightInd/>
        <w:snapToGrid/>
        <w:spacing w:line="360" w:lineRule="auto"/>
        <w:ind w:firstLine="0"/>
        <w:jc w:val="left"/>
        <w:rPr>
          <w:rFonts w:asciiTheme="minorEastAsia" w:hAnsiTheme="minorEastAsia" w:eastAsiaTheme="minorEastAsia"/>
          <w:sz w:val="24"/>
          <w:szCs w:val="24"/>
          <w:lang w:eastAsia="zh-CN"/>
        </w:rPr>
        <w:sectPr>
          <w:pgSz w:w="11905" w:h="16838"/>
          <w:pgMar w:top="1440" w:right="1080" w:bottom="1440" w:left="1080" w:header="850" w:footer="850" w:gutter="0"/>
          <w:pgNumType w:fmt="decimal"/>
          <w:cols w:space="0" w:num="1"/>
          <w:rtlGutter w:val="0"/>
          <w:docGrid w:linePitch="0" w:charSpace="0"/>
        </w:sectPr>
      </w:pPr>
    </w:p>
    <w:p/>
    <w:p>
      <w:pPr>
        <w:pStyle w:val="5"/>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第四章  响应文件格式</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p>
    <w:p>
      <w:pPr>
        <w:widowControl w:val="0"/>
        <w:wordWrap/>
        <w:adjustRightInd/>
        <w:snapToGrid/>
        <w:spacing w:before="0" w:after="0"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响应文件封面</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格式1   响应函</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格式2   </w:t>
      </w:r>
      <w:r>
        <w:rPr>
          <w:rFonts w:hint="eastAsia" w:ascii="宋体" w:hAnsi="宋体" w:eastAsia="宋体" w:cs="宋体"/>
          <w:bCs/>
          <w:color w:val="auto"/>
          <w:sz w:val="24"/>
          <w:highlight w:val="none"/>
        </w:rPr>
        <w:t>法定代表人资格证明书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格式3   法定代表人授权委托书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格式4   供应商基本情况表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格式5   </w:t>
      </w:r>
      <w:r>
        <w:rPr>
          <w:rFonts w:hint="eastAsia" w:ascii="宋体" w:hAnsi="宋体" w:eastAsia="宋体" w:cs="宋体"/>
          <w:bCs/>
          <w:color w:val="auto"/>
          <w:sz w:val="24"/>
          <w:szCs w:val="24"/>
          <w:highlight w:val="none"/>
        </w:rPr>
        <w:t>中小企业声明函</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政府采购领域诚信承诺书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   近三年（自20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年1月1日至今）同类项目业绩表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商务报价</w:t>
      </w:r>
      <w:r>
        <w:rPr>
          <w:rFonts w:hint="eastAsia" w:ascii="宋体" w:hAnsi="宋体" w:eastAsia="宋体" w:cs="宋体"/>
          <w:color w:val="auto"/>
          <w:sz w:val="24"/>
          <w:highlight w:val="none"/>
        </w:rPr>
        <w:t>一览表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格式</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color w:val="auto"/>
          <w:sz w:val="24"/>
          <w:highlight w:val="none"/>
        </w:rPr>
        <w:t>设备、材料、备品、备件清单及价格明细表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商务条款偏离表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技术规格响应偏离表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资格性/符合性自查表</w:t>
      </w:r>
    </w:p>
    <w:p>
      <w:pPr>
        <w:widowControl w:val="0"/>
        <w:wordWrap/>
        <w:adjustRightInd/>
        <w:snapToGrid/>
        <w:spacing w:line="360" w:lineRule="auto"/>
        <w:ind w:firstLine="723" w:firstLineChars="200"/>
        <w:jc w:val="left"/>
        <w:textAlignment w:val="auto"/>
        <w:outlineLvl w:val="9"/>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pStyle w:val="7"/>
        <w:rPr>
          <w:rFonts w:hint="eastAsia" w:ascii="宋体" w:hAnsi="宋体" w:eastAsia="宋体" w:cs="宋体"/>
          <w:b/>
          <w:color w:val="auto"/>
          <w:sz w:val="48"/>
          <w:szCs w:val="48"/>
          <w:highlight w:val="none"/>
        </w:rPr>
      </w:pPr>
    </w:p>
    <w:p>
      <w:pP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pStyle w:val="7"/>
        <w:rPr>
          <w:rFonts w:hint="eastAsia" w:ascii="宋体" w:hAnsi="宋体" w:eastAsia="宋体" w:cs="宋体"/>
          <w:color w:val="auto"/>
        </w:rPr>
      </w:pPr>
    </w:p>
    <w:p>
      <w:pPr>
        <w:spacing w:line="360" w:lineRule="auto"/>
        <w:jc w:val="center"/>
        <w:rPr>
          <w:rFonts w:hint="eastAsia" w:ascii="宋体" w:hAnsi="宋体" w:eastAsia="宋体" w:cs="宋体"/>
          <w:b/>
          <w:color w:val="auto"/>
          <w:sz w:val="84"/>
          <w:szCs w:val="84"/>
          <w:highlight w:val="none"/>
          <w:lang w:eastAsia="zh-CN"/>
        </w:rPr>
      </w:pPr>
      <w:r>
        <w:rPr>
          <w:rFonts w:hint="eastAsia" w:ascii="宋体" w:hAnsi="宋体" w:cs="宋体"/>
          <w:b/>
          <w:color w:val="auto"/>
          <w:sz w:val="84"/>
          <w:szCs w:val="84"/>
          <w:highlight w:val="none"/>
          <w:lang w:eastAsia="zh-CN"/>
        </w:rPr>
        <w:t>克拉玛依市税务局电梯更换项目</w:t>
      </w: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  应  文  件</w:t>
      </w:r>
    </w:p>
    <w:p>
      <w:pPr>
        <w:spacing w:line="360" w:lineRule="auto"/>
        <w:jc w:val="center"/>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采购文件编号：</w:t>
      </w:r>
      <w:r>
        <w:rPr>
          <w:rFonts w:hint="eastAsia" w:ascii="宋体" w:hAnsi="宋体" w:eastAsia="宋体" w:cs="宋体"/>
          <w:b/>
          <w:color w:val="auto"/>
          <w:sz w:val="30"/>
          <w:highlight w:val="none"/>
          <w:lang w:eastAsia="zh-CN"/>
        </w:rPr>
        <w:t>KSSWJ（ZC）</w:t>
      </w:r>
      <w:r>
        <w:rPr>
          <w:rFonts w:hint="eastAsia" w:ascii="宋体" w:hAnsi="宋体" w:cs="宋体"/>
          <w:b/>
          <w:color w:val="auto"/>
          <w:sz w:val="30"/>
          <w:highlight w:val="none"/>
          <w:lang w:eastAsia="zh-CN"/>
        </w:rPr>
        <w:t>2024-0</w:t>
      </w:r>
      <w:r>
        <w:rPr>
          <w:rFonts w:hint="eastAsia" w:ascii="宋体" w:hAnsi="宋体" w:cs="宋体"/>
          <w:b/>
          <w:color w:val="auto"/>
          <w:sz w:val="30"/>
          <w:highlight w:val="none"/>
          <w:lang w:val="en-US" w:eastAsia="zh-CN"/>
        </w:rPr>
        <w:t>1</w:t>
      </w: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 （单位名称）盖章</w:t>
      </w:r>
    </w:p>
    <w:p>
      <w:pPr>
        <w:spacing w:line="360" w:lineRule="auto"/>
        <w:rPr>
          <w:rFonts w:hint="eastAsia" w:ascii="宋体" w:hAnsi="宋体" w:eastAsia="宋体" w:cs="宋体"/>
          <w:b/>
          <w:color w:val="auto"/>
          <w:sz w:val="30"/>
          <w:szCs w:val="30"/>
          <w:highlight w:val="none"/>
        </w:rPr>
      </w:pPr>
    </w:p>
    <w:p>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单位地址：</w:t>
      </w:r>
    </w:p>
    <w:p>
      <w:pPr>
        <w:spacing w:line="360" w:lineRule="auto"/>
        <w:rPr>
          <w:rFonts w:hint="eastAsia" w:ascii="宋体" w:hAnsi="宋体" w:eastAsia="宋体" w:cs="宋体"/>
          <w:b/>
          <w:color w:val="auto"/>
          <w:sz w:val="30"/>
          <w:szCs w:val="30"/>
          <w:highlight w:val="none"/>
        </w:rPr>
      </w:pPr>
    </w:p>
    <w:p>
      <w:pPr>
        <w:pStyle w:val="34"/>
        <w:spacing w:line="360" w:lineRule="auto"/>
        <w:ind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联系人：                   联系电话：</w:t>
      </w:r>
    </w:p>
    <w:p>
      <w:pPr>
        <w:pStyle w:val="34"/>
        <w:spacing w:line="360" w:lineRule="auto"/>
        <w:ind w:firstLine="596" w:firstLineChars="198"/>
        <w:rPr>
          <w:rFonts w:hint="eastAsia" w:ascii="宋体" w:hAnsi="宋体" w:eastAsia="宋体" w:cs="宋体"/>
          <w:b/>
          <w:color w:val="auto"/>
          <w:sz w:val="30"/>
          <w:szCs w:val="30"/>
          <w:highlight w:val="none"/>
        </w:rPr>
      </w:pPr>
    </w:p>
    <w:p>
      <w:pPr>
        <w:pStyle w:val="34"/>
        <w:spacing w:line="360" w:lineRule="auto"/>
        <w:ind w:firstLine="596" w:firstLineChars="198"/>
        <w:rPr>
          <w:rFonts w:hint="eastAsia" w:ascii="宋体" w:hAnsi="宋体" w:eastAsia="宋体" w:cs="宋体"/>
          <w:b/>
          <w:color w:val="auto"/>
          <w:sz w:val="30"/>
          <w:szCs w:val="30"/>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格式1  响  应  函</w:t>
      </w:r>
    </w:p>
    <w:p>
      <w:pPr>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国家税务总局克拉玛依市税务局</w:t>
      </w:r>
      <w:r>
        <w:rPr>
          <w:rFonts w:hint="eastAsia" w:ascii="宋体" w:hAnsi="宋体" w:eastAsia="宋体" w:cs="宋体"/>
          <w:color w:val="auto"/>
          <w:sz w:val="24"/>
          <w:szCs w:val="24"/>
          <w:highlight w:val="none"/>
        </w:rPr>
        <w:t>：</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我方全面研究了</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项目采购文件</w:t>
      </w:r>
      <w:r>
        <w:rPr>
          <w:rFonts w:hint="eastAsia" w:ascii="宋体" w:hAnsi="宋体" w:eastAsia="宋体" w:cs="宋体"/>
          <w:b w:val="0"/>
          <w:bCs/>
          <w:color w:val="auto"/>
          <w:sz w:val="24"/>
          <w:szCs w:val="24"/>
          <w:highlight w:val="none"/>
          <w:u w:val="single"/>
        </w:rPr>
        <w:t>（文件编号：    ）</w:t>
      </w:r>
      <w:r>
        <w:rPr>
          <w:rFonts w:hint="eastAsia" w:ascii="宋体" w:hAnsi="宋体" w:eastAsia="宋体" w:cs="宋体"/>
          <w:b w:val="0"/>
          <w:bCs/>
          <w:color w:val="auto"/>
          <w:sz w:val="24"/>
          <w:szCs w:val="24"/>
          <w:highlight w:val="none"/>
        </w:rPr>
        <w:t>，决定参加本项目投标。我方授权</w:t>
      </w:r>
      <w:r>
        <w:rPr>
          <w:rFonts w:hint="eastAsia" w:ascii="宋体" w:hAnsi="宋体" w:eastAsia="宋体" w:cs="宋体"/>
          <w:b w:val="0"/>
          <w:bCs/>
          <w:color w:val="auto"/>
          <w:sz w:val="24"/>
          <w:szCs w:val="24"/>
          <w:highlight w:val="none"/>
          <w:u w:val="single"/>
        </w:rPr>
        <w:t xml:space="preserve">        （姓名、职务）</w:t>
      </w:r>
      <w:r>
        <w:rPr>
          <w:rFonts w:hint="eastAsia" w:ascii="宋体" w:hAnsi="宋体" w:eastAsia="宋体" w:cs="宋体"/>
          <w:b w:val="0"/>
          <w:bCs/>
          <w:color w:val="auto"/>
          <w:sz w:val="24"/>
          <w:szCs w:val="24"/>
          <w:highlight w:val="none"/>
        </w:rPr>
        <w:t>代表我方</w:t>
      </w:r>
      <w:r>
        <w:rPr>
          <w:rFonts w:hint="eastAsia" w:ascii="宋体" w:hAnsi="宋体" w:eastAsia="宋体" w:cs="宋体"/>
          <w:b w:val="0"/>
          <w:bCs/>
          <w:color w:val="auto"/>
          <w:sz w:val="24"/>
          <w:szCs w:val="24"/>
          <w:highlight w:val="none"/>
          <w:u w:val="single"/>
        </w:rPr>
        <w:t xml:space="preserve">          （供应商的名称）</w:t>
      </w:r>
      <w:r>
        <w:rPr>
          <w:rFonts w:hint="eastAsia" w:ascii="宋体" w:hAnsi="宋体" w:eastAsia="宋体" w:cs="宋体"/>
          <w:b w:val="0"/>
          <w:bCs/>
          <w:color w:val="auto"/>
          <w:sz w:val="24"/>
          <w:szCs w:val="24"/>
          <w:highlight w:val="none"/>
        </w:rPr>
        <w:t>全权处理本项目投标的有关事宜。</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1、我方自愿按照磋商文件规定的各项要求向采购人提供所需工作内容。</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2、若我方入围，我方将严格履行合同规定的责任和义务，保证按采购人要求及我方承诺完成所需服务及应尽义务。</w:t>
      </w:r>
    </w:p>
    <w:p>
      <w:pPr>
        <w:pStyle w:val="37"/>
        <w:wordWrap/>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3．其投标自递交响应文件截止之日起有效期为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个日历日。如果我们的投标被接受，则至合同生效时止，本投标始终有效，我们将按服务协议、投标承诺及采购文件的规定履行合同责任和义务。</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4、我方愿意提供采购人可能另外要求的，与公开有关的文件资料，并保证我方已提供和将要提供的文件资料是真实、准确的。</w:t>
      </w:r>
    </w:p>
    <w:p>
      <w:pPr>
        <w:wordWrap/>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、我方完全理解你们将不受必须接受你们所收到的最低投标价及其它任何响应文件的约束。</w:t>
      </w: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供应商名称：        （盖章）</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法定代表人或授权代表（签字）或盖章：</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通讯地址：</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    真：</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    期：      年   月   日</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6"/>
        <w:wordWrap/>
        <w:spacing w:before="0" w:after="0" w:line="360" w:lineRule="auto"/>
        <w:jc w:val="center"/>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格式2   法定代表人资格证明书</w:t>
      </w:r>
    </w:p>
    <w:p>
      <w:pPr>
        <w:tabs>
          <w:tab w:val="left" w:pos="360"/>
          <w:tab w:val="left" w:pos="1800"/>
        </w:tabs>
        <w:wordWrap/>
        <w:spacing w:line="360" w:lineRule="auto"/>
        <w:ind w:left="540"/>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tabs>
          <w:tab w:val="left" w:pos="360"/>
          <w:tab w:val="left" w:pos="720"/>
          <w:tab w:val="left" w:pos="90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（单位） </w:t>
      </w:r>
      <w:r>
        <w:rPr>
          <w:rFonts w:hint="eastAsia" w:ascii="宋体" w:hAnsi="宋体" w:eastAsia="宋体" w:cs="宋体"/>
          <w:color w:val="auto"/>
          <w:sz w:val="24"/>
          <w:szCs w:val="24"/>
          <w:highlight w:val="none"/>
        </w:rPr>
        <w:t>的法定代表人。为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的项目，签署本项目的响应文件、进行合同谈判、签署合同和处理与之有关的一切事务。</w:t>
      </w:r>
    </w:p>
    <w:p>
      <w:pPr>
        <w:tabs>
          <w:tab w:val="left" w:pos="360"/>
          <w:tab w:val="left" w:pos="1800"/>
        </w:tabs>
        <w:wordWrap/>
        <w:spacing w:line="360" w:lineRule="auto"/>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360"/>
          <w:tab w:val="left" w:pos="1800"/>
        </w:tabs>
        <w:wordWrap/>
        <w:spacing w:line="360" w:lineRule="auto"/>
        <w:ind w:left="4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wordWrap/>
        <w:spacing w:line="360" w:lineRule="auto"/>
        <w:ind w:left="4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wordWrap/>
        <w:spacing w:line="360" w:lineRule="auto"/>
        <w:ind w:firstLine="6000" w:firstLineChars="2500"/>
        <w:textAlignment w:val="auto"/>
        <w:rPr>
          <w:rFonts w:hint="eastAsia" w:ascii="宋体" w:hAnsi="宋体" w:eastAsia="宋体" w:cs="宋体"/>
          <w:bCs/>
          <w:color w:val="auto"/>
          <w:sz w:val="24"/>
          <w:szCs w:val="24"/>
          <w:highlight w:val="none"/>
        </w:rPr>
      </w:pPr>
    </w:p>
    <w:tbl>
      <w:tblPr>
        <w:tblStyle w:val="5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vAlign w:val="top"/>
          </w:tcPr>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法定代表人身份证复印件或扫描件（正、反两面）</w:t>
            </w:r>
          </w:p>
        </w:tc>
      </w:tr>
    </w:tbl>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注：法定代表人身份证复印件或扫描件应反映出证件有效期等所载内容。</w:t>
      </w:r>
    </w:p>
    <w:p>
      <w:pPr>
        <w:tabs>
          <w:tab w:val="left" w:pos="360"/>
          <w:tab w:val="left" w:pos="1800"/>
        </w:tabs>
        <w:wordWrap/>
        <w:spacing w:line="360" w:lineRule="auto"/>
        <w:ind w:left="1980" w:firstLine="1080"/>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pStyle w:val="7"/>
        <w:rPr>
          <w:rFonts w:hint="eastAsia"/>
          <w:color w:val="auto"/>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格式3  法定代表人授权委托书</w:t>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（姓名）      系（供应商名称）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，其身份证号为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，为我公司代理人，以本公司的名义参加</w:t>
      </w:r>
      <w:r>
        <w:rPr>
          <w:rFonts w:hint="eastAsia" w:ascii="宋体" w:hAnsi="宋体" w:eastAsia="宋体" w:cs="宋体"/>
          <w:color w:val="auto"/>
          <w:sz w:val="24"/>
          <w:szCs w:val="24"/>
          <w:highlight w:val="none"/>
          <w:u w:val="single"/>
        </w:rPr>
        <w:t xml:space="preserve">（采购人）          （采购项目名称）             </w:t>
      </w:r>
      <w:r>
        <w:rPr>
          <w:rFonts w:hint="eastAsia" w:ascii="宋体" w:hAnsi="宋体" w:eastAsia="宋体" w:cs="宋体"/>
          <w:color w:val="auto"/>
          <w:sz w:val="24"/>
          <w:szCs w:val="24"/>
          <w:highlight w:val="none"/>
        </w:rPr>
        <w:t>项目的投标活动。</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代理人在磋商、评标、合同谈判过程中所签署的一切文件和处理与之有关的一切事务，我均予以承认。</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委托代理人无转委权。特此委托。</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性别：           年龄：</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p>
    <w:tbl>
      <w:tblPr>
        <w:tblStyle w:val="5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6952" w:type="dxa"/>
            <w:vAlign w:val="top"/>
          </w:tcPr>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委托代理人身份证复印件或扫描件（正、反两面）</w:t>
            </w:r>
          </w:p>
        </w:tc>
      </w:tr>
    </w:tbl>
    <w:p>
      <w:pPr>
        <w:tabs>
          <w:tab w:val="left" w:pos="360"/>
          <w:tab w:val="left" w:pos="1800"/>
        </w:tabs>
        <w:wordWrap/>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注：委托代理人身份证复印件或扫描件应反映出证件有效期等所载内容，</w:t>
      </w:r>
      <w:r>
        <w:rPr>
          <w:rFonts w:hint="eastAsia" w:ascii="宋体" w:hAnsi="宋体" w:eastAsia="宋体" w:cs="宋体"/>
          <w:b/>
          <w:color w:val="auto"/>
          <w:sz w:val="24"/>
          <w:szCs w:val="24"/>
          <w:highlight w:val="none"/>
        </w:rPr>
        <w:t>作为本</w:t>
      </w:r>
      <w:r>
        <w:rPr>
          <w:rFonts w:hint="eastAsia" w:ascii="宋体" w:hAnsi="宋体" w:eastAsia="宋体" w:cs="宋体"/>
          <w:b/>
          <w:bCs/>
          <w:color w:val="auto"/>
          <w:sz w:val="24"/>
          <w:szCs w:val="24"/>
          <w:highlight w:val="none"/>
        </w:rPr>
        <w:t>法定代表人授权书的附件。</w:t>
      </w:r>
    </w:p>
    <w:p>
      <w:pPr>
        <w:keepNext/>
        <w:keepLines/>
        <w:widowControl w:val="0"/>
        <w:wordWrap/>
        <w:adjustRightInd/>
        <w:snapToGrid/>
        <w:spacing w:line="416" w:lineRule="auto"/>
        <w:textAlignment w:val="auto"/>
        <w:outlineLvl w:val="9"/>
        <w:rPr>
          <w:rFonts w:hint="eastAsia"/>
          <w:color w:val="auto"/>
        </w:rPr>
      </w:pPr>
    </w:p>
    <w:p>
      <w:pPr>
        <w:wordWrap/>
        <w:spacing w:line="360" w:lineRule="auto"/>
        <w:ind w:firstLine="573"/>
        <w:jc w:val="center"/>
        <w:textAlignment w:val="auto"/>
        <w:rPr>
          <w:rFonts w:hint="eastAsia" w:ascii="宋体" w:hAnsi="宋体" w:eastAsia="宋体" w:cs="宋体"/>
          <w:b/>
          <w:bCs/>
          <w:color w:val="auto"/>
          <w:sz w:val="24"/>
          <w:szCs w:val="24"/>
          <w:highlight w:val="none"/>
        </w:rPr>
      </w:pPr>
    </w:p>
    <w:p>
      <w:pPr>
        <w:pStyle w:val="34"/>
        <w:wordWrap/>
        <w:spacing w:line="360" w:lineRule="auto"/>
        <w:ind w:right="84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格式4   供应商基本情况表</w:t>
      </w:r>
    </w:p>
    <w:tbl>
      <w:tblPr>
        <w:tblStyle w:val="59"/>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33"/>
        <w:gridCol w:w="1207"/>
        <w:gridCol w:w="1615"/>
        <w:gridCol w:w="1874"/>
        <w:gridCol w:w="139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998" w:type="dxa"/>
            <w:gridSpan w:val="6"/>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tc>
        <w:tc>
          <w:tcPr>
            <w:tcW w:w="7998" w:type="dxa"/>
            <w:gridSpan w:val="6"/>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主管部门</w:t>
            </w:r>
          </w:p>
        </w:tc>
        <w:tc>
          <w:tcPr>
            <w:tcW w:w="1440"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p>
        </w:tc>
        <w:tc>
          <w:tcPr>
            <w:tcW w:w="1676" w:type="dxa"/>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注册时间</w:t>
            </w:r>
          </w:p>
        </w:tc>
        <w:tc>
          <w:tcPr>
            <w:tcW w:w="3055" w:type="dxa"/>
            <w:gridSpan w:val="3"/>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经济类型</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57" w:type="dxa"/>
            <w:gridSpan w:val="4"/>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营业执照号</w:t>
            </w:r>
          </w:p>
        </w:tc>
        <w:tc>
          <w:tcPr>
            <w:tcW w:w="4943" w:type="dxa"/>
            <w:gridSpan w:val="3"/>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857" w:type="dxa"/>
            <w:gridSpan w:val="4"/>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近三年内（20</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年至20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年）经营活动中有无重大违法</w:t>
            </w:r>
            <w:r>
              <w:rPr>
                <w:rFonts w:hint="eastAsia" w:ascii="宋体" w:hAnsi="宋体" w:cs="宋体"/>
                <w:bCs/>
                <w:color w:val="auto"/>
                <w:sz w:val="24"/>
                <w:szCs w:val="24"/>
                <w:highlight w:val="none"/>
                <w:lang w:eastAsia="zh-CN"/>
              </w:rPr>
              <w:t>记</w:t>
            </w:r>
            <w:r>
              <w:rPr>
                <w:rFonts w:hint="eastAsia" w:ascii="宋体" w:hAnsi="宋体" w:eastAsia="宋体" w:cs="宋体"/>
                <w:bCs/>
                <w:color w:val="auto"/>
                <w:sz w:val="24"/>
                <w:szCs w:val="24"/>
                <w:highlight w:val="none"/>
              </w:rPr>
              <w:t>录</w:t>
            </w:r>
          </w:p>
        </w:tc>
        <w:tc>
          <w:tcPr>
            <w:tcW w:w="4943" w:type="dxa"/>
            <w:gridSpan w:val="3"/>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2035"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是否依法缴纳税收</w:t>
            </w:r>
          </w:p>
        </w:tc>
        <w:tc>
          <w:tcPr>
            <w:tcW w:w="2822"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是否依法缴纳社会保障资金</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restart"/>
            <w:vAlign w:val="top"/>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位</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概</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况</w:t>
            </w: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注册资本</w:t>
            </w: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万元</w:t>
            </w: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占地面积</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职工总数</w:t>
            </w: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人</w:t>
            </w: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建筑面积</w:t>
            </w:r>
          </w:p>
        </w:tc>
        <w:tc>
          <w:tcPr>
            <w:tcW w:w="3069" w:type="dxa"/>
            <w:gridSpan w:val="2"/>
            <w:vAlign w:val="top"/>
          </w:tcPr>
          <w:p>
            <w:pPr>
              <w:wordWrap/>
              <w:spacing w:line="360" w:lineRule="auto"/>
              <w:ind w:firstLine="1800" w:firstLineChars="7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Merge w:val="restart"/>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资产</w:t>
            </w:r>
          </w:p>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情况</w:t>
            </w:r>
          </w:p>
        </w:tc>
        <w:tc>
          <w:tcPr>
            <w:tcW w:w="3489"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净资产：        万元</w:t>
            </w:r>
          </w:p>
        </w:tc>
        <w:tc>
          <w:tcPr>
            <w:tcW w:w="3069" w:type="dxa"/>
            <w:gridSpan w:val="2"/>
            <w:vMerge w:val="restart"/>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固定资产原值 ：     万元</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3489"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 债：         万元</w:t>
            </w:r>
          </w:p>
        </w:tc>
        <w:tc>
          <w:tcPr>
            <w:tcW w:w="3069"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035" w:type="dxa"/>
            <w:gridSpan w:val="2"/>
            <w:vMerge w:val="restart"/>
            <w:vAlign w:val="center"/>
          </w:tcPr>
          <w:p>
            <w:pPr>
              <w:wordWrap/>
              <w:spacing w:line="360" w:lineRule="auto"/>
              <w:ind w:firstLine="120" w:firstLineChars="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财务状况</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（最近三年20</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年至20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p>
        </w:tc>
        <w:tc>
          <w:tcPr>
            <w:tcW w:w="1207" w:type="dxa"/>
            <w:vAlign w:val="top"/>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年份</w:t>
            </w: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主营收入</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收入总额</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利润总额</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676"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净利润</w:t>
            </w:r>
          </w:p>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35"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765" w:type="dxa"/>
            <w:gridSpan w:val="5"/>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035"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备注 </w:t>
            </w:r>
          </w:p>
        </w:tc>
        <w:tc>
          <w:tcPr>
            <w:tcW w:w="7765" w:type="dxa"/>
            <w:gridSpan w:val="5"/>
            <w:vAlign w:val="center"/>
          </w:tcPr>
          <w:p>
            <w:pPr>
              <w:wordWrap/>
              <w:spacing w:line="360" w:lineRule="auto"/>
              <w:textAlignment w:val="auto"/>
              <w:rPr>
                <w:rFonts w:hint="eastAsia" w:ascii="宋体" w:hAnsi="宋体" w:eastAsia="宋体" w:cs="宋体"/>
                <w:bCs/>
                <w:color w:val="auto"/>
                <w:sz w:val="24"/>
                <w:szCs w:val="24"/>
                <w:highlight w:val="none"/>
              </w:rPr>
            </w:pPr>
          </w:p>
        </w:tc>
      </w:tr>
    </w:tbl>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我们保证上述声明中的资料和数据是真实的、正确的，我们同意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如贵方要求，可以出示相关证明文件。</w:t>
      </w:r>
    </w:p>
    <w:p>
      <w:pPr>
        <w:wordWrap/>
        <w:spacing w:line="360" w:lineRule="auto"/>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法定代表人或委托代理人（签字或盖章）：</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电话号和传真号：</w:t>
      </w:r>
    </w:p>
    <w:p>
      <w:pPr>
        <w:wordWrap/>
        <w:spacing w:line="360" w:lineRule="auto"/>
        <w:ind w:firstLine="120" w:firstLineChars="5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  年  月  日</w:t>
      </w:r>
    </w:p>
    <w:p>
      <w:pPr>
        <w:tabs>
          <w:tab w:val="left" w:pos="360"/>
          <w:tab w:val="left" w:pos="1800"/>
        </w:tabs>
        <w:spacing w:line="48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格式5  中小企业声明函（货物）</w:t>
      </w:r>
    </w:p>
    <w:p>
      <w:pPr>
        <w:tabs>
          <w:tab w:val="left" w:pos="6300"/>
        </w:tabs>
        <w:snapToGrid w:val="0"/>
        <w:spacing w:line="500" w:lineRule="exact"/>
        <w:ind w:firstLine="720" w:firstLineChars="200"/>
        <w:jc w:val="center"/>
        <w:outlineLvl w:val="0"/>
        <w:rPr>
          <w:rFonts w:hint="eastAsia" w:ascii="宋体" w:hAnsi="宋体" w:eastAsia="宋体" w:cs="宋体"/>
          <w:color w:val="auto"/>
          <w:sz w:val="36"/>
          <w:szCs w:val="36"/>
          <w:highlight w:val="none"/>
        </w:rPr>
      </w:pP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（单位名称）</w:t>
      </w:r>
      <w:r>
        <w:rPr>
          <w:rFonts w:hint="eastAsia" w:ascii="宋体" w:hAnsi="宋体" w:cs="宋体"/>
          <w:color w:val="auto"/>
          <w:sz w:val="24"/>
          <w:highlight w:val="none"/>
        </w:rPr>
        <w:t xml:space="preserve"> 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工业</w:t>
      </w:r>
      <w:r>
        <w:rPr>
          <w:rFonts w:hint="eastAsia" w:ascii="宋体" w:hAnsi="宋体" w:cs="宋体"/>
          <w:color w:val="auto"/>
          <w:sz w:val="24"/>
          <w:highlight w:val="none"/>
          <w:u w:val="single"/>
        </w:rPr>
        <w:t xml:space="preserve">）行业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pPr>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6"/>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注：1、从业人员、营业收入、资产总额填报上一年度数据，无上一年度数据的新成立企业可不填报。</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2、各供应商参照《关于印发中小企业划型标准规定的通知 工信部联企业〔2011〕300号》 中小企业划型标准规定中规定的行业以及划型标准对本企业进行划型。</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3、在货物采购项目中，供应商提供的货物既有中小企业制造货物，也有大型企业制造货物的，不享受本办法规定的中小企业扶持政策。</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供应商如为代理商或经销商的，如不确定制造商企业划型，可在制造商注册地工信部门对制造商企业划型进行认定。</w:t>
      </w: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政府采购领域诚信承诺书</w:t>
      </w:r>
    </w:p>
    <w:p>
      <w:pPr>
        <w:tabs>
          <w:tab w:val="left" w:pos="6300"/>
        </w:tabs>
        <w:wordWrap/>
        <w:snapToGrid w:val="0"/>
        <w:spacing w:line="360" w:lineRule="auto"/>
        <w:ind w:firstLine="570"/>
        <w:textAlignment w:val="auto"/>
        <w:rPr>
          <w:rFonts w:hint="eastAsia" w:ascii="宋体" w:hAnsi="宋体" w:eastAsia="宋体" w:cs="宋体"/>
          <w:color w:val="auto"/>
          <w:sz w:val="24"/>
          <w:szCs w:val="24"/>
          <w:highlight w:val="none"/>
        </w:rPr>
      </w:pPr>
    </w:p>
    <w:p>
      <w:pPr>
        <w:widowControl w:val="0"/>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(单位名称或个人)，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统一社会信用代码（个人身份证号）是具备《</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》第二十二条件的供应商，本单位在参加克拉玛依地区政府采购活动时，承诺如下：</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（一）严格遵守国家法律、法规和规章，全面履行应尽的责任和义务。</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（二）保证参加政府采购活动时所提供资料均合法、真实、有效，并对所提供资料的真实性负责；我单位（个人）在参加政府采购活动前三年在经营活动中没有《</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》第第二十二条第一款第（五项）所称重大违法记录。</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（三）承诺本单位（个人）自觉接受行政管理部门、行业组织、社会公众、新闻舆论的监督。</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（四）承诺本单位（个人）将按照信用管理要求，按照规定通过克拉玛依诚信网向社会公示信用信息。</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（五）承诺本单位（个人）不制假售假、商标侵权、虚假宣传、违约毁约、价格欺诈、垄断和不正当竞争，守合同、重信用，维护经营者、消费者的合法权益。</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（六）失信主体承诺本单位（个人）依法依规接受处罚、主动积极整改、不再触犯相关法律法规、今后全面做到履约守信等。</w:t>
      </w:r>
    </w:p>
    <w:p>
      <w:pPr>
        <w:widowControl w:val="0"/>
        <w:wordWrap/>
        <w:adjustRightInd w:val="0"/>
        <w:snapToGrid w:val="0"/>
        <w:spacing w:line="360" w:lineRule="auto"/>
        <w:ind w:left="319" w:leftChars="152"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w:t>
      </w:r>
      <w:r>
        <w:rPr>
          <w:rFonts w:hint="eastAsia" w:ascii="宋体" w:hAnsi="宋体" w:cs="宋体"/>
          <w:color w:val="auto"/>
          <w:sz w:val="24"/>
          <w:szCs w:val="24"/>
          <w:highlight w:val="none"/>
          <w:lang w:eastAsia="zh-CN"/>
        </w:rPr>
        <w:t>将</w:t>
      </w:r>
      <w:r>
        <w:rPr>
          <w:rFonts w:hint="eastAsia" w:ascii="宋体" w:hAnsi="宋体" w:eastAsia="宋体" w:cs="宋体"/>
          <w:color w:val="auto"/>
          <w:sz w:val="24"/>
          <w:szCs w:val="24"/>
          <w:highlight w:val="none"/>
        </w:rPr>
        <w:t>违背承诺约定行为作为失信信息，记录到市公共信用信息管理系统平台，并予以公开。</w:t>
      </w:r>
    </w:p>
    <w:p>
      <w:pPr>
        <w:widowControl w:val="0"/>
        <w:wordWrap/>
        <w:spacing w:line="360" w:lineRule="auto"/>
        <w:textAlignment w:val="auto"/>
        <w:rPr>
          <w:rFonts w:hint="eastAsia" w:ascii="宋体" w:hAnsi="宋体" w:eastAsia="宋体" w:cs="宋体"/>
          <w:color w:val="auto"/>
          <w:sz w:val="24"/>
          <w:szCs w:val="24"/>
          <w:highlight w:val="none"/>
        </w:rPr>
      </w:pPr>
    </w:p>
    <w:p>
      <w:pPr>
        <w:widowControl w:val="0"/>
        <w:wordWrap/>
        <w:spacing w:line="360" w:lineRule="auto"/>
        <w:textAlignment w:val="auto"/>
        <w:rPr>
          <w:rFonts w:hint="eastAsia" w:ascii="宋体" w:hAnsi="宋体" w:eastAsia="宋体" w:cs="宋体"/>
          <w:color w:val="auto"/>
          <w:sz w:val="24"/>
          <w:szCs w:val="24"/>
          <w:highlight w:val="none"/>
          <w:u w:val="single"/>
        </w:rPr>
      </w:pPr>
    </w:p>
    <w:p>
      <w:pPr>
        <w:widowControl w:val="0"/>
        <w:wordWrap/>
        <w:spacing w:line="360" w:lineRule="auto"/>
        <w:ind w:firstLine="2880" w:firstLineChars="1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单位名称或个人(公章或签名)</w:t>
      </w:r>
    </w:p>
    <w:p>
      <w:pPr>
        <w:widowControl w:val="0"/>
        <w:wordWrap/>
        <w:spacing w:line="360" w:lineRule="auto"/>
        <w:ind w:firstLine="2880" w:firstLineChars="120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年   月   日</w:t>
      </w:r>
    </w:p>
    <w:p>
      <w:pPr>
        <w:tabs>
          <w:tab w:val="left" w:pos="6300"/>
        </w:tabs>
        <w:wordWrap/>
        <w:snapToGrid w:val="0"/>
        <w:spacing w:line="360" w:lineRule="auto"/>
        <w:ind w:right="480"/>
        <w:jc w:val="right"/>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textWrapping"/>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bookmarkStart w:id="178" w:name="_Toc500232561"/>
      <w:bookmarkStart w:id="179" w:name="_Toc11914"/>
      <w:bookmarkStart w:id="180" w:name="_Toc453752086"/>
      <w:bookmarkStart w:id="181" w:name="_Toc12471"/>
      <w:bookmarkStart w:id="182" w:name="_Toc13948"/>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近三年（自20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年1月1日至今）同类项目业绩表</w:t>
      </w:r>
    </w:p>
    <w:tbl>
      <w:tblPr>
        <w:tblStyle w:val="59"/>
        <w:tblW w:w="8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项目实施机构名称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项目实施机构地址</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项目实施机构电话</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投资额</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主要证明材料</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开始时间</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项目质量</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156" w:type="dxa"/>
            <w:vAlign w:val="center"/>
          </w:tcPr>
          <w:p>
            <w:pPr>
              <w:wordWrap/>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6156" w:type="dxa"/>
            <w:vAlign w:val="center"/>
          </w:tcPr>
          <w:p>
            <w:pPr>
              <w:wordWrap/>
              <w:spacing w:line="360" w:lineRule="auto"/>
              <w:jc w:val="center"/>
              <w:textAlignment w:val="auto"/>
              <w:rPr>
                <w:rFonts w:hint="eastAsia" w:ascii="宋体" w:hAnsi="宋体" w:eastAsia="宋体" w:cs="宋体"/>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注：供应商（仅限于供应商自身实施的）以上业绩需提供有关书面证明材料（如中标通知书/入围通知书或采购合同</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pPr>
        <w:wordWrap/>
        <w:spacing w:line="360" w:lineRule="auto"/>
        <w:textAlignment w:val="auto"/>
        <w:rPr>
          <w:rFonts w:hint="eastAsia" w:ascii="宋体" w:hAnsi="宋体" w:eastAsia="宋体" w:cs="宋体"/>
          <w:color w:val="auto"/>
          <w:sz w:val="24"/>
          <w:szCs w:val="24"/>
          <w:highlight w:val="none"/>
        </w:rPr>
      </w:pPr>
    </w:p>
    <w:p>
      <w:pPr>
        <w:wordWrap/>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p>
    <w:p>
      <w:pPr>
        <w:wordWrap/>
        <w:spacing w:line="360" w:lineRule="auto"/>
        <w:ind w:right="48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ind w:right="480" w:firstLine="480" w:firstLineChars="200"/>
        <w:jc w:val="righ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年  月  日</w:t>
      </w:r>
    </w:p>
    <w:bookmarkEnd w:id="178"/>
    <w:bookmarkEnd w:id="179"/>
    <w:bookmarkEnd w:id="180"/>
    <w:bookmarkEnd w:id="181"/>
    <w:bookmarkEnd w:id="182"/>
    <w:p>
      <w:pPr>
        <w:pStyle w:val="6"/>
        <w:wordWrap/>
        <w:spacing w:before="0"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首次</w:t>
      </w:r>
      <w:r>
        <w:rPr>
          <w:rFonts w:hint="eastAsia" w:ascii="宋体" w:hAnsi="宋体" w:eastAsia="宋体" w:cs="宋体"/>
          <w:color w:val="auto"/>
          <w:sz w:val="24"/>
          <w:szCs w:val="24"/>
          <w:highlight w:val="none"/>
          <w:lang w:eastAsia="zh-CN"/>
        </w:rPr>
        <w:t>）</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币种：人民币</w:t>
      </w:r>
    </w:p>
    <w:tbl>
      <w:tblPr>
        <w:tblStyle w:val="59"/>
        <w:tblW w:w="10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
        <w:gridCol w:w="1808"/>
        <w:gridCol w:w="715"/>
        <w:gridCol w:w="715"/>
        <w:gridCol w:w="1697"/>
        <w:gridCol w:w="1696"/>
        <w:gridCol w:w="1696"/>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序号</w:t>
            </w:r>
          </w:p>
        </w:tc>
        <w:tc>
          <w:tcPr>
            <w:tcW w:w="1808"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名称</w:t>
            </w:r>
          </w:p>
        </w:tc>
        <w:tc>
          <w:tcPr>
            <w:tcW w:w="71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单位</w:t>
            </w:r>
          </w:p>
        </w:tc>
        <w:tc>
          <w:tcPr>
            <w:tcW w:w="71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数量</w:t>
            </w:r>
          </w:p>
        </w:tc>
        <w:tc>
          <w:tcPr>
            <w:tcW w:w="1697"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单价（元）</w:t>
            </w:r>
          </w:p>
        </w:tc>
        <w:tc>
          <w:tcPr>
            <w:tcW w:w="1696"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合计（元）</w:t>
            </w:r>
          </w:p>
        </w:tc>
        <w:tc>
          <w:tcPr>
            <w:tcW w:w="1696"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bCs/>
                <w:color w:val="auto"/>
                <w:kern w:val="0"/>
                <w:sz w:val="24"/>
                <w:szCs w:val="24"/>
                <w:lang w:eastAsia="zh-CN"/>
              </w:rPr>
            </w:pPr>
            <w:r>
              <w:rPr>
                <w:rFonts w:hint="eastAsia" w:ascii="宋体" w:hAnsi="宋体" w:eastAsia="宋体" w:cs="宋体"/>
                <w:color w:val="auto"/>
                <w:sz w:val="24"/>
                <w:szCs w:val="24"/>
                <w:highlight w:val="none"/>
              </w:rPr>
              <w:t>技术规格、型号</w:t>
            </w:r>
            <w:r>
              <w:rPr>
                <w:rFonts w:hint="eastAsia" w:ascii="宋体" w:hAnsi="宋体" w:eastAsia="宋体" w:cs="宋体"/>
                <w:color w:val="auto"/>
                <w:sz w:val="24"/>
                <w:szCs w:val="24"/>
                <w:highlight w:val="none"/>
                <w:lang w:eastAsia="zh-CN"/>
              </w:rPr>
              <w:t>、品牌</w:t>
            </w:r>
          </w:p>
        </w:tc>
        <w:tc>
          <w:tcPr>
            <w:tcW w:w="1290"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Theme="minorEastAsia" w:hAnsiTheme="minorEastAsia"/>
                <w:sz w:val="24"/>
                <w:szCs w:val="24"/>
              </w:rPr>
              <w:t>1#电梯</w:t>
            </w:r>
            <w:r>
              <w:rPr>
                <w:rFonts w:hint="eastAsia" w:asciiTheme="minorEastAsia" w:hAnsiTheme="minorEastAsia"/>
                <w:sz w:val="24"/>
                <w:szCs w:val="24"/>
                <w:lang w:val="en-US" w:eastAsia="zh-CN"/>
              </w:rPr>
              <w:t>-</w:t>
            </w:r>
            <w:r>
              <w:rPr>
                <w:rFonts w:hint="eastAsia" w:cs="宋体" w:asciiTheme="minorEastAsia" w:hAnsiTheme="minorEastAsia"/>
                <w:color w:val="000000"/>
                <w:kern w:val="0"/>
                <w:sz w:val="24"/>
                <w:szCs w:val="24"/>
              </w:rPr>
              <w:t>有机房乘客兼消防电梯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290" w:type="dxa"/>
            <w:tcBorders>
              <w:top w:val="nil"/>
              <w:left w:val="nil"/>
              <w:bottom w:val="single" w:color="auto" w:sz="4" w:space="0"/>
              <w:right w:val="single" w:color="auto" w:sz="4" w:space="0"/>
            </w:tcBorders>
            <w:vAlign w:val="center"/>
          </w:tcPr>
          <w:p>
            <w:pPr>
              <w:wordWrap/>
              <w:adjustRightInd/>
              <w:snapToGrid/>
              <w:spacing w:line="360" w:lineRule="auto"/>
              <w:jc w:val="left"/>
              <w:textAlignment w:val="auto"/>
              <w:rPr>
                <w:rFonts w:hint="eastAsia" w:ascii="宋体" w:hAnsi="宋体" w:eastAsia="宋体" w:cs="宋体"/>
                <w:color w:val="auto"/>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Theme="minorEastAsia" w:hAnsiTheme="minorEastAsia"/>
                <w:sz w:val="24"/>
                <w:szCs w:val="24"/>
              </w:rPr>
              <w:t>2#电梯</w:t>
            </w:r>
            <w:r>
              <w:rPr>
                <w:rFonts w:hint="eastAsia" w:asciiTheme="minorEastAsia" w:hAnsiTheme="minorEastAsia"/>
                <w:sz w:val="24"/>
                <w:szCs w:val="24"/>
                <w:lang w:val="en-US" w:eastAsia="zh-CN"/>
              </w:rPr>
              <w:t>-</w:t>
            </w:r>
            <w:r>
              <w:rPr>
                <w:rFonts w:hint="eastAsia" w:cs="宋体" w:asciiTheme="minorEastAsia" w:hAnsiTheme="minorEastAsia"/>
                <w:color w:val="000000"/>
                <w:kern w:val="0"/>
                <w:sz w:val="24"/>
                <w:szCs w:val="24"/>
              </w:rPr>
              <w:t>有机房乘客电梯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290" w:type="dxa"/>
            <w:tcBorders>
              <w:top w:val="nil"/>
              <w:left w:val="nil"/>
              <w:bottom w:val="single" w:color="auto" w:sz="4" w:space="0"/>
              <w:right w:val="single" w:color="auto" w:sz="4" w:space="0"/>
            </w:tcBorders>
            <w:vAlign w:val="center"/>
          </w:tcPr>
          <w:p>
            <w:pPr>
              <w:wordWrap/>
              <w:adjustRightInd/>
              <w:snapToGrid/>
              <w:spacing w:line="360" w:lineRule="auto"/>
              <w:jc w:val="left"/>
              <w:textAlignment w:val="auto"/>
              <w:rPr>
                <w:rFonts w:hint="eastAsia" w:ascii="宋体" w:hAnsi="宋体" w:eastAsia="宋体" w:cs="宋体"/>
                <w:color w:val="auto"/>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2</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lang w:val="en-US" w:eastAsia="zh-CN" w:bidi="ar-SA"/>
              </w:rPr>
            </w:pPr>
            <w:r>
              <w:rPr>
                <w:rFonts w:hint="eastAsia" w:asciiTheme="minorEastAsia" w:hAnsiTheme="minorEastAsia"/>
                <w:sz w:val="24"/>
                <w:szCs w:val="24"/>
              </w:rPr>
              <w:t>3#电梯</w:t>
            </w:r>
            <w:r>
              <w:rPr>
                <w:rFonts w:hint="eastAsia" w:asciiTheme="minorEastAsia" w:hAnsiTheme="minorEastAsia"/>
                <w:sz w:val="24"/>
                <w:szCs w:val="24"/>
                <w:lang w:val="en-US" w:eastAsia="zh-CN"/>
              </w:rPr>
              <w:t>-</w:t>
            </w:r>
            <w:r>
              <w:rPr>
                <w:rFonts w:hint="eastAsia" w:cs="宋体" w:asciiTheme="minorEastAsia" w:hAnsiTheme="minorEastAsia"/>
                <w:color w:val="000000"/>
                <w:kern w:val="0"/>
                <w:sz w:val="24"/>
                <w:szCs w:val="24"/>
              </w:rPr>
              <w:t>有机房乘客电梯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290" w:type="dxa"/>
            <w:tcBorders>
              <w:top w:val="nil"/>
              <w:left w:val="nil"/>
              <w:bottom w:val="single" w:color="auto" w:sz="4" w:space="0"/>
              <w:right w:val="single" w:color="auto" w:sz="4" w:space="0"/>
            </w:tcBorders>
            <w:vAlign w:val="center"/>
          </w:tcPr>
          <w:p>
            <w:pPr>
              <w:widowControl/>
              <w:wordWrap/>
              <w:adjustRightInd/>
              <w:snapToGrid/>
              <w:spacing w:line="360" w:lineRule="auto"/>
              <w:jc w:val="left"/>
              <w:textAlignment w:val="auto"/>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default" w:eastAsia="宋体" w:asciiTheme="minorEastAsia" w:hAnsiTheme="minorEastAsia"/>
                <w:sz w:val="24"/>
                <w:szCs w:val="24"/>
                <w:lang w:val="en-US" w:eastAsia="zh-CN"/>
              </w:rPr>
            </w:pPr>
            <w:r>
              <w:rPr>
                <w:rFonts w:hint="eastAsia" w:asciiTheme="minorEastAsia" w:hAnsiTheme="minorEastAsia"/>
                <w:sz w:val="24"/>
                <w:szCs w:val="24"/>
                <w:lang w:val="en-US" w:eastAsia="zh-CN"/>
              </w:rPr>
              <w:t>其它费用</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项</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p>
        </w:tc>
        <w:tc>
          <w:tcPr>
            <w:tcW w:w="1290" w:type="dxa"/>
            <w:tcBorders>
              <w:top w:val="nil"/>
              <w:left w:val="nil"/>
              <w:bottom w:val="single" w:color="auto" w:sz="4" w:space="0"/>
              <w:right w:val="single" w:color="auto" w:sz="4" w:space="0"/>
            </w:tcBorders>
            <w:vAlign w:val="center"/>
          </w:tcPr>
          <w:p>
            <w:pPr>
              <w:widowControl/>
              <w:wordWrap/>
              <w:adjustRightInd/>
              <w:snapToGrid/>
              <w:spacing w:line="360" w:lineRule="auto"/>
              <w:jc w:val="left"/>
              <w:textAlignment w:val="auto"/>
              <w:rPr>
                <w:rFonts w:hint="eastAsia" w:ascii="宋体" w:hAnsi="宋体" w:eastAsia="宋体" w:cs="宋体"/>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51" w:type="dxa"/>
            <w:vMerge w:val="restart"/>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2"/>
                <w:sz w:val="24"/>
                <w:szCs w:val="24"/>
                <w:lang w:val="en-US" w:eastAsia="zh-CN" w:bidi="ar-SA"/>
              </w:rPr>
              <w:t>4</w:t>
            </w:r>
          </w:p>
        </w:tc>
        <w:tc>
          <w:tcPr>
            <w:tcW w:w="1808" w:type="dxa"/>
            <w:vMerge w:val="restart"/>
            <w:tcBorders>
              <w:top w:val="single" w:color="auto" w:sz="4" w:space="0"/>
              <w:left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 xml:space="preserve">合计  </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小写：</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551"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p>
        </w:tc>
        <w:tc>
          <w:tcPr>
            <w:tcW w:w="1808"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大写：</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供货期</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bCs/>
                <w:color w:val="auto"/>
                <w:kern w:val="2"/>
                <w:sz w:val="24"/>
                <w:szCs w:val="24"/>
                <w:lang w:val="en-US" w:eastAsia="zh-CN" w:bidi="ar-SA"/>
              </w:rPr>
            </w:pPr>
            <w:r>
              <w:rPr>
                <w:rFonts w:hint="eastAsia" w:asciiTheme="minorEastAsia" w:hAnsiTheme="minorEastAsia" w:eastAsiaTheme="minorEastAsia"/>
                <w:sz w:val="24"/>
                <w:szCs w:val="24"/>
                <w:lang w:val="en-US" w:eastAsia="zh-CN"/>
              </w:rPr>
              <w:t>合同签订并接到采购人通知后</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val="en-US" w:eastAsia="zh-CN"/>
              </w:rPr>
              <w:t xml:space="preserve"> 日内安装、调试、运营完毕。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质量保证期</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克拉玛依市税务局电梯更换项目</w:t>
            </w:r>
            <w:r>
              <w:rPr>
                <w:rFonts w:asciiTheme="minorEastAsia" w:hAnsiTheme="minorEastAsia"/>
                <w:sz w:val="24"/>
                <w:szCs w:val="24"/>
              </w:rPr>
              <w:t>交货验收合格之日</w:t>
            </w:r>
            <w:r>
              <w:rPr>
                <w:rFonts w:hint="eastAsia" w:ascii="宋体" w:hAnsi="宋体" w:eastAsia="宋体" w:cs="宋体"/>
                <w:bCs/>
                <w:color w:val="auto"/>
                <w:sz w:val="24"/>
                <w:szCs w:val="24"/>
                <w:u w:val="single"/>
              </w:rPr>
              <w:t>起</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single"/>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sz w:val="24"/>
                <w:szCs w:val="24"/>
              </w:rPr>
            </w:pPr>
            <w:r>
              <w:rPr>
                <w:rFonts w:hint="eastAsia" w:asciiTheme="minorEastAsia" w:hAnsiTheme="minorEastAsia" w:eastAsiaTheme="minorEastAsia"/>
                <w:sz w:val="24"/>
                <w:szCs w:val="24"/>
                <w:lang w:eastAsia="zh-CN"/>
              </w:rPr>
              <w:t>质量标准</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480" w:firstLineChars="200"/>
              <w:textAlignment w:val="auto"/>
              <w:rPr>
                <w:rFonts w:hint="eastAsia" w:ascii="宋体" w:hAnsi="宋体" w:cs="宋体"/>
                <w:bCs/>
                <w:color w:val="auto"/>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8</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供应商其它说明（由各供应商根据本采购项目要求自行列出需说明及承诺内容）</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0168" w:type="dxa"/>
            <w:gridSpan w:val="8"/>
            <w:tcBorders>
              <w:top w:val="single" w:color="auto" w:sz="4" w:space="0"/>
              <w:left w:val="single" w:color="auto" w:sz="4" w:space="0"/>
              <w:bottom w:val="single" w:color="auto" w:sz="4" w:space="0"/>
              <w:right w:val="single" w:color="auto" w:sz="4" w:space="0"/>
            </w:tcBorders>
            <w:vAlign w:val="center"/>
          </w:tcPr>
          <w:p>
            <w:pPr>
              <w:pStyle w:val="34"/>
              <w:wordWrap/>
              <w:adjustRightInd/>
              <w:snapToGrid/>
              <w:spacing w:line="360" w:lineRule="auto"/>
              <w:ind w:firstLine="482" w:firstLineChars="200"/>
              <w:jc w:val="left"/>
              <w:textAlignment w:val="auto"/>
              <w:outlineLvl w:val="1"/>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注：1、报价包含的内容：</w:t>
            </w:r>
            <w:r>
              <w:rPr>
                <w:rFonts w:hint="eastAsia" w:hAnsi="宋体" w:cs="宋体"/>
                <w:b/>
                <w:bCs/>
                <w:color w:val="auto"/>
                <w:sz w:val="24"/>
                <w:szCs w:val="24"/>
                <w:highlight w:val="none"/>
                <w:lang w:eastAsia="zh-CN"/>
              </w:rPr>
              <w:t>采购三部1150kg及以上曳引式乘客电梯（有机房电梯），1部8层8站, 2部9层9站，速度:1.75m/s及以上。包括旧梯拆卸、电梯供电系统的修缮、新梯采购、供货、吊装费、安装（包括施工现场的脚手架的搭建和拆除、水电设施、垃圾清运费用等）、调试、检测验收、培训费、土建整改、电梯大门套制作、侯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采购文件约定的全部内容及保修责任和义务。本项目为交钥匙工程。</w:t>
            </w:r>
          </w:p>
          <w:p>
            <w:pPr>
              <w:wordWrap/>
              <w:adjustRightInd/>
              <w:snapToGrid/>
              <w:spacing w:line="360" w:lineRule="auto"/>
              <w:ind w:firstLine="420" w:firstLineChars="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rPr>
              <w:t>2、质量保证期是质量保修金的留置期限。签订合同时，以成交供应商承诺的质量保证期为准。</w:t>
            </w:r>
          </w:p>
        </w:tc>
      </w:tr>
    </w:tbl>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报价日期：   年  月   日</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注：供应商须按本报价一览表格式制作“最后报价表”并加盖单位公章，经磋商后由各供应商填写最后报价。</w:t>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格式</w:t>
      </w:r>
      <w:r>
        <w:rPr>
          <w:rFonts w:hint="eastAsia" w:ascii="宋体" w:hAnsi="宋体" w:cs="宋体"/>
          <w:b/>
          <w:bCs/>
          <w:color w:val="auto"/>
          <w:sz w:val="24"/>
          <w:szCs w:val="24"/>
          <w:lang w:val="en-US" w:eastAsia="zh-CN"/>
        </w:rPr>
        <w:t>9</w:t>
      </w:r>
      <w:r>
        <w:rPr>
          <w:rFonts w:hint="eastAsia" w:ascii="宋体" w:hAnsi="宋体" w:eastAsia="宋体" w:cs="宋体"/>
          <w:b/>
          <w:bCs/>
          <w:color w:val="auto"/>
          <w:sz w:val="24"/>
          <w:szCs w:val="24"/>
        </w:rPr>
        <w:t xml:space="preserve">    设备、材料、备品、备件清单及价格明细表</w:t>
      </w:r>
    </w:p>
    <w:tbl>
      <w:tblPr>
        <w:tblStyle w:val="59"/>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03"/>
        <w:gridCol w:w="1134"/>
        <w:gridCol w:w="1275"/>
        <w:gridCol w:w="908"/>
        <w:gridCol w:w="623"/>
        <w:gridCol w:w="992"/>
        <w:gridCol w:w="867"/>
        <w:gridCol w:w="89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1703"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设备、材料名称</w:t>
            </w:r>
          </w:p>
        </w:tc>
        <w:tc>
          <w:tcPr>
            <w:tcW w:w="1134"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规格型号</w:t>
            </w:r>
          </w:p>
        </w:tc>
        <w:tc>
          <w:tcPr>
            <w:tcW w:w="1275"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材质/品牌</w:t>
            </w:r>
          </w:p>
        </w:tc>
        <w:tc>
          <w:tcPr>
            <w:tcW w:w="908"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数量及单位</w:t>
            </w:r>
          </w:p>
        </w:tc>
        <w:tc>
          <w:tcPr>
            <w:tcW w:w="623"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产地</w:t>
            </w:r>
          </w:p>
        </w:tc>
        <w:tc>
          <w:tcPr>
            <w:tcW w:w="992"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生产厂家</w:t>
            </w:r>
          </w:p>
        </w:tc>
        <w:tc>
          <w:tcPr>
            <w:tcW w:w="867"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w:t>
            </w:r>
          </w:p>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元</w:t>
            </w:r>
          </w:p>
        </w:tc>
        <w:tc>
          <w:tcPr>
            <w:tcW w:w="891"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合价</w:t>
            </w:r>
          </w:p>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万元</w:t>
            </w:r>
          </w:p>
        </w:tc>
        <w:tc>
          <w:tcPr>
            <w:tcW w:w="1290" w:type="dxa"/>
            <w:vAlign w:val="center"/>
          </w:tcPr>
          <w:p>
            <w:pPr>
              <w:wordWrap/>
              <w:spacing w:line="360" w:lineRule="auto"/>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技术指标、参数简要说明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rPr>
            </w:pPr>
          </w:p>
        </w:tc>
      </w:tr>
    </w:tbl>
    <w:p>
      <w:pPr>
        <w:wordWrap/>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 相关设备、仪器按本项目相关需要的顺序填写；</w:t>
      </w:r>
    </w:p>
    <w:p>
      <w:pPr>
        <w:wordWrap/>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填写拟派于本项目相关的具体设备及仪器；</w:t>
      </w:r>
    </w:p>
    <w:p>
      <w:pPr>
        <w:wordWrap/>
        <w:snapToGrid w:val="0"/>
        <w:spacing w:line="360" w:lineRule="auto"/>
        <w:ind w:firstLine="960" w:firstLineChars="4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注明相关设备及仪器出厂日期、目前存放地点、承担工作等内容。</w:t>
      </w:r>
    </w:p>
    <w:p>
      <w:pPr>
        <w:wordWrap/>
        <w:spacing w:line="360" w:lineRule="auto"/>
        <w:ind w:firstLine="944" w:firstLineChars="392"/>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4、本表由供应商按详见“第三章  项目采购需求”中所涉及的相关设备、材料、备品备件等逐项进行填写，不足时自行添加。</w:t>
      </w:r>
    </w:p>
    <w:p>
      <w:pPr>
        <w:wordWrap/>
        <w:snapToGrid w:val="0"/>
        <w:spacing w:line="360" w:lineRule="auto"/>
        <w:textAlignment w:val="auto"/>
        <w:rPr>
          <w:rFonts w:hint="eastAsia" w:ascii="宋体" w:hAnsi="宋体" w:eastAsia="宋体" w:cs="宋体"/>
          <w:bCs/>
          <w:color w:val="auto"/>
          <w:sz w:val="24"/>
          <w:szCs w:val="24"/>
        </w:rPr>
      </w:pPr>
    </w:p>
    <w:p>
      <w:pPr>
        <w:wordWrap/>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供应商（盖章）：</w:t>
      </w:r>
    </w:p>
    <w:p>
      <w:pPr>
        <w:wordWrap/>
        <w:snapToGrid w:val="0"/>
        <w:spacing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法人代表人或委托代理人签字或盖章：</w:t>
      </w:r>
    </w:p>
    <w:p>
      <w:pPr>
        <w:wordWrap/>
        <w:snapToGrid w:val="0"/>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年  月</w:t>
      </w:r>
      <w:r>
        <w:rPr>
          <w:rFonts w:hint="eastAsia" w:ascii="宋体" w:hAnsi="宋体" w:eastAsia="宋体" w:cs="宋体"/>
          <w:color w:val="auto"/>
          <w:sz w:val="24"/>
          <w:szCs w:val="24"/>
        </w:rPr>
        <w:t xml:space="preserve">  日  </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商务条款偏离表</w:t>
      </w:r>
    </w:p>
    <w:tbl>
      <w:tblPr>
        <w:tblStyle w:val="5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49"/>
        <w:gridCol w:w="2371"/>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采购文件条目号</w:t>
            </w:r>
          </w:p>
        </w:tc>
        <w:tc>
          <w:tcPr>
            <w:tcW w:w="2371"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2160"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2340"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bl>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注：供应商按此表格式列出不影响投标实质性响应的商务偏差，没有说明的其他条款将被认为完全满足采购文件的规定。</w:t>
      </w:r>
    </w:p>
    <w:p>
      <w:pPr>
        <w:pStyle w:val="34"/>
        <w:wordWrap/>
        <w:spacing w:line="360" w:lineRule="auto"/>
        <w:textAlignment w:val="auto"/>
        <w:rPr>
          <w:rFonts w:hint="eastAsia" w:ascii="宋体" w:hAnsi="宋体" w:eastAsia="宋体" w:cs="宋体"/>
          <w:bCs/>
          <w:color w:val="auto"/>
          <w:sz w:val="24"/>
          <w:szCs w:val="24"/>
          <w:highlight w:val="none"/>
        </w:rPr>
      </w:pPr>
    </w:p>
    <w:p>
      <w:pPr>
        <w:pStyle w:val="34"/>
        <w:wordWrap/>
        <w:spacing w:line="360" w:lineRule="auto"/>
        <w:textAlignment w:val="auto"/>
        <w:rPr>
          <w:rFonts w:hint="eastAsia" w:ascii="宋体" w:hAnsi="宋体" w:eastAsia="宋体" w:cs="宋体"/>
          <w:bCs/>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p>
    <w:p>
      <w:pPr>
        <w:pStyle w:val="34"/>
        <w:wordWrap/>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pStyle w:val="34"/>
        <w:wordWrap/>
        <w:spacing w:line="360" w:lineRule="auto"/>
        <w:textAlignment w:val="auto"/>
        <w:rPr>
          <w:rFonts w:hint="eastAsia" w:ascii="宋体" w:hAnsi="宋体" w:eastAsia="宋体" w:cs="宋体"/>
          <w:color w:val="auto"/>
          <w:sz w:val="24"/>
          <w:szCs w:val="24"/>
          <w:highlight w:val="none"/>
        </w:rPr>
      </w:pPr>
    </w:p>
    <w:p>
      <w:pPr>
        <w:pStyle w:val="34"/>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34"/>
        <w:wordWrap/>
        <w:spacing w:line="360" w:lineRule="auto"/>
        <w:jc w:val="center"/>
        <w:textAlignment w:val="auto"/>
        <w:rPr>
          <w:rFonts w:hint="eastAsia" w:ascii="宋体" w:hAnsi="宋体" w:eastAsia="宋体" w:cs="宋体"/>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bookmarkStart w:id="183" w:name="_Toc245369914"/>
      <w:bookmarkStart w:id="184" w:name="_Toc243906411"/>
      <w:bookmarkStart w:id="185" w:name="_Toc246216439"/>
      <w:bookmarkStart w:id="186" w:name="_Toc243907641"/>
      <w:bookmarkStart w:id="187" w:name="_Toc246216281"/>
      <w:bookmarkStart w:id="188" w:name="_Toc243905166"/>
      <w:bookmarkStart w:id="189" w:name="_Toc246216304"/>
      <w:r>
        <w:rPr>
          <w:rFonts w:hint="eastAsia" w:ascii="宋体" w:hAnsi="宋体" w:eastAsia="宋体" w:cs="宋体"/>
          <w:color w:val="auto"/>
          <w:sz w:val="24"/>
          <w:szCs w:val="24"/>
          <w:highlight w:val="none"/>
        </w:rPr>
        <w:t>格式</w:t>
      </w:r>
      <w:bookmarkEnd w:id="183"/>
      <w:bookmarkEnd w:id="184"/>
      <w:bookmarkEnd w:id="185"/>
      <w:bookmarkEnd w:id="186"/>
      <w:bookmarkEnd w:id="187"/>
      <w:bookmarkEnd w:id="188"/>
      <w:bookmarkEnd w:id="189"/>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技术规格响应偏离表</w:t>
      </w:r>
    </w:p>
    <w:tbl>
      <w:tblPr>
        <w:tblStyle w:val="5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服务内容及要求</w:t>
            </w: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采购要求</w:t>
            </w: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bl>
    <w:p>
      <w:pPr>
        <w:wordWrap/>
        <w:spacing w:line="360" w:lineRule="auto"/>
        <w:textAlignment w:val="auto"/>
        <w:rPr>
          <w:rFonts w:hint="eastAsia" w:ascii="宋体" w:hAnsi="宋体" w:eastAsia="宋体" w:cs="宋体"/>
          <w:color w:val="auto"/>
          <w:sz w:val="24"/>
          <w:szCs w:val="24"/>
          <w:highlight w:val="none"/>
        </w:rPr>
      </w:pP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注：1、供应商应对照技术规格及要求中的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项目要求，逐条说明所提供货物和服务已对采购文件的技术要求做出了实质性的响应，并申明与技术规格条文的偏差和例外。特别对有具体技术要求的指标，供应商必须提供所投项目的具体参数值。</w:t>
      </w: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2、供应商所提供项目和服务已对采购文件、技术规格及要求中的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项目要求、技术规格和服务条件的偏离只能优于采购文件、技术规格及要求的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项目要求，否则评标委员会有权按采购文件中相应规定作否决投标处理。</w:t>
      </w: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3、没有说明的其他条款将被认为完全满足本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项目技术条款要求。</w:t>
      </w:r>
    </w:p>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4、各供应商按此表格式自行填写，表格不够时可自行添加。</w:t>
      </w:r>
    </w:p>
    <w:p>
      <w:pPr>
        <w:wordWrap/>
        <w:spacing w:line="360" w:lineRule="auto"/>
        <w:textAlignment w:val="auto"/>
        <w:rPr>
          <w:rFonts w:hint="eastAsia" w:ascii="宋体" w:hAnsi="宋体" w:eastAsia="宋体" w:cs="宋体"/>
          <w:color w:val="auto"/>
          <w:sz w:val="24"/>
          <w:szCs w:val="24"/>
          <w:highlight w:val="none"/>
        </w:rPr>
      </w:pPr>
    </w:p>
    <w:p>
      <w:pPr>
        <w:wordWrap/>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 （盖章）：</w:t>
      </w:r>
    </w:p>
    <w:p>
      <w:pPr>
        <w:wordWrap/>
        <w:spacing w:line="360" w:lineRule="auto"/>
        <w:textAlignment w:val="auto"/>
        <w:rPr>
          <w:rFonts w:hint="eastAsia" w:ascii="宋体" w:hAnsi="宋体" w:eastAsia="宋体" w:cs="宋体"/>
          <w:color w:val="auto"/>
          <w:sz w:val="24"/>
          <w:szCs w:val="24"/>
          <w:highlight w:val="none"/>
          <w:u w:val="single"/>
        </w:rPr>
      </w:pPr>
    </w:p>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资格性/符合性自查表</w:t>
      </w:r>
    </w:p>
    <w:tbl>
      <w:tblPr>
        <w:tblStyle w:val="59"/>
        <w:tblW w:w="99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437"/>
        <w:gridCol w:w="2327"/>
        <w:gridCol w:w="278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63" w:hRule="atLeast"/>
        </w:trPr>
        <w:tc>
          <w:tcPr>
            <w:tcW w:w="1391"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评审内容</w:t>
            </w:r>
          </w:p>
        </w:tc>
        <w:tc>
          <w:tcPr>
            <w:tcW w:w="3437"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采购文件要求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（详见《资格性和符合性审查表》各项）</w:t>
            </w:r>
          </w:p>
        </w:tc>
        <w:tc>
          <w:tcPr>
            <w:tcW w:w="2327"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自查结论</w:t>
            </w:r>
          </w:p>
        </w:tc>
        <w:tc>
          <w:tcPr>
            <w:tcW w:w="2782"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bl>
    <w:p>
      <w:pPr>
        <w:wordWrap/>
        <w:spacing w:line="360" w:lineRule="auto"/>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sz w:val="24"/>
          <w:szCs w:val="24"/>
          <w:highlight w:val="none"/>
        </w:rPr>
        <w:t>注：1、以上材料将作为</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供应商有效性审核的重要内容之一，供应商必须严格按照其内容及序列要求在响应文件中对应如</w:t>
      </w:r>
      <w:r>
        <w:rPr>
          <w:rFonts w:hint="eastAsia" w:ascii="宋体" w:hAnsi="宋体" w:eastAsia="宋体" w:cs="宋体"/>
          <w:b/>
          <w:color w:val="auto"/>
          <w:w w:val="90"/>
          <w:sz w:val="24"/>
          <w:szCs w:val="24"/>
          <w:highlight w:val="none"/>
        </w:rPr>
        <w:t>实提供，对资格性和符合性证明文件的任何缺漏和不符合项将会直接导致响应文件无效！供应商根据自查结论在对应的□打“√”。</w:t>
      </w:r>
    </w:p>
    <w:p>
      <w:pPr>
        <w:wordWrap/>
        <w:spacing w:line="360" w:lineRule="auto"/>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2、各供应商按此表格式填写，表格不够时可自行添加。</w:t>
      </w:r>
    </w:p>
    <w:p>
      <w:pPr>
        <w:pStyle w:val="34"/>
        <w:spacing w:line="360" w:lineRule="auto"/>
        <w:jc w:val="center"/>
        <w:rPr>
          <w:rFonts w:hint="eastAsia" w:ascii="宋体" w:hAnsi="宋体" w:eastAsia="宋体" w:cs="宋体"/>
          <w:color w:val="auto"/>
          <w:sz w:val="24"/>
          <w:szCs w:val="24"/>
          <w:highlight w:val="none"/>
        </w:rPr>
      </w:pPr>
    </w:p>
    <w:p>
      <w:pPr>
        <w:pStyle w:val="5"/>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eastAsia="zh-CN"/>
        </w:rPr>
        <w:t>评审标准</w:t>
      </w:r>
      <w:r>
        <w:rPr>
          <w:rFonts w:hint="eastAsia" w:ascii="宋体" w:hAnsi="宋体" w:eastAsia="宋体" w:cs="宋体"/>
          <w:color w:val="auto"/>
          <w:sz w:val="28"/>
          <w:szCs w:val="28"/>
          <w:highlight w:val="none"/>
        </w:rPr>
        <w:t>（综合评分法）</w:t>
      </w:r>
    </w:p>
    <w:p>
      <w:pPr>
        <w:pStyle w:val="7"/>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rPr>
        <w:t>1、资格性审查</w:t>
      </w:r>
    </w:p>
    <w:tbl>
      <w:tblPr>
        <w:tblStyle w:val="59"/>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642"/>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8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64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365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4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符合《中华人民共和国政府采购法》第二十二条的规定</w:t>
            </w:r>
          </w:p>
        </w:tc>
        <w:tc>
          <w:tcPr>
            <w:tcW w:w="365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符合本采购文件规定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45"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642"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具有中华人民共和国特种设备安装改造维修许可证B级及以上资质</w:t>
            </w:r>
          </w:p>
        </w:tc>
        <w:tc>
          <w:tcPr>
            <w:tcW w:w="3658"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符合本采购文件规定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4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642"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本项目不接受联合体供应商</w:t>
            </w:r>
          </w:p>
        </w:tc>
        <w:tc>
          <w:tcPr>
            <w:tcW w:w="3658"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符合本采购文件规定</w:t>
            </w:r>
          </w:p>
        </w:tc>
      </w:tr>
    </w:tbl>
    <w:p>
      <w:pP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pStyle w:val="19"/>
        <w:rPr>
          <w:rFonts w:hint="eastAsia"/>
        </w:rPr>
      </w:pPr>
    </w:p>
    <w:p>
      <w:pPr>
        <w:pStyle w:val="7"/>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符合性审查</w:t>
      </w:r>
    </w:p>
    <w:tbl>
      <w:tblPr>
        <w:tblStyle w:val="5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2333"/>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484" w:type="dxa"/>
            <w:gridSpan w:val="2"/>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w:t>
            </w:r>
          </w:p>
        </w:tc>
        <w:tc>
          <w:tcPr>
            <w:tcW w:w="5906" w:type="dxa"/>
            <w:vAlign w:val="center"/>
          </w:tcPr>
          <w:p>
            <w:pP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151"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有效性审查</w:t>
            </w: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sz w:val="24"/>
                <w:highlight w:val="none"/>
              </w:rPr>
              <w:t>签署</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sz w:val="24"/>
                <w:highlight w:val="none"/>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906" w:type="dxa"/>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法定代表人身份证明及授权委托书有效，且符合磋商文件规定的格式，签字或盖章齐全。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3"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151"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完整性审查</w:t>
            </w:r>
          </w:p>
        </w:tc>
        <w:tc>
          <w:tcPr>
            <w:tcW w:w="2333" w:type="dxa"/>
            <w:vAlign w:val="center"/>
          </w:tcPr>
          <w:p>
            <w:pPr>
              <w:spacing w:line="5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响应文件内容</w:t>
            </w:r>
          </w:p>
        </w:tc>
        <w:tc>
          <w:tcPr>
            <w:tcW w:w="5906" w:type="dxa"/>
            <w:vAlign w:val="center"/>
          </w:tcPr>
          <w:p>
            <w:pPr>
              <w:spacing w:line="500" w:lineRule="exac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151" w:type="dxa"/>
            <w:vMerge w:val="restart"/>
            <w:vAlign w:val="center"/>
          </w:tcPr>
          <w:p>
            <w:pPr>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采购文件的响应程度审查</w:t>
            </w: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kern w:val="0"/>
                <w:sz w:val="24"/>
                <w:highlight w:val="none"/>
              </w:rPr>
              <w:t>内容</w:t>
            </w:r>
          </w:p>
        </w:tc>
        <w:tc>
          <w:tcPr>
            <w:tcW w:w="5906" w:type="dxa"/>
            <w:vAlign w:val="center"/>
          </w:tcPr>
          <w:p>
            <w:pPr>
              <w:pStyle w:val="36"/>
              <w:spacing w:line="5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对磋商文件规定的内容全部做出响应。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质量技术</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交货期</w:t>
            </w:r>
          </w:p>
        </w:tc>
        <w:tc>
          <w:tcPr>
            <w:tcW w:w="5906"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w:t>
            </w:r>
            <w:r>
              <w:rPr>
                <w:rFonts w:hint="eastAsia" w:ascii="宋体" w:hAnsi="宋体" w:eastAsia="宋体" w:cs="宋体"/>
                <w:color w:val="auto"/>
                <w:sz w:val="24"/>
                <w:highlight w:val="none"/>
                <w:lang w:val="zh-CN"/>
              </w:rPr>
              <w:t>规定</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质量保修期</w:t>
            </w:r>
          </w:p>
        </w:tc>
        <w:tc>
          <w:tcPr>
            <w:tcW w:w="5906" w:type="dxa"/>
            <w:vAlign w:val="center"/>
          </w:tcPr>
          <w:p>
            <w:pP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满足磋商文件</w:t>
            </w:r>
            <w:r>
              <w:rPr>
                <w:rFonts w:hint="eastAsia" w:ascii="宋体" w:hAnsi="宋体" w:eastAsia="宋体" w:cs="宋体"/>
                <w:color w:val="auto"/>
                <w:kern w:val="0"/>
                <w:sz w:val="24"/>
                <w:highlight w:val="none"/>
                <w:lang w:val="zh-CN" w:eastAsia="zh-CN"/>
              </w:rPr>
              <w:t>规定</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sz w:val="24"/>
                <w:highlight w:val="none"/>
                <w:lang w:val="zh-CN"/>
              </w:rPr>
            </w:pP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kern w:val="0"/>
                <w:sz w:val="24"/>
                <w:highlight w:val="none"/>
              </w:rPr>
              <w:t>有效期</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w:t>
            </w:r>
            <w:r>
              <w:rPr>
                <w:rFonts w:hint="eastAsia" w:ascii="宋体" w:hAnsi="宋体" w:eastAsia="宋体" w:cs="宋体"/>
                <w:color w:val="auto"/>
                <w:sz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vMerge w:val="continue"/>
            <w:tcBorders>
              <w:bottom w:val="single" w:color="auto" w:sz="4" w:space="0"/>
            </w:tcBorders>
            <w:vAlign w:val="center"/>
          </w:tcPr>
          <w:p>
            <w:pPr>
              <w:rPr>
                <w:rFonts w:hint="eastAsia" w:ascii="宋体" w:hAnsi="宋体" w:eastAsia="宋体" w:cs="宋体"/>
                <w:color w:val="auto"/>
                <w:kern w:val="0"/>
                <w:sz w:val="24"/>
                <w:highlight w:val="none"/>
              </w:rPr>
            </w:pPr>
          </w:p>
        </w:tc>
        <w:tc>
          <w:tcPr>
            <w:tcW w:w="1151" w:type="dxa"/>
            <w:vMerge w:val="continue"/>
            <w:tcBorders>
              <w:bottom w:val="single" w:color="auto" w:sz="4" w:space="0"/>
            </w:tcBorders>
            <w:vAlign w:val="center"/>
          </w:tcPr>
          <w:p>
            <w:pPr>
              <w:rPr>
                <w:rFonts w:hint="eastAsia" w:ascii="宋体" w:hAnsi="宋体" w:eastAsia="宋体" w:cs="宋体"/>
                <w:color w:val="auto"/>
                <w:sz w:val="24"/>
                <w:highlight w:val="none"/>
                <w:lang w:val="zh-CN"/>
              </w:rPr>
            </w:pPr>
          </w:p>
        </w:tc>
        <w:tc>
          <w:tcPr>
            <w:tcW w:w="2333" w:type="dxa"/>
            <w:tcBorders>
              <w:bottom w:val="single" w:color="auto" w:sz="4" w:space="0"/>
            </w:tcBorders>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5906" w:type="dxa"/>
            <w:tcBorders>
              <w:bottom w:val="single" w:color="auto" w:sz="4" w:space="0"/>
            </w:tcBorders>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满足磋商文件相关</w:t>
            </w:r>
            <w:r>
              <w:rPr>
                <w:rFonts w:hint="eastAsia" w:ascii="宋体" w:hAnsi="宋体" w:eastAsia="宋体" w:cs="宋体"/>
                <w:color w:val="auto"/>
                <w:sz w:val="24"/>
                <w:highlight w:val="none"/>
                <w:lang w:val="zh-CN"/>
              </w:rPr>
              <w:t>规定。</w:t>
            </w:r>
          </w:p>
        </w:tc>
      </w:tr>
    </w:tbl>
    <w:p>
      <w:pPr>
        <w:rPr>
          <w:rFonts w:hint="eastAsia" w:ascii="宋体" w:hAnsi="宋体" w:eastAsia="宋体" w:cs="宋体"/>
          <w:color w:val="auto"/>
          <w:highlight w:val="none"/>
        </w:rPr>
      </w:pPr>
    </w:p>
    <w:p>
      <w:pPr>
        <w:rPr>
          <w:rFonts w:hint="eastAsia" w:ascii="宋体" w:hAnsi="宋体" w:eastAsia="宋体" w:cs="宋体"/>
          <w:b/>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注：以上评审内容，有一项不通过者，视为供应商</w:t>
      </w:r>
      <w:r>
        <w:rPr>
          <w:rFonts w:hint="eastAsia" w:ascii="宋体" w:hAnsi="宋体" w:eastAsia="宋体" w:cs="宋体"/>
          <w:b/>
          <w:color w:val="auto"/>
          <w:sz w:val="24"/>
          <w:szCs w:val="22"/>
          <w:highlight w:val="none"/>
        </w:rPr>
        <w:t>资格性审查、符合性审查</w:t>
      </w:r>
      <w:r>
        <w:rPr>
          <w:rFonts w:hint="eastAsia" w:ascii="宋体" w:hAnsi="宋体" w:eastAsia="宋体" w:cs="宋体"/>
          <w:b/>
          <w:color w:val="auto"/>
          <w:sz w:val="24"/>
          <w:highlight w:val="none"/>
        </w:rPr>
        <w:t>不通过，未通过</w:t>
      </w:r>
      <w:r>
        <w:rPr>
          <w:rFonts w:hint="eastAsia" w:ascii="宋体" w:hAnsi="宋体" w:eastAsia="宋体" w:cs="宋体"/>
          <w:b/>
          <w:color w:val="auto"/>
          <w:sz w:val="24"/>
          <w:szCs w:val="22"/>
          <w:highlight w:val="none"/>
        </w:rPr>
        <w:t>资格性审查、符合性审查</w:t>
      </w:r>
      <w:r>
        <w:rPr>
          <w:rFonts w:hint="eastAsia" w:ascii="宋体" w:hAnsi="宋体" w:eastAsia="宋体" w:cs="宋体"/>
          <w:b/>
          <w:color w:val="auto"/>
          <w:sz w:val="24"/>
          <w:highlight w:val="none"/>
        </w:rPr>
        <w:t>的其响应文件将按照无效响应处理。</w:t>
      </w:r>
    </w:p>
    <w:p>
      <w:pPr>
        <w:keepNext/>
        <w:keepLines/>
        <w:widowControl w:val="0"/>
        <w:numPr>
          <w:ilvl w:val="0"/>
          <w:numId w:val="0"/>
        </w:numPr>
        <w:wordWrap/>
        <w:adjustRightInd/>
        <w:snapToGrid/>
        <w:spacing w:line="416" w:lineRule="auto"/>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3、评分</w:t>
      </w:r>
    </w:p>
    <w:tbl>
      <w:tblPr>
        <w:tblStyle w:val="59"/>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2"/>
        <w:gridCol w:w="1091"/>
        <w:gridCol w:w="7688"/>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序号</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评分项</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评标标准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rPr>
        <w:tc>
          <w:tcPr>
            <w:tcW w:w="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最后报价</w:t>
            </w:r>
          </w:p>
        </w:tc>
        <w:tc>
          <w:tcPr>
            <w:tcW w:w="76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满足</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文件要求且最后报价所有供应商的最低价格为基准价，其价格分为满分,其他供应商的价格分按公式计算:报价得分=（</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基准价/</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报价）×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rPr>
              <w:t>%×100</w:t>
            </w:r>
            <w:r>
              <w:rPr>
                <w:rFonts w:hint="eastAsia" w:ascii="宋体" w:hAnsi="宋体" w:eastAsia="宋体" w:cs="宋体"/>
                <w:b/>
                <w:bCs/>
                <w:color w:val="auto"/>
                <w:kern w:val="0"/>
                <w:sz w:val="24"/>
                <w:szCs w:val="24"/>
              </w:rPr>
              <w:t>。</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highlight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10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履约能力</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供应商需提供自20</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年1月1日</w:t>
            </w:r>
            <w:r>
              <w:rPr>
                <w:rFonts w:hint="eastAsia" w:ascii="宋体" w:hAnsi="宋体" w:eastAsia="宋体" w:cs="宋体"/>
                <w:color w:val="auto"/>
                <w:kern w:val="0"/>
                <w:sz w:val="24"/>
                <w:szCs w:val="24"/>
                <w:lang w:eastAsia="zh-CN"/>
              </w:rPr>
              <w:t>起</w:t>
            </w:r>
            <w:r>
              <w:rPr>
                <w:rFonts w:hint="eastAsia" w:ascii="宋体" w:hAnsi="宋体" w:eastAsia="宋体" w:cs="宋体"/>
                <w:color w:val="auto"/>
                <w:kern w:val="0"/>
                <w:sz w:val="24"/>
                <w:szCs w:val="24"/>
              </w:rPr>
              <w:t>至今内</w:t>
            </w:r>
            <w:r>
              <w:rPr>
                <w:rFonts w:hint="eastAsia" w:ascii="宋体" w:hAnsi="宋体" w:eastAsia="宋体" w:cs="宋体"/>
                <w:color w:val="auto"/>
                <w:kern w:val="0"/>
                <w:sz w:val="24"/>
                <w:szCs w:val="24"/>
                <w:lang w:eastAsia="zh-CN"/>
              </w:rPr>
              <w:t>完成同类</w:t>
            </w:r>
            <w:r>
              <w:rPr>
                <w:rFonts w:hint="eastAsia" w:ascii="宋体" w:hAnsi="宋体" w:eastAsia="宋体" w:cs="宋体"/>
                <w:color w:val="auto"/>
                <w:kern w:val="0"/>
                <w:sz w:val="24"/>
                <w:szCs w:val="24"/>
              </w:rPr>
              <w:t>项目业绩（附相关证明材料并加盖公章）每项</w:t>
            </w:r>
            <w:r>
              <w:rPr>
                <w:rFonts w:hint="eastAsia" w:ascii="宋体" w:hAnsi="宋体" w:eastAsia="宋体" w:cs="宋体"/>
                <w:color w:val="auto"/>
                <w:kern w:val="0"/>
                <w:sz w:val="24"/>
                <w:szCs w:val="24"/>
                <w:lang w:eastAsia="zh-CN"/>
              </w:rPr>
              <w:t>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分，最多得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分，无证明材料得0分。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5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0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7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供应商每提供1个同类项目售后反馈意见得</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分，最多得</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分，无用户反馈意见或者反馈意见不良的不得分（附相关证明材料加盖供应商公章）。</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10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p>
        </w:tc>
        <w:tc>
          <w:tcPr>
            <w:tcW w:w="7688"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供应商为代理商、经销商的，提供针对本项目所投产品</w:t>
            </w:r>
            <w:r>
              <w:rPr>
                <w:rFonts w:hint="eastAsia" w:ascii="宋体" w:hAnsi="宋体" w:eastAsia="宋体" w:cs="宋体"/>
                <w:color w:val="auto"/>
                <w:kern w:val="0"/>
                <w:sz w:val="24"/>
                <w:szCs w:val="24"/>
                <w:lang w:eastAsia="zh-CN"/>
              </w:rPr>
              <w:t>提供</w:t>
            </w:r>
            <w:r>
              <w:rPr>
                <w:rFonts w:hint="eastAsia" w:ascii="宋体" w:hAnsi="宋体" w:eastAsia="宋体" w:cs="宋体"/>
                <w:color w:val="auto"/>
                <w:kern w:val="0"/>
                <w:sz w:val="24"/>
                <w:szCs w:val="24"/>
              </w:rPr>
              <w:t>制造商出具的有效期内的产品授权书和售后服务承诺的得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分（提供证明材料复印件加盖公章）</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未提供不得分。</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53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p>
        </w:tc>
        <w:tc>
          <w:tcPr>
            <w:tcW w:w="109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技术指标与参数</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供应商针对本项目所投产品技术指标和参数均能满足采购需求相关要求的得</w:t>
            </w:r>
            <w:r>
              <w:rPr>
                <w:rFonts w:hint="eastAsia" w:ascii="宋体" w:hAnsi="宋体" w:eastAsia="宋体" w:cs="宋体"/>
                <w:color w:val="auto"/>
                <w:kern w:val="0"/>
                <w:sz w:val="24"/>
                <w:szCs w:val="24"/>
                <w:lang w:val="en-US" w:eastAsia="zh-CN"/>
              </w:rPr>
              <w:t>15分，以此为基准，供应商所投产品技术参数较于</w:t>
            </w:r>
            <w:r>
              <w:rPr>
                <w:rFonts w:hint="eastAsia" w:ascii="宋体" w:hAnsi="宋体" w:eastAsia="宋体" w:cs="宋体"/>
                <w:color w:val="auto"/>
                <w:kern w:val="0"/>
                <w:sz w:val="24"/>
                <w:szCs w:val="24"/>
              </w:rPr>
              <w:t>采购</w:t>
            </w:r>
            <w:r>
              <w:rPr>
                <w:rFonts w:hint="eastAsia" w:ascii="宋体" w:hAnsi="宋体" w:eastAsia="宋体" w:cs="宋体"/>
                <w:color w:val="auto"/>
                <w:kern w:val="0"/>
                <w:sz w:val="24"/>
                <w:szCs w:val="24"/>
                <w:lang w:eastAsia="zh-CN"/>
              </w:rPr>
              <w:t>需求</w:t>
            </w:r>
            <w:r>
              <w:rPr>
                <w:rFonts w:hint="eastAsia" w:ascii="宋体" w:hAnsi="宋体" w:eastAsia="宋体" w:cs="宋体"/>
                <w:color w:val="auto"/>
                <w:kern w:val="0"/>
                <w:sz w:val="24"/>
                <w:szCs w:val="24"/>
              </w:rPr>
              <w:t>中技术指标参数每</w:t>
            </w:r>
            <w:r>
              <w:rPr>
                <w:rFonts w:hint="eastAsia" w:ascii="宋体" w:hAnsi="宋体" w:eastAsia="宋体" w:cs="宋体"/>
                <w:color w:val="auto"/>
                <w:kern w:val="0"/>
                <w:sz w:val="24"/>
                <w:szCs w:val="24"/>
                <w:lang w:eastAsia="zh-CN"/>
              </w:rPr>
              <w:t>有</w:t>
            </w:r>
            <w:r>
              <w:rPr>
                <w:rFonts w:hint="eastAsia" w:ascii="宋体" w:hAnsi="宋体" w:eastAsia="宋体" w:cs="宋体"/>
                <w:color w:val="auto"/>
                <w:kern w:val="0"/>
                <w:sz w:val="24"/>
                <w:szCs w:val="24"/>
                <w:lang w:val="en-US" w:eastAsia="zh-CN"/>
              </w:rPr>
              <w:t>1项正偏离的</w:t>
            </w:r>
            <w:r>
              <w:rPr>
                <w:rFonts w:hint="eastAsia" w:ascii="宋体" w:hAnsi="宋体" w:eastAsia="宋体" w:cs="宋体"/>
                <w:color w:val="auto"/>
                <w:kern w:val="0"/>
                <w:sz w:val="24"/>
                <w:szCs w:val="24"/>
                <w:lang w:eastAsia="zh-CN"/>
              </w:rPr>
              <w:t>加</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分，最高</w:t>
            </w:r>
            <w:r>
              <w:rPr>
                <w:rFonts w:hint="eastAsia" w:ascii="宋体" w:hAnsi="宋体" w:eastAsia="宋体" w:cs="宋体"/>
                <w:color w:val="auto"/>
                <w:kern w:val="0"/>
                <w:sz w:val="24"/>
                <w:szCs w:val="24"/>
                <w:lang w:val="en-US" w:eastAsia="zh-CN"/>
              </w:rPr>
              <w:t>加</w:t>
            </w: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每有一项负偏离</w:t>
            </w:r>
            <w:r>
              <w:rPr>
                <w:rFonts w:hint="eastAsia" w:ascii="宋体" w:hAnsi="宋体" w:eastAsia="宋体" w:cs="宋体"/>
                <w:color w:val="auto"/>
                <w:kern w:val="0"/>
                <w:sz w:val="24"/>
                <w:szCs w:val="24"/>
                <w:lang w:eastAsia="zh-CN"/>
              </w:rPr>
              <w:t>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扣完为止</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扣分在加分后进行。</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2</w:t>
            </w:r>
            <w:r>
              <w:rPr>
                <w:rFonts w:hint="eastAsia" w:ascii="宋体" w:hAnsi="宋体" w:cs="宋体"/>
                <w:color w:val="auto"/>
                <w:kern w:val="0"/>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w:t>
            </w:r>
          </w:p>
        </w:tc>
        <w:tc>
          <w:tcPr>
            <w:tcW w:w="10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安装、调试、验收方案及</w:t>
            </w:r>
            <w:r>
              <w:rPr>
                <w:rFonts w:hint="eastAsia" w:ascii="宋体" w:hAnsi="宋体" w:cs="宋体"/>
                <w:color w:val="auto"/>
                <w:kern w:val="0"/>
                <w:sz w:val="24"/>
                <w:szCs w:val="24"/>
                <w:lang w:eastAsia="zh-CN"/>
              </w:rPr>
              <w:t>保障</w:t>
            </w:r>
            <w:r>
              <w:rPr>
                <w:rFonts w:hint="eastAsia" w:ascii="宋体" w:hAnsi="宋体" w:eastAsia="宋体" w:cs="宋体"/>
                <w:color w:val="auto"/>
                <w:kern w:val="0"/>
                <w:sz w:val="24"/>
                <w:szCs w:val="24"/>
              </w:rPr>
              <w:t>措施</w:t>
            </w:r>
          </w:p>
        </w:tc>
        <w:tc>
          <w:tcPr>
            <w:tcW w:w="76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根据供应商制定的项目实施方案，方案应包括但不限于相关</w:t>
            </w:r>
            <w:r>
              <w:rPr>
                <w:rFonts w:hint="eastAsia" w:ascii="宋体" w:hAnsi="宋体" w:eastAsia="宋体" w:cs="宋体"/>
                <w:color w:val="auto"/>
                <w:kern w:val="0"/>
                <w:sz w:val="24"/>
                <w:szCs w:val="24"/>
                <w:lang w:eastAsia="zh-CN"/>
              </w:rPr>
              <w:t>货物供应计划</w:t>
            </w:r>
            <w:r>
              <w:rPr>
                <w:rFonts w:hint="eastAsia" w:ascii="宋体" w:hAnsi="宋体" w:eastAsia="宋体" w:cs="宋体"/>
                <w:color w:val="auto"/>
                <w:kern w:val="0"/>
                <w:sz w:val="24"/>
                <w:szCs w:val="24"/>
              </w:rPr>
              <w:t>、组织管理措施、工作进度计划、安装及调试方案，根据方案的科学性、合理性、规范性、可行性等进行评比，较优得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分，一般得1-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分，不提供不得分。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p>
        </w:tc>
        <w:tc>
          <w:tcPr>
            <w:tcW w:w="10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rPr>
            </w:pPr>
          </w:p>
        </w:tc>
        <w:tc>
          <w:tcPr>
            <w:tcW w:w="76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服务体系：供应商配备工程师、安装技师、维修人员、服务人员等人员实施安装及售后服务，附相关人员基本信息、岗位证书等复印件加盖公章，根据提供人员数量及综合能力进行综合评审，配备人数最多、综合水平较高的得</w:t>
            </w:r>
            <w:r>
              <w:rPr>
                <w:rFonts w:hint="eastAsia" w:ascii="宋体" w:hAnsi="宋体" w:eastAsia="宋体" w:cs="宋体"/>
                <w:color w:val="auto"/>
                <w:kern w:val="0"/>
                <w:sz w:val="24"/>
                <w:szCs w:val="24"/>
                <w:lang w:val="en-US" w:eastAsia="zh-CN"/>
              </w:rPr>
              <w:t>3-5分，一般的得1-2分。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售后服务承诺</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1、在产品正常质保期外所投产品每增加1年加1分，提供质保承诺书（须单独列明，格式自拟），满分3分，不提供不得分。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2、供应商提供该项目实施过程中计划参与售后的特种设备安全管理人员、检测人员和作业人员名单及联系电话，提供人员名单≥5人，得5分</w:t>
            </w:r>
            <w:r>
              <w:rPr>
                <w:rFonts w:hint="eastAsia" w:ascii="宋体" w:hAnsi="宋体" w:eastAsia="宋体" w:cs="宋体"/>
                <w:color w:val="auto"/>
                <w:kern w:val="0"/>
                <w:sz w:val="24"/>
                <w:szCs w:val="24"/>
                <w:highlight w:val="none"/>
                <w:lang w:val="en-US" w:eastAsia="zh-CN"/>
              </w:rPr>
              <w:t>（需提供能够胜任电梯修理和维护保养工作的证明材料，不提供证明材料不得分）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3、对设备运行使用情况进行维护保养，1年不少于24次（1分），增加1次加0.2分，本项最多得2分；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4、定期检测1年1次（1分），每年增加1次加1分（本项最多得2分）；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5、质保期内，若发生故障，需免费提供合格原厂备品备件进行维修（2分）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6、质保期外，提供与所投产品相关详细的备品备件清单，对发生故障进行维修，具体内容包括名称、数量、功能、价格等（1分）。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（备注：备品备件与所投产品不匹配不予得分）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应急措施</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投标供应商对所投设备要有合理的紧急故障维修预案，内容全面、措施完善，解决故障、维修支持响应时间快，能够很好的满足用户实际使用要求，有突出的售后服务优势；</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5分钟内电话响应，0.5小时内到场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10分钟内电话响应，1小时内到场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15分钟内电话响应，2小时内到场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；得1分。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yellow"/>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产品培训</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供应商能保证用户单位完全掌握材料正常使用和基础维护，有完整的培训计划，优惠条件好，各供应商产品培训计划承诺横向比较，内容全面完整得</w:t>
            </w:r>
            <w:r>
              <w:rPr>
                <w:rFonts w:hint="eastAsia" w:ascii="宋体" w:hAnsi="宋体" w:eastAsia="宋体" w:cs="宋体"/>
                <w:color w:val="auto"/>
                <w:kern w:val="0"/>
                <w:sz w:val="24"/>
                <w:szCs w:val="24"/>
                <w:lang w:val="en-US" w:eastAsia="zh-CN"/>
              </w:rPr>
              <w:t>3-5</w:t>
            </w:r>
            <w:r>
              <w:rPr>
                <w:rFonts w:hint="eastAsia" w:ascii="宋体" w:hAnsi="宋体" w:eastAsia="宋体" w:cs="宋体"/>
                <w:color w:val="auto"/>
                <w:kern w:val="0"/>
                <w:sz w:val="24"/>
                <w:szCs w:val="24"/>
              </w:rPr>
              <w:t>分，其次得</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rPr>
              <w:t>分，其余不得分。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0-</w:t>
            </w:r>
            <w:r>
              <w:rPr>
                <w:rFonts w:hint="eastAsia" w:ascii="宋体" w:hAnsi="宋体" w:eastAsia="宋体" w:cs="宋体"/>
                <w:color w:val="auto"/>
                <w:kern w:val="0"/>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9311"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得分合计</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rPr>
              <w:t>100</w:t>
            </w:r>
          </w:p>
        </w:tc>
      </w:tr>
    </w:tbl>
    <w:p>
      <w:pPr>
        <w:spacing w:line="360" w:lineRule="auto"/>
        <w:ind w:firstLine="422" w:firstLineChars="175"/>
        <w:jc w:val="left"/>
        <w:rPr>
          <w:rFonts w:hint="eastAsia" w:ascii="宋体" w:hAnsi="宋体" w:eastAsia="宋体" w:cs="宋体"/>
          <w:b/>
          <w:color w:val="auto"/>
          <w:sz w:val="24"/>
          <w:highlight w:val="none"/>
        </w:rPr>
      </w:pP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关于中小企业：</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在政府采购活动中，供应商提供的货物、工程或者服务符合下列情形的，享受本办法(</w:t>
      </w:r>
      <w:r>
        <w:rPr>
          <w:rFonts w:hint="eastAsia" w:ascii="宋体" w:hAnsi="宋体" w:eastAsia="宋体" w:cs="宋体"/>
          <w:color w:val="auto"/>
          <w:sz w:val="24"/>
          <w:highlight w:val="none"/>
        </w:rPr>
        <w:t>《财政部 工业和信息化部关于印发&lt;政府采购促进中小企业发展管理办法&gt;的通知》（财库〔2020〕46号）</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规定的中小企业扶持政策：</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（一）在货物采购项目中，货物由中小企业制造，即货物由中小企业生产且使用该中小企业商号或者注册商标；</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（二）在工程采购项目中，工程由中小企业承建，即工程施工单位为中小企业；</w:t>
      </w:r>
    </w:p>
    <w:p>
      <w:pPr>
        <w:tabs>
          <w:tab w:val="left" w:pos="6387"/>
        </w:tabs>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（三）在服务采购项目中，服务由中小企业承接，即提供服务的人员为中小企业依照《中华人民共和国劳动合同法》订立劳动合同的从业人员。</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在货物采购项目中，供应商提供的货物既有中小企业制造货物，也有大型企业制造货物的，不享受本办法规定的中小企业扶持政策。</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中小企业划型标准详见《工业和信息化部、国家统计局、国家发展和改革委员会、财政部关于印发中小企业划型标准规定的通知》（工信部联企业〔2011〕300号）。</w:t>
      </w:r>
    </w:p>
    <w:p>
      <w:pPr>
        <w:rPr>
          <w:rFonts w:hint="eastAsia" w:ascii="宋体" w:hAnsi="宋体" w:eastAsia="宋体" w:cs="宋体"/>
          <w:color w:val="auto"/>
          <w:sz w:val="32"/>
          <w:szCs w:val="32"/>
          <w:highlight w:val="none"/>
        </w:rPr>
      </w:pPr>
    </w:p>
    <w:p>
      <w:pPr>
        <w:rPr>
          <w:rFonts w:hint="eastAsia" w:ascii="宋体" w:hAnsi="宋体" w:eastAsia="宋体" w:cs="宋体"/>
          <w:color w:val="auto"/>
          <w:kern w:val="0"/>
          <w:szCs w:val="21"/>
          <w:highlight w:val="none"/>
        </w:rPr>
      </w:pPr>
    </w:p>
    <w:sectPr>
      <w:headerReference r:id="rId8" w:type="first"/>
      <w:footerReference r:id="rId11" w:type="first"/>
      <w:headerReference r:id="rId7" w:type="default"/>
      <w:footerReference r:id="rId9" w:type="default"/>
      <w:footerReference r:id="rId10" w:type="even"/>
      <w:pgSz w:w="11905" w:h="16838"/>
      <w:pgMar w:top="1440" w:right="1080" w:bottom="1440" w:left="1080"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Angsana New">
    <w:panose1 w:val="020206030504050203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仿宋体">
    <w:altName w:val="新宋体"/>
    <w:panose1 w:val="00000000000000000000"/>
    <w:charset w:val="86"/>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separate"/>
    </w:r>
    <w:r>
      <w:rPr>
        <w:rStyle w:val="64"/>
      </w:rPr>
      <w:t>40</w: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宋体" w:cs="Times New Roman"/>
        <w:kern w:val="0"/>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9E6CF"/>
    <w:multiLevelType w:val="singleLevel"/>
    <w:tmpl w:val="11E9E6CF"/>
    <w:lvl w:ilvl="0" w:tentative="0">
      <w:start w:val="1"/>
      <w:numFmt w:val="decimal"/>
      <w:lvlText w:val="(%1)"/>
      <w:lvlJc w:val="left"/>
      <w:pPr>
        <w:ind w:left="425" w:hanging="425"/>
      </w:pPr>
      <w:rPr>
        <w:rFonts w:hint="default"/>
      </w:rPr>
    </w:lvl>
  </w:abstractNum>
  <w:abstractNum w:abstractNumId="1">
    <w:nsid w:val="5A214F4A"/>
    <w:multiLevelType w:val="singleLevel"/>
    <w:tmpl w:val="5A214F4A"/>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kxNGY1ZmY5ZTVmNWVjMTU2NDhiYmZhOTg3N2I5MGMifQ=="/>
  </w:docVars>
  <w:rsids>
    <w:rsidRoot w:val="00583F61"/>
    <w:rsid w:val="00002525"/>
    <w:rsid w:val="0000262F"/>
    <w:rsid w:val="00003660"/>
    <w:rsid w:val="00003DE5"/>
    <w:rsid w:val="000042D0"/>
    <w:rsid w:val="00004FCD"/>
    <w:rsid w:val="000060DE"/>
    <w:rsid w:val="00006A5C"/>
    <w:rsid w:val="00006B79"/>
    <w:rsid w:val="000102F5"/>
    <w:rsid w:val="000113A5"/>
    <w:rsid w:val="00020451"/>
    <w:rsid w:val="00020981"/>
    <w:rsid w:val="00021217"/>
    <w:rsid w:val="000216B7"/>
    <w:rsid w:val="000220E8"/>
    <w:rsid w:val="000228B6"/>
    <w:rsid w:val="000272BA"/>
    <w:rsid w:val="00027C77"/>
    <w:rsid w:val="00030AC6"/>
    <w:rsid w:val="000319D4"/>
    <w:rsid w:val="000326C7"/>
    <w:rsid w:val="00033CF5"/>
    <w:rsid w:val="00035EA9"/>
    <w:rsid w:val="00036722"/>
    <w:rsid w:val="00037F8C"/>
    <w:rsid w:val="00040698"/>
    <w:rsid w:val="00040E70"/>
    <w:rsid w:val="0004120F"/>
    <w:rsid w:val="00050C06"/>
    <w:rsid w:val="00057DCF"/>
    <w:rsid w:val="000603EF"/>
    <w:rsid w:val="00067701"/>
    <w:rsid w:val="00070133"/>
    <w:rsid w:val="00071648"/>
    <w:rsid w:val="0007185B"/>
    <w:rsid w:val="00071BE9"/>
    <w:rsid w:val="00072290"/>
    <w:rsid w:val="00073ABF"/>
    <w:rsid w:val="00076890"/>
    <w:rsid w:val="00082D10"/>
    <w:rsid w:val="00087EBA"/>
    <w:rsid w:val="0009267C"/>
    <w:rsid w:val="000A07FC"/>
    <w:rsid w:val="000A295D"/>
    <w:rsid w:val="000B0BD7"/>
    <w:rsid w:val="000B5574"/>
    <w:rsid w:val="000B5C17"/>
    <w:rsid w:val="000B6BEB"/>
    <w:rsid w:val="000B7050"/>
    <w:rsid w:val="000C06A2"/>
    <w:rsid w:val="000C6152"/>
    <w:rsid w:val="000C6FB8"/>
    <w:rsid w:val="000D2E74"/>
    <w:rsid w:val="000D5E5E"/>
    <w:rsid w:val="000D778C"/>
    <w:rsid w:val="000E2DCC"/>
    <w:rsid w:val="000E6B38"/>
    <w:rsid w:val="000E72BD"/>
    <w:rsid w:val="000F0D13"/>
    <w:rsid w:val="000F1C67"/>
    <w:rsid w:val="000F2BF1"/>
    <w:rsid w:val="001000E4"/>
    <w:rsid w:val="0010149F"/>
    <w:rsid w:val="00102FDB"/>
    <w:rsid w:val="00103108"/>
    <w:rsid w:val="00103B3F"/>
    <w:rsid w:val="00110F6E"/>
    <w:rsid w:val="00112A68"/>
    <w:rsid w:val="00113A82"/>
    <w:rsid w:val="00114A98"/>
    <w:rsid w:val="001151E1"/>
    <w:rsid w:val="0011570C"/>
    <w:rsid w:val="00115AEE"/>
    <w:rsid w:val="00116415"/>
    <w:rsid w:val="00116C10"/>
    <w:rsid w:val="00121D0F"/>
    <w:rsid w:val="001221DF"/>
    <w:rsid w:val="0012239A"/>
    <w:rsid w:val="001235E7"/>
    <w:rsid w:val="00132588"/>
    <w:rsid w:val="00133646"/>
    <w:rsid w:val="0013387F"/>
    <w:rsid w:val="00133FDC"/>
    <w:rsid w:val="0013470C"/>
    <w:rsid w:val="00135A5C"/>
    <w:rsid w:val="00137B3E"/>
    <w:rsid w:val="00143377"/>
    <w:rsid w:val="001473D1"/>
    <w:rsid w:val="00153701"/>
    <w:rsid w:val="00154E89"/>
    <w:rsid w:val="0015550A"/>
    <w:rsid w:val="00155A57"/>
    <w:rsid w:val="0015767E"/>
    <w:rsid w:val="00157EEC"/>
    <w:rsid w:val="001611E4"/>
    <w:rsid w:val="00161F68"/>
    <w:rsid w:val="00163081"/>
    <w:rsid w:val="00163B52"/>
    <w:rsid w:val="00163F34"/>
    <w:rsid w:val="00164445"/>
    <w:rsid w:val="00164F48"/>
    <w:rsid w:val="001765A4"/>
    <w:rsid w:val="00176EBF"/>
    <w:rsid w:val="00181429"/>
    <w:rsid w:val="001818B1"/>
    <w:rsid w:val="00181957"/>
    <w:rsid w:val="0018380E"/>
    <w:rsid w:val="00197309"/>
    <w:rsid w:val="00197DF7"/>
    <w:rsid w:val="001A1384"/>
    <w:rsid w:val="001A4E09"/>
    <w:rsid w:val="001A5149"/>
    <w:rsid w:val="001A6641"/>
    <w:rsid w:val="001A6827"/>
    <w:rsid w:val="001A72F4"/>
    <w:rsid w:val="001B0206"/>
    <w:rsid w:val="001B07AB"/>
    <w:rsid w:val="001B372B"/>
    <w:rsid w:val="001B3823"/>
    <w:rsid w:val="001B5BEB"/>
    <w:rsid w:val="001B691F"/>
    <w:rsid w:val="001C1DE8"/>
    <w:rsid w:val="001D2310"/>
    <w:rsid w:val="001D6909"/>
    <w:rsid w:val="001D6AA4"/>
    <w:rsid w:val="001E13FB"/>
    <w:rsid w:val="001E26CD"/>
    <w:rsid w:val="001F0B2F"/>
    <w:rsid w:val="001F1398"/>
    <w:rsid w:val="001F1DE5"/>
    <w:rsid w:val="001F2230"/>
    <w:rsid w:val="001F2EBF"/>
    <w:rsid w:val="001F376D"/>
    <w:rsid w:val="001F4D4F"/>
    <w:rsid w:val="001F649C"/>
    <w:rsid w:val="002012F9"/>
    <w:rsid w:val="00201C4D"/>
    <w:rsid w:val="00202CBC"/>
    <w:rsid w:val="00203DBE"/>
    <w:rsid w:val="00203F5A"/>
    <w:rsid w:val="00205DAA"/>
    <w:rsid w:val="002060B0"/>
    <w:rsid w:val="00207E29"/>
    <w:rsid w:val="0021045A"/>
    <w:rsid w:val="00212FA6"/>
    <w:rsid w:val="002178B9"/>
    <w:rsid w:val="00220BB4"/>
    <w:rsid w:val="00220CB1"/>
    <w:rsid w:val="00222A6A"/>
    <w:rsid w:val="002250CA"/>
    <w:rsid w:val="002327FC"/>
    <w:rsid w:val="002345B9"/>
    <w:rsid w:val="002407A5"/>
    <w:rsid w:val="00243DB8"/>
    <w:rsid w:val="002452DA"/>
    <w:rsid w:val="002507CD"/>
    <w:rsid w:val="002508B3"/>
    <w:rsid w:val="00253CFC"/>
    <w:rsid w:val="002552C0"/>
    <w:rsid w:val="002609A3"/>
    <w:rsid w:val="00263DBA"/>
    <w:rsid w:val="00266A59"/>
    <w:rsid w:val="00271082"/>
    <w:rsid w:val="0027243E"/>
    <w:rsid w:val="00276348"/>
    <w:rsid w:val="002777F3"/>
    <w:rsid w:val="00277E42"/>
    <w:rsid w:val="00280AAB"/>
    <w:rsid w:val="00282662"/>
    <w:rsid w:val="002846FD"/>
    <w:rsid w:val="00286D80"/>
    <w:rsid w:val="00287C36"/>
    <w:rsid w:val="002908ED"/>
    <w:rsid w:val="002972D2"/>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3951"/>
    <w:rsid w:val="002D5C6D"/>
    <w:rsid w:val="002D7EC2"/>
    <w:rsid w:val="002E05D1"/>
    <w:rsid w:val="002E13FF"/>
    <w:rsid w:val="002E69CB"/>
    <w:rsid w:val="002F344E"/>
    <w:rsid w:val="002F5114"/>
    <w:rsid w:val="00300A9F"/>
    <w:rsid w:val="0030126A"/>
    <w:rsid w:val="00301DF6"/>
    <w:rsid w:val="00304ED3"/>
    <w:rsid w:val="00304F25"/>
    <w:rsid w:val="0030631F"/>
    <w:rsid w:val="00306FEB"/>
    <w:rsid w:val="00311796"/>
    <w:rsid w:val="00311A9F"/>
    <w:rsid w:val="0031285E"/>
    <w:rsid w:val="00312BB2"/>
    <w:rsid w:val="00313303"/>
    <w:rsid w:val="003136E9"/>
    <w:rsid w:val="00313D5A"/>
    <w:rsid w:val="003141CE"/>
    <w:rsid w:val="00314E54"/>
    <w:rsid w:val="003208C7"/>
    <w:rsid w:val="00322E03"/>
    <w:rsid w:val="003247DF"/>
    <w:rsid w:val="0033395A"/>
    <w:rsid w:val="00334DC8"/>
    <w:rsid w:val="003365D5"/>
    <w:rsid w:val="00340214"/>
    <w:rsid w:val="00341B42"/>
    <w:rsid w:val="00343B48"/>
    <w:rsid w:val="00346785"/>
    <w:rsid w:val="00355A5D"/>
    <w:rsid w:val="00356269"/>
    <w:rsid w:val="003579E7"/>
    <w:rsid w:val="00363ECB"/>
    <w:rsid w:val="00366A5D"/>
    <w:rsid w:val="00371697"/>
    <w:rsid w:val="003730EC"/>
    <w:rsid w:val="003733CE"/>
    <w:rsid w:val="00377196"/>
    <w:rsid w:val="00377FDA"/>
    <w:rsid w:val="00380949"/>
    <w:rsid w:val="00380A1F"/>
    <w:rsid w:val="00381FDF"/>
    <w:rsid w:val="00387D6B"/>
    <w:rsid w:val="00387EFD"/>
    <w:rsid w:val="00391EE9"/>
    <w:rsid w:val="003A0C65"/>
    <w:rsid w:val="003A3ECC"/>
    <w:rsid w:val="003A677D"/>
    <w:rsid w:val="003C0AEC"/>
    <w:rsid w:val="003C2AF2"/>
    <w:rsid w:val="003C5797"/>
    <w:rsid w:val="003C713B"/>
    <w:rsid w:val="003C7C5D"/>
    <w:rsid w:val="003D35DA"/>
    <w:rsid w:val="003D76A8"/>
    <w:rsid w:val="003E303C"/>
    <w:rsid w:val="003E34A7"/>
    <w:rsid w:val="003E575C"/>
    <w:rsid w:val="003E72B5"/>
    <w:rsid w:val="003E7E27"/>
    <w:rsid w:val="003F6838"/>
    <w:rsid w:val="00403FA9"/>
    <w:rsid w:val="00415861"/>
    <w:rsid w:val="00416565"/>
    <w:rsid w:val="00416D4C"/>
    <w:rsid w:val="004203AD"/>
    <w:rsid w:val="00420F1C"/>
    <w:rsid w:val="004218AD"/>
    <w:rsid w:val="0042709B"/>
    <w:rsid w:val="00427C96"/>
    <w:rsid w:val="00431877"/>
    <w:rsid w:val="0043215A"/>
    <w:rsid w:val="0043289D"/>
    <w:rsid w:val="00436246"/>
    <w:rsid w:val="00443273"/>
    <w:rsid w:val="004436CF"/>
    <w:rsid w:val="004441F0"/>
    <w:rsid w:val="004451E5"/>
    <w:rsid w:val="00445982"/>
    <w:rsid w:val="00451BD3"/>
    <w:rsid w:val="0045242E"/>
    <w:rsid w:val="004528A7"/>
    <w:rsid w:val="00457A43"/>
    <w:rsid w:val="00457EBE"/>
    <w:rsid w:val="004619E4"/>
    <w:rsid w:val="00464E16"/>
    <w:rsid w:val="00470803"/>
    <w:rsid w:val="004719BA"/>
    <w:rsid w:val="00472616"/>
    <w:rsid w:val="00472DEC"/>
    <w:rsid w:val="0047433B"/>
    <w:rsid w:val="00475E8C"/>
    <w:rsid w:val="004765E3"/>
    <w:rsid w:val="004835EE"/>
    <w:rsid w:val="00483659"/>
    <w:rsid w:val="0048561B"/>
    <w:rsid w:val="00485756"/>
    <w:rsid w:val="00486508"/>
    <w:rsid w:val="0048713A"/>
    <w:rsid w:val="00491D61"/>
    <w:rsid w:val="00492FA2"/>
    <w:rsid w:val="004A41E4"/>
    <w:rsid w:val="004A4965"/>
    <w:rsid w:val="004A5647"/>
    <w:rsid w:val="004A58E9"/>
    <w:rsid w:val="004B2C99"/>
    <w:rsid w:val="004B4664"/>
    <w:rsid w:val="004B4709"/>
    <w:rsid w:val="004B4F2E"/>
    <w:rsid w:val="004B4F39"/>
    <w:rsid w:val="004B5C25"/>
    <w:rsid w:val="004C53F7"/>
    <w:rsid w:val="004C6312"/>
    <w:rsid w:val="004C7C28"/>
    <w:rsid w:val="004D123C"/>
    <w:rsid w:val="004D2D35"/>
    <w:rsid w:val="004D346A"/>
    <w:rsid w:val="004D3AD2"/>
    <w:rsid w:val="004D7C1C"/>
    <w:rsid w:val="004D7DA1"/>
    <w:rsid w:val="004E2B56"/>
    <w:rsid w:val="004E4D39"/>
    <w:rsid w:val="004E5930"/>
    <w:rsid w:val="004E5F55"/>
    <w:rsid w:val="004E746F"/>
    <w:rsid w:val="004E7AD2"/>
    <w:rsid w:val="004F0413"/>
    <w:rsid w:val="004F1CD9"/>
    <w:rsid w:val="004F32F1"/>
    <w:rsid w:val="004F4FF4"/>
    <w:rsid w:val="004F7392"/>
    <w:rsid w:val="004F7B2F"/>
    <w:rsid w:val="00500E75"/>
    <w:rsid w:val="00502E7D"/>
    <w:rsid w:val="0050529B"/>
    <w:rsid w:val="005143A3"/>
    <w:rsid w:val="00516147"/>
    <w:rsid w:val="005163A6"/>
    <w:rsid w:val="00516BD7"/>
    <w:rsid w:val="00520D7F"/>
    <w:rsid w:val="00521BDB"/>
    <w:rsid w:val="0052310A"/>
    <w:rsid w:val="00526815"/>
    <w:rsid w:val="0053110E"/>
    <w:rsid w:val="0053350A"/>
    <w:rsid w:val="0053424B"/>
    <w:rsid w:val="00535F25"/>
    <w:rsid w:val="0053655B"/>
    <w:rsid w:val="00541B8B"/>
    <w:rsid w:val="0054371E"/>
    <w:rsid w:val="00547CCF"/>
    <w:rsid w:val="00555999"/>
    <w:rsid w:val="00556447"/>
    <w:rsid w:val="00556A53"/>
    <w:rsid w:val="005636DF"/>
    <w:rsid w:val="00564D9F"/>
    <w:rsid w:val="0056537E"/>
    <w:rsid w:val="00571EDF"/>
    <w:rsid w:val="00573F48"/>
    <w:rsid w:val="00581988"/>
    <w:rsid w:val="0058202B"/>
    <w:rsid w:val="00583B07"/>
    <w:rsid w:val="00583F61"/>
    <w:rsid w:val="00584A04"/>
    <w:rsid w:val="00585013"/>
    <w:rsid w:val="00586860"/>
    <w:rsid w:val="00586986"/>
    <w:rsid w:val="005870F8"/>
    <w:rsid w:val="005877EF"/>
    <w:rsid w:val="005901B9"/>
    <w:rsid w:val="00590215"/>
    <w:rsid w:val="0059033F"/>
    <w:rsid w:val="00593B21"/>
    <w:rsid w:val="005958CC"/>
    <w:rsid w:val="005A1062"/>
    <w:rsid w:val="005A136C"/>
    <w:rsid w:val="005A1F6A"/>
    <w:rsid w:val="005A2355"/>
    <w:rsid w:val="005A252A"/>
    <w:rsid w:val="005A2D97"/>
    <w:rsid w:val="005A3EB3"/>
    <w:rsid w:val="005A7E43"/>
    <w:rsid w:val="005B6DA5"/>
    <w:rsid w:val="005C17CE"/>
    <w:rsid w:val="005C2ADF"/>
    <w:rsid w:val="005C3BCB"/>
    <w:rsid w:val="005C407E"/>
    <w:rsid w:val="005C657A"/>
    <w:rsid w:val="005C660B"/>
    <w:rsid w:val="005C6B2D"/>
    <w:rsid w:val="005C7074"/>
    <w:rsid w:val="005D0C67"/>
    <w:rsid w:val="005D18C2"/>
    <w:rsid w:val="005D37BC"/>
    <w:rsid w:val="005D429C"/>
    <w:rsid w:val="005D584E"/>
    <w:rsid w:val="005E19C8"/>
    <w:rsid w:val="005E371D"/>
    <w:rsid w:val="005E37BD"/>
    <w:rsid w:val="005E4E34"/>
    <w:rsid w:val="005E7DAF"/>
    <w:rsid w:val="005F2EC4"/>
    <w:rsid w:val="005F4EF4"/>
    <w:rsid w:val="005F63D6"/>
    <w:rsid w:val="005F7F0B"/>
    <w:rsid w:val="00600912"/>
    <w:rsid w:val="00600FDC"/>
    <w:rsid w:val="006021FE"/>
    <w:rsid w:val="00604BCB"/>
    <w:rsid w:val="00607720"/>
    <w:rsid w:val="0061468D"/>
    <w:rsid w:val="006170C6"/>
    <w:rsid w:val="006225C8"/>
    <w:rsid w:val="00623281"/>
    <w:rsid w:val="00626E6D"/>
    <w:rsid w:val="00632C21"/>
    <w:rsid w:val="006332CE"/>
    <w:rsid w:val="00634916"/>
    <w:rsid w:val="006423F3"/>
    <w:rsid w:val="00642C33"/>
    <w:rsid w:val="0064337A"/>
    <w:rsid w:val="00645C9B"/>
    <w:rsid w:val="006542E3"/>
    <w:rsid w:val="00654559"/>
    <w:rsid w:val="00655784"/>
    <w:rsid w:val="0065653B"/>
    <w:rsid w:val="00662AA8"/>
    <w:rsid w:val="0066474C"/>
    <w:rsid w:val="00664FB4"/>
    <w:rsid w:val="0067189D"/>
    <w:rsid w:val="00671AD1"/>
    <w:rsid w:val="0067238D"/>
    <w:rsid w:val="006731E4"/>
    <w:rsid w:val="0068120F"/>
    <w:rsid w:val="0068372E"/>
    <w:rsid w:val="00684D4D"/>
    <w:rsid w:val="00692A16"/>
    <w:rsid w:val="0069326E"/>
    <w:rsid w:val="006943A9"/>
    <w:rsid w:val="006950BD"/>
    <w:rsid w:val="00696359"/>
    <w:rsid w:val="00696990"/>
    <w:rsid w:val="00697ACF"/>
    <w:rsid w:val="006A178F"/>
    <w:rsid w:val="006A4422"/>
    <w:rsid w:val="006A4876"/>
    <w:rsid w:val="006A6163"/>
    <w:rsid w:val="006A6179"/>
    <w:rsid w:val="006A75B2"/>
    <w:rsid w:val="006B0776"/>
    <w:rsid w:val="006B0B2C"/>
    <w:rsid w:val="006B238B"/>
    <w:rsid w:val="006B3CD1"/>
    <w:rsid w:val="006B5753"/>
    <w:rsid w:val="006C24D4"/>
    <w:rsid w:val="006C7279"/>
    <w:rsid w:val="006D27FB"/>
    <w:rsid w:val="006D4943"/>
    <w:rsid w:val="006D5191"/>
    <w:rsid w:val="006D5BEE"/>
    <w:rsid w:val="006E14E3"/>
    <w:rsid w:val="006E4572"/>
    <w:rsid w:val="006E579F"/>
    <w:rsid w:val="006E6213"/>
    <w:rsid w:val="006E6C15"/>
    <w:rsid w:val="006E6D7C"/>
    <w:rsid w:val="006F0D15"/>
    <w:rsid w:val="006F119C"/>
    <w:rsid w:val="006F31A5"/>
    <w:rsid w:val="006F3257"/>
    <w:rsid w:val="006F36EE"/>
    <w:rsid w:val="006F523A"/>
    <w:rsid w:val="00700E7C"/>
    <w:rsid w:val="00703BD4"/>
    <w:rsid w:val="007056F5"/>
    <w:rsid w:val="00706A57"/>
    <w:rsid w:val="0070732A"/>
    <w:rsid w:val="00711F9D"/>
    <w:rsid w:val="00713CC5"/>
    <w:rsid w:val="00714AF9"/>
    <w:rsid w:val="00717139"/>
    <w:rsid w:val="00723803"/>
    <w:rsid w:val="007244DE"/>
    <w:rsid w:val="00727FE8"/>
    <w:rsid w:val="00731B24"/>
    <w:rsid w:val="00732541"/>
    <w:rsid w:val="0073506F"/>
    <w:rsid w:val="00735E4A"/>
    <w:rsid w:val="00736828"/>
    <w:rsid w:val="00740D83"/>
    <w:rsid w:val="007414B3"/>
    <w:rsid w:val="007451A4"/>
    <w:rsid w:val="00746BE3"/>
    <w:rsid w:val="007479AB"/>
    <w:rsid w:val="007510CC"/>
    <w:rsid w:val="007543E8"/>
    <w:rsid w:val="00760FDE"/>
    <w:rsid w:val="00761269"/>
    <w:rsid w:val="007618AE"/>
    <w:rsid w:val="007631A9"/>
    <w:rsid w:val="00763C0E"/>
    <w:rsid w:val="0076608B"/>
    <w:rsid w:val="007663DF"/>
    <w:rsid w:val="00770E00"/>
    <w:rsid w:val="007745BC"/>
    <w:rsid w:val="00774D74"/>
    <w:rsid w:val="00777260"/>
    <w:rsid w:val="00782360"/>
    <w:rsid w:val="00782F60"/>
    <w:rsid w:val="00783844"/>
    <w:rsid w:val="007869C8"/>
    <w:rsid w:val="00787597"/>
    <w:rsid w:val="00790DAA"/>
    <w:rsid w:val="00794E25"/>
    <w:rsid w:val="00795595"/>
    <w:rsid w:val="00795C6A"/>
    <w:rsid w:val="007977B7"/>
    <w:rsid w:val="00797D3E"/>
    <w:rsid w:val="007A1E24"/>
    <w:rsid w:val="007A246D"/>
    <w:rsid w:val="007A6200"/>
    <w:rsid w:val="007B0808"/>
    <w:rsid w:val="007B1FAA"/>
    <w:rsid w:val="007B30E5"/>
    <w:rsid w:val="007B3C39"/>
    <w:rsid w:val="007C2D01"/>
    <w:rsid w:val="007C2D98"/>
    <w:rsid w:val="007C56BA"/>
    <w:rsid w:val="007C6DF5"/>
    <w:rsid w:val="007D3BD5"/>
    <w:rsid w:val="007D3E1A"/>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142B7"/>
    <w:rsid w:val="00817BBD"/>
    <w:rsid w:val="00822BC9"/>
    <w:rsid w:val="00823227"/>
    <w:rsid w:val="00823A63"/>
    <w:rsid w:val="008245B4"/>
    <w:rsid w:val="008271B7"/>
    <w:rsid w:val="00831459"/>
    <w:rsid w:val="00832479"/>
    <w:rsid w:val="00835C70"/>
    <w:rsid w:val="00837572"/>
    <w:rsid w:val="008425AE"/>
    <w:rsid w:val="00843475"/>
    <w:rsid w:val="00843F8A"/>
    <w:rsid w:val="008523A0"/>
    <w:rsid w:val="00853745"/>
    <w:rsid w:val="008552B8"/>
    <w:rsid w:val="00860A0C"/>
    <w:rsid w:val="008632EE"/>
    <w:rsid w:val="008641FA"/>
    <w:rsid w:val="00866A00"/>
    <w:rsid w:val="00867C6D"/>
    <w:rsid w:val="00872E23"/>
    <w:rsid w:val="00876813"/>
    <w:rsid w:val="00880BA7"/>
    <w:rsid w:val="00882342"/>
    <w:rsid w:val="00883D36"/>
    <w:rsid w:val="00885B53"/>
    <w:rsid w:val="00885D9B"/>
    <w:rsid w:val="00886A1D"/>
    <w:rsid w:val="00886AD0"/>
    <w:rsid w:val="008873F6"/>
    <w:rsid w:val="00892F32"/>
    <w:rsid w:val="00893102"/>
    <w:rsid w:val="00893941"/>
    <w:rsid w:val="00894099"/>
    <w:rsid w:val="00894BA6"/>
    <w:rsid w:val="008954DC"/>
    <w:rsid w:val="008A1A6F"/>
    <w:rsid w:val="008A1FB8"/>
    <w:rsid w:val="008A35AF"/>
    <w:rsid w:val="008A37C3"/>
    <w:rsid w:val="008A74ED"/>
    <w:rsid w:val="008A7552"/>
    <w:rsid w:val="008B1443"/>
    <w:rsid w:val="008B3780"/>
    <w:rsid w:val="008B59A5"/>
    <w:rsid w:val="008B6308"/>
    <w:rsid w:val="008C03BF"/>
    <w:rsid w:val="008C0896"/>
    <w:rsid w:val="008C0AA7"/>
    <w:rsid w:val="008C16BB"/>
    <w:rsid w:val="008C53B1"/>
    <w:rsid w:val="008C62AC"/>
    <w:rsid w:val="008C6D70"/>
    <w:rsid w:val="008D1846"/>
    <w:rsid w:val="008D3EB0"/>
    <w:rsid w:val="008D7C27"/>
    <w:rsid w:val="008D7ECF"/>
    <w:rsid w:val="008E4A61"/>
    <w:rsid w:val="008F216B"/>
    <w:rsid w:val="008F29B0"/>
    <w:rsid w:val="008F41C5"/>
    <w:rsid w:val="008F54EA"/>
    <w:rsid w:val="0090297A"/>
    <w:rsid w:val="00906D50"/>
    <w:rsid w:val="00910A62"/>
    <w:rsid w:val="0091230C"/>
    <w:rsid w:val="00912A7E"/>
    <w:rsid w:val="00912EF9"/>
    <w:rsid w:val="0091309D"/>
    <w:rsid w:val="00914E8C"/>
    <w:rsid w:val="00915029"/>
    <w:rsid w:val="00915F38"/>
    <w:rsid w:val="0091606C"/>
    <w:rsid w:val="00916DFD"/>
    <w:rsid w:val="00920183"/>
    <w:rsid w:val="00921468"/>
    <w:rsid w:val="009226F7"/>
    <w:rsid w:val="009230C0"/>
    <w:rsid w:val="00924D64"/>
    <w:rsid w:val="009275B6"/>
    <w:rsid w:val="0093321D"/>
    <w:rsid w:val="00935298"/>
    <w:rsid w:val="0093678D"/>
    <w:rsid w:val="00936A36"/>
    <w:rsid w:val="00937319"/>
    <w:rsid w:val="00940201"/>
    <w:rsid w:val="009419F7"/>
    <w:rsid w:val="00942376"/>
    <w:rsid w:val="00942BF5"/>
    <w:rsid w:val="00952189"/>
    <w:rsid w:val="00954C0A"/>
    <w:rsid w:val="0095538D"/>
    <w:rsid w:val="00970E4E"/>
    <w:rsid w:val="00972C97"/>
    <w:rsid w:val="00973FD0"/>
    <w:rsid w:val="00974991"/>
    <w:rsid w:val="00977CC4"/>
    <w:rsid w:val="009822D3"/>
    <w:rsid w:val="00983315"/>
    <w:rsid w:val="00986DA9"/>
    <w:rsid w:val="00991844"/>
    <w:rsid w:val="00991E80"/>
    <w:rsid w:val="00993136"/>
    <w:rsid w:val="009934DA"/>
    <w:rsid w:val="009950E9"/>
    <w:rsid w:val="009A01C7"/>
    <w:rsid w:val="009A267B"/>
    <w:rsid w:val="009A2948"/>
    <w:rsid w:val="009A5E72"/>
    <w:rsid w:val="009A755D"/>
    <w:rsid w:val="009B0830"/>
    <w:rsid w:val="009B0FAD"/>
    <w:rsid w:val="009B225A"/>
    <w:rsid w:val="009C0081"/>
    <w:rsid w:val="009C0448"/>
    <w:rsid w:val="009C1691"/>
    <w:rsid w:val="009C286A"/>
    <w:rsid w:val="009C2988"/>
    <w:rsid w:val="009C4BB3"/>
    <w:rsid w:val="009D00CD"/>
    <w:rsid w:val="009D265D"/>
    <w:rsid w:val="009D2F30"/>
    <w:rsid w:val="009D6F5F"/>
    <w:rsid w:val="009D7D01"/>
    <w:rsid w:val="009E352C"/>
    <w:rsid w:val="009F033B"/>
    <w:rsid w:val="00A00381"/>
    <w:rsid w:val="00A0194F"/>
    <w:rsid w:val="00A02919"/>
    <w:rsid w:val="00A02FEF"/>
    <w:rsid w:val="00A05939"/>
    <w:rsid w:val="00A102C9"/>
    <w:rsid w:val="00A11488"/>
    <w:rsid w:val="00A11B31"/>
    <w:rsid w:val="00A14E11"/>
    <w:rsid w:val="00A16125"/>
    <w:rsid w:val="00A2098A"/>
    <w:rsid w:val="00A2666A"/>
    <w:rsid w:val="00A2796E"/>
    <w:rsid w:val="00A30DDB"/>
    <w:rsid w:val="00A322CB"/>
    <w:rsid w:val="00A3600E"/>
    <w:rsid w:val="00A36B5B"/>
    <w:rsid w:val="00A459EA"/>
    <w:rsid w:val="00A46F4A"/>
    <w:rsid w:val="00A54E20"/>
    <w:rsid w:val="00A61836"/>
    <w:rsid w:val="00A61EA2"/>
    <w:rsid w:val="00A72350"/>
    <w:rsid w:val="00A76683"/>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709E"/>
    <w:rsid w:val="00AC79E6"/>
    <w:rsid w:val="00AD12FB"/>
    <w:rsid w:val="00AD4A18"/>
    <w:rsid w:val="00AD4EA6"/>
    <w:rsid w:val="00AE2E8B"/>
    <w:rsid w:val="00AE56E1"/>
    <w:rsid w:val="00AE5C6F"/>
    <w:rsid w:val="00AF118D"/>
    <w:rsid w:val="00AF353A"/>
    <w:rsid w:val="00AF5104"/>
    <w:rsid w:val="00AF6499"/>
    <w:rsid w:val="00AF7509"/>
    <w:rsid w:val="00B0104E"/>
    <w:rsid w:val="00B01487"/>
    <w:rsid w:val="00B029B0"/>
    <w:rsid w:val="00B0300F"/>
    <w:rsid w:val="00B04C47"/>
    <w:rsid w:val="00B07813"/>
    <w:rsid w:val="00B104E2"/>
    <w:rsid w:val="00B1099B"/>
    <w:rsid w:val="00B118CF"/>
    <w:rsid w:val="00B13C88"/>
    <w:rsid w:val="00B14C80"/>
    <w:rsid w:val="00B21A59"/>
    <w:rsid w:val="00B21AE8"/>
    <w:rsid w:val="00B21FEE"/>
    <w:rsid w:val="00B23D8C"/>
    <w:rsid w:val="00B24581"/>
    <w:rsid w:val="00B24AFF"/>
    <w:rsid w:val="00B2644D"/>
    <w:rsid w:val="00B26A61"/>
    <w:rsid w:val="00B30587"/>
    <w:rsid w:val="00B3508D"/>
    <w:rsid w:val="00B367D8"/>
    <w:rsid w:val="00B41D23"/>
    <w:rsid w:val="00B42897"/>
    <w:rsid w:val="00B45EBB"/>
    <w:rsid w:val="00B511A7"/>
    <w:rsid w:val="00B52D7C"/>
    <w:rsid w:val="00B56555"/>
    <w:rsid w:val="00B57E51"/>
    <w:rsid w:val="00B60142"/>
    <w:rsid w:val="00B618D4"/>
    <w:rsid w:val="00B71B3D"/>
    <w:rsid w:val="00B73EF5"/>
    <w:rsid w:val="00B74D6D"/>
    <w:rsid w:val="00B75E6C"/>
    <w:rsid w:val="00B778AF"/>
    <w:rsid w:val="00B77EA3"/>
    <w:rsid w:val="00B86789"/>
    <w:rsid w:val="00B87C43"/>
    <w:rsid w:val="00B91F53"/>
    <w:rsid w:val="00B93C04"/>
    <w:rsid w:val="00B95735"/>
    <w:rsid w:val="00BA072B"/>
    <w:rsid w:val="00BA7677"/>
    <w:rsid w:val="00BB017D"/>
    <w:rsid w:val="00BB0437"/>
    <w:rsid w:val="00BC32ED"/>
    <w:rsid w:val="00BD4A9C"/>
    <w:rsid w:val="00BD7C9E"/>
    <w:rsid w:val="00BD7FC2"/>
    <w:rsid w:val="00BE0F4D"/>
    <w:rsid w:val="00BE1986"/>
    <w:rsid w:val="00BE3721"/>
    <w:rsid w:val="00BE5C4D"/>
    <w:rsid w:val="00BE7DE1"/>
    <w:rsid w:val="00BF11C5"/>
    <w:rsid w:val="00BF2041"/>
    <w:rsid w:val="00BF3D1E"/>
    <w:rsid w:val="00BF77EF"/>
    <w:rsid w:val="00C00A24"/>
    <w:rsid w:val="00C011A1"/>
    <w:rsid w:val="00C02E39"/>
    <w:rsid w:val="00C03E9B"/>
    <w:rsid w:val="00C13539"/>
    <w:rsid w:val="00C1432E"/>
    <w:rsid w:val="00C14DA3"/>
    <w:rsid w:val="00C14E45"/>
    <w:rsid w:val="00C159DF"/>
    <w:rsid w:val="00C15A07"/>
    <w:rsid w:val="00C168DD"/>
    <w:rsid w:val="00C17191"/>
    <w:rsid w:val="00C177DD"/>
    <w:rsid w:val="00C17DBC"/>
    <w:rsid w:val="00C20292"/>
    <w:rsid w:val="00C20F1F"/>
    <w:rsid w:val="00C23A70"/>
    <w:rsid w:val="00C26F48"/>
    <w:rsid w:val="00C31080"/>
    <w:rsid w:val="00C323E8"/>
    <w:rsid w:val="00C32936"/>
    <w:rsid w:val="00C3372F"/>
    <w:rsid w:val="00C40665"/>
    <w:rsid w:val="00C40976"/>
    <w:rsid w:val="00C42B4C"/>
    <w:rsid w:val="00C42E97"/>
    <w:rsid w:val="00C4414A"/>
    <w:rsid w:val="00C44362"/>
    <w:rsid w:val="00C44EE4"/>
    <w:rsid w:val="00C457D4"/>
    <w:rsid w:val="00C52829"/>
    <w:rsid w:val="00C53104"/>
    <w:rsid w:val="00C54757"/>
    <w:rsid w:val="00C56C47"/>
    <w:rsid w:val="00C624C1"/>
    <w:rsid w:val="00C63AF7"/>
    <w:rsid w:val="00C64424"/>
    <w:rsid w:val="00C64DF0"/>
    <w:rsid w:val="00C64DFF"/>
    <w:rsid w:val="00C66771"/>
    <w:rsid w:val="00C67F3D"/>
    <w:rsid w:val="00C709D3"/>
    <w:rsid w:val="00C70C22"/>
    <w:rsid w:val="00C7513F"/>
    <w:rsid w:val="00C75CC6"/>
    <w:rsid w:val="00C80079"/>
    <w:rsid w:val="00C810D8"/>
    <w:rsid w:val="00C8162F"/>
    <w:rsid w:val="00C859FF"/>
    <w:rsid w:val="00C86930"/>
    <w:rsid w:val="00C87C6C"/>
    <w:rsid w:val="00C90D2F"/>
    <w:rsid w:val="00C95678"/>
    <w:rsid w:val="00C95867"/>
    <w:rsid w:val="00C95A68"/>
    <w:rsid w:val="00C96E1B"/>
    <w:rsid w:val="00CA2498"/>
    <w:rsid w:val="00CA3BAF"/>
    <w:rsid w:val="00CA6131"/>
    <w:rsid w:val="00CB2CC0"/>
    <w:rsid w:val="00CC3C15"/>
    <w:rsid w:val="00CC41B9"/>
    <w:rsid w:val="00CC4A2A"/>
    <w:rsid w:val="00CC550C"/>
    <w:rsid w:val="00CD240F"/>
    <w:rsid w:val="00CD2765"/>
    <w:rsid w:val="00CD2D74"/>
    <w:rsid w:val="00CD311F"/>
    <w:rsid w:val="00CE0E49"/>
    <w:rsid w:val="00CE200B"/>
    <w:rsid w:val="00CE30D5"/>
    <w:rsid w:val="00CE5DBF"/>
    <w:rsid w:val="00CE71FE"/>
    <w:rsid w:val="00CE7BD2"/>
    <w:rsid w:val="00CF1897"/>
    <w:rsid w:val="00CF28EB"/>
    <w:rsid w:val="00D03934"/>
    <w:rsid w:val="00D0603C"/>
    <w:rsid w:val="00D06604"/>
    <w:rsid w:val="00D06C33"/>
    <w:rsid w:val="00D07EEB"/>
    <w:rsid w:val="00D13BD5"/>
    <w:rsid w:val="00D140AE"/>
    <w:rsid w:val="00D153BF"/>
    <w:rsid w:val="00D16CC8"/>
    <w:rsid w:val="00D203F3"/>
    <w:rsid w:val="00D248B2"/>
    <w:rsid w:val="00D24A52"/>
    <w:rsid w:val="00D250C5"/>
    <w:rsid w:val="00D31663"/>
    <w:rsid w:val="00D32744"/>
    <w:rsid w:val="00D351F1"/>
    <w:rsid w:val="00D35F43"/>
    <w:rsid w:val="00D44213"/>
    <w:rsid w:val="00D45D35"/>
    <w:rsid w:val="00D47EF2"/>
    <w:rsid w:val="00D51EFC"/>
    <w:rsid w:val="00D53005"/>
    <w:rsid w:val="00D54ED6"/>
    <w:rsid w:val="00D560D4"/>
    <w:rsid w:val="00D61696"/>
    <w:rsid w:val="00D622DC"/>
    <w:rsid w:val="00D62D42"/>
    <w:rsid w:val="00D65B1A"/>
    <w:rsid w:val="00D703CA"/>
    <w:rsid w:val="00D71E2F"/>
    <w:rsid w:val="00D72E53"/>
    <w:rsid w:val="00D777B6"/>
    <w:rsid w:val="00D8125A"/>
    <w:rsid w:val="00D81FB2"/>
    <w:rsid w:val="00D90BFB"/>
    <w:rsid w:val="00D91EDA"/>
    <w:rsid w:val="00D93929"/>
    <w:rsid w:val="00D94C93"/>
    <w:rsid w:val="00D97F57"/>
    <w:rsid w:val="00DA1B68"/>
    <w:rsid w:val="00DA463C"/>
    <w:rsid w:val="00DA6F45"/>
    <w:rsid w:val="00DB196D"/>
    <w:rsid w:val="00DB3F48"/>
    <w:rsid w:val="00DB458F"/>
    <w:rsid w:val="00DB533B"/>
    <w:rsid w:val="00DB5850"/>
    <w:rsid w:val="00DC3450"/>
    <w:rsid w:val="00DC3EEC"/>
    <w:rsid w:val="00DC40C4"/>
    <w:rsid w:val="00DC6723"/>
    <w:rsid w:val="00DC7CD8"/>
    <w:rsid w:val="00DD1C2F"/>
    <w:rsid w:val="00DD1EC2"/>
    <w:rsid w:val="00DD44A0"/>
    <w:rsid w:val="00DE0963"/>
    <w:rsid w:val="00DE292F"/>
    <w:rsid w:val="00DE2FEB"/>
    <w:rsid w:val="00DE3635"/>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1314"/>
    <w:rsid w:val="00E43ACD"/>
    <w:rsid w:val="00E459B9"/>
    <w:rsid w:val="00E46F8F"/>
    <w:rsid w:val="00E4783C"/>
    <w:rsid w:val="00E51B23"/>
    <w:rsid w:val="00E5243F"/>
    <w:rsid w:val="00E5519B"/>
    <w:rsid w:val="00E57E47"/>
    <w:rsid w:val="00E6178A"/>
    <w:rsid w:val="00E61CA7"/>
    <w:rsid w:val="00E651D4"/>
    <w:rsid w:val="00E65306"/>
    <w:rsid w:val="00E6623C"/>
    <w:rsid w:val="00E762A3"/>
    <w:rsid w:val="00E82067"/>
    <w:rsid w:val="00E85E80"/>
    <w:rsid w:val="00E85EA9"/>
    <w:rsid w:val="00E866F4"/>
    <w:rsid w:val="00E86F63"/>
    <w:rsid w:val="00E87C92"/>
    <w:rsid w:val="00E90293"/>
    <w:rsid w:val="00E910F1"/>
    <w:rsid w:val="00E94624"/>
    <w:rsid w:val="00E96AEF"/>
    <w:rsid w:val="00E9790A"/>
    <w:rsid w:val="00EA0558"/>
    <w:rsid w:val="00EA0DDF"/>
    <w:rsid w:val="00EA11C7"/>
    <w:rsid w:val="00EA23F3"/>
    <w:rsid w:val="00EA2488"/>
    <w:rsid w:val="00EB070C"/>
    <w:rsid w:val="00EB16F5"/>
    <w:rsid w:val="00EC1974"/>
    <w:rsid w:val="00EC4E69"/>
    <w:rsid w:val="00EC61A5"/>
    <w:rsid w:val="00EE270A"/>
    <w:rsid w:val="00EE3CDB"/>
    <w:rsid w:val="00EE53A5"/>
    <w:rsid w:val="00EE6946"/>
    <w:rsid w:val="00EE72BD"/>
    <w:rsid w:val="00EE7561"/>
    <w:rsid w:val="00EF08DF"/>
    <w:rsid w:val="00EF0972"/>
    <w:rsid w:val="00EF150F"/>
    <w:rsid w:val="00EF6481"/>
    <w:rsid w:val="00EF66B9"/>
    <w:rsid w:val="00EF6FA6"/>
    <w:rsid w:val="00F05792"/>
    <w:rsid w:val="00F05B22"/>
    <w:rsid w:val="00F12911"/>
    <w:rsid w:val="00F157B0"/>
    <w:rsid w:val="00F17BB7"/>
    <w:rsid w:val="00F200B7"/>
    <w:rsid w:val="00F20FC8"/>
    <w:rsid w:val="00F22D98"/>
    <w:rsid w:val="00F236AB"/>
    <w:rsid w:val="00F23D19"/>
    <w:rsid w:val="00F262A3"/>
    <w:rsid w:val="00F33029"/>
    <w:rsid w:val="00F34E2F"/>
    <w:rsid w:val="00F36031"/>
    <w:rsid w:val="00F4072D"/>
    <w:rsid w:val="00F4221B"/>
    <w:rsid w:val="00F4304F"/>
    <w:rsid w:val="00F43B95"/>
    <w:rsid w:val="00F46CBE"/>
    <w:rsid w:val="00F51363"/>
    <w:rsid w:val="00F5333D"/>
    <w:rsid w:val="00F53DDE"/>
    <w:rsid w:val="00F54E65"/>
    <w:rsid w:val="00F56549"/>
    <w:rsid w:val="00F608BB"/>
    <w:rsid w:val="00F6197E"/>
    <w:rsid w:val="00F65447"/>
    <w:rsid w:val="00F658F5"/>
    <w:rsid w:val="00F67831"/>
    <w:rsid w:val="00F70A27"/>
    <w:rsid w:val="00F732D5"/>
    <w:rsid w:val="00F736FD"/>
    <w:rsid w:val="00F73E22"/>
    <w:rsid w:val="00F76E22"/>
    <w:rsid w:val="00F85E0E"/>
    <w:rsid w:val="00F863F2"/>
    <w:rsid w:val="00F86D36"/>
    <w:rsid w:val="00F9043F"/>
    <w:rsid w:val="00F916BA"/>
    <w:rsid w:val="00F95010"/>
    <w:rsid w:val="00FA1DAE"/>
    <w:rsid w:val="00FA2081"/>
    <w:rsid w:val="00FA20A1"/>
    <w:rsid w:val="00FA3D2F"/>
    <w:rsid w:val="00FA6094"/>
    <w:rsid w:val="00FA70E7"/>
    <w:rsid w:val="00FA72A5"/>
    <w:rsid w:val="00FB2C84"/>
    <w:rsid w:val="00FB5C65"/>
    <w:rsid w:val="00FB6F66"/>
    <w:rsid w:val="00FB7A62"/>
    <w:rsid w:val="00FC1ED2"/>
    <w:rsid w:val="00FC26B5"/>
    <w:rsid w:val="00FC760F"/>
    <w:rsid w:val="00FD144B"/>
    <w:rsid w:val="00FD30B3"/>
    <w:rsid w:val="00FD30FF"/>
    <w:rsid w:val="00FD599B"/>
    <w:rsid w:val="00FD7AFF"/>
    <w:rsid w:val="00FE06E7"/>
    <w:rsid w:val="00FE4D4E"/>
    <w:rsid w:val="00FE4F1C"/>
    <w:rsid w:val="00FE5134"/>
    <w:rsid w:val="00FE5206"/>
    <w:rsid w:val="00FE543B"/>
    <w:rsid w:val="00FF7BCC"/>
    <w:rsid w:val="010B094E"/>
    <w:rsid w:val="0125487A"/>
    <w:rsid w:val="01517A09"/>
    <w:rsid w:val="01752D51"/>
    <w:rsid w:val="017975A4"/>
    <w:rsid w:val="0186501F"/>
    <w:rsid w:val="018D5D32"/>
    <w:rsid w:val="01D83D73"/>
    <w:rsid w:val="01DD250A"/>
    <w:rsid w:val="01FC64FB"/>
    <w:rsid w:val="024F018A"/>
    <w:rsid w:val="026929FF"/>
    <w:rsid w:val="02741132"/>
    <w:rsid w:val="028019EA"/>
    <w:rsid w:val="02841FD6"/>
    <w:rsid w:val="02A8438E"/>
    <w:rsid w:val="02A97E39"/>
    <w:rsid w:val="02CF15B4"/>
    <w:rsid w:val="030F46AB"/>
    <w:rsid w:val="036D0DF1"/>
    <w:rsid w:val="03760E31"/>
    <w:rsid w:val="03B150BB"/>
    <w:rsid w:val="03E14AE1"/>
    <w:rsid w:val="03E728AA"/>
    <w:rsid w:val="03EB5794"/>
    <w:rsid w:val="03ED664A"/>
    <w:rsid w:val="040A123A"/>
    <w:rsid w:val="041E2B0D"/>
    <w:rsid w:val="043208F6"/>
    <w:rsid w:val="043764FF"/>
    <w:rsid w:val="043E3FAE"/>
    <w:rsid w:val="04741D01"/>
    <w:rsid w:val="0483554C"/>
    <w:rsid w:val="049004B8"/>
    <w:rsid w:val="049E0F81"/>
    <w:rsid w:val="04A6737E"/>
    <w:rsid w:val="04B54C82"/>
    <w:rsid w:val="04BA042B"/>
    <w:rsid w:val="04BD5452"/>
    <w:rsid w:val="04C4684B"/>
    <w:rsid w:val="04C73166"/>
    <w:rsid w:val="04DE1A2F"/>
    <w:rsid w:val="04E0758D"/>
    <w:rsid w:val="04E9536D"/>
    <w:rsid w:val="04F54E15"/>
    <w:rsid w:val="050D5D58"/>
    <w:rsid w:val="050F6E7F"/>
    <w:rsid w:val="051E0AE5"/>
    <w:rsid w:val="0539426F"/>
    <w:rsid w:val="054C5166"/>
    <w:rsid w:val="05541835"/>
    <w:rsid w:val="05597C7C"/>
    <w:rsid w:val="055B528B"/>
    <w:rsid w:val="05670FDF"/>
    <w:rsid w:val="057144B6"/>
    <w:rsid w:val="0587526F"/>
    <w:rsid w:val="059402B1"/>
    <w:rsid w:val="05A44269"/>
    <w:rsid w:val="05A62BEE"/>
    <w:rsid w:val="05B11D69"/>
    <w:rsid w:val="05E973A2"/>
    <w:rsid w:val="05EC5E79"/>
    <w:rsid w:val="05F576F1"/>
    <w:rsid w:val="05FB4763"/>
    <w:rsid w:val="06117C05"/>
    <w:rsid w:val="061244FF"/>
    <w:rsid w:val="06152582"/>
    <w:rsid w:val="06152BE0"/>
    <w:rsid w:val="062055CC"/>
    <w:rsid w:val="062E7FE4"/>
    <w:rsid w:val="063D4774"/>
    <w:rsid w:val="064D6F2A"/>
    <w:rsid w:val="065E2CDF"/>
    <w:rsid w:val="066E3B5B"/>
    <w:rsid w:val="069D2590"/>
    <w:rsid w:val="06A806AD"/>
    <w:rsid w:val="06B93AC2"/>
    <w:rsid w:val="06BA2743"/>
    <w:rsid w:val="06BE6CFC"/>
    <w:rsid w:val="06C232EF"/>
    <w:rsid w:val="06CD662A"/>
    <w:rsid w:val="06DC5A8E"/>
    <w:rsid w:val="06E63279"/>
    <w:rsid w:val="06FB7859"/>
    <w:rsid w:val="070834D4"/>
    <w:rsid w:val="070B7325"/>
    <w:rsid w:val="070F65B7"/>
    <w:rsid w:val="07165E14"/>
    <w:rsid w:val="071A7D37"/>
    <w:rsid w:val="071F5CB8"/>
    <w:rsid w:val="072D57D8"/>
    <w:rsid w:val="072F5DE7"/>
    <w:rsid w:val="07347E2A"/>
    <w:rsid w:val="07590FFD"/>
    <w:rsid w:val="075C73CF"/>
    <w:rsid w:val="07662C4A"/>
    <w:rsid w:val="076B6BC4"/>
    <w:rsid w:val="07720AC5"/>
    <w:rsid w:val="079024B1"/>
    <w:rsid w:val="07910333"/>
    <w:rsid w:val="07A5554D"/>
    <w:rsid w:val="07BE5114"/>
    <w:rsid w:val="07DE7354"/>
    <w:rsid w:val="07EC5CC2"/>
    <w:rsid w:val="07EE1D3D"/>
    <w:rsid w:val="07F12F62"/>
    <w:rsid w:val="08453A3C"/>
    <w:rsid w:val="08557604"/>
    <w:rsid w:val="08742405"/>
    <w:rsid w:val="08765A6D"/>
    <w:rsid w:val="087D3F16"/>
    <w:rsid w:val="08851D75"/>
    <w:rsid w:val="08973473"/>
    <w:rsid w:val="089F427A"/>
    <w:rsid w:val="08A07814"/>
    <w:rsid w:val="08A50E61"/>
    <w:rsid w:val="08B71D4D"/>
    <w:rsid w:val="08EF7014"/>
    <w:rsid w:val="08F02E75"/>
    <w:rsid w:val="08F17241"/>
    <w:rsid w:val="08FB7D09"/>
    <w:rsid w:val="091A69D1"/>
    <w:rsid w:val="091F1B26"/>
    <w:rsid w:val="092950EF"/>
    <w:rsid w:val="09383D53"/>
    <w:rsid w:val="093B5749"/>
    <w:rsid w:val="095255EA"/>
    <w:rsid w:val="095557D8"/>
    <w:rsid w:val="097C74D3"/>
    <w:rsid w:val="09822470"/>
    <w:rsid w:val="09840577"/>
    <w:rsid w:val="09915997"/>
    <w:rsid w:val="09A879BA"/>
    <w:rsid w:val="09AC453A"/>
    <w:rsid w:val="09AE4B56"/>
    <w:rsid w:val="09B430BC"/>
    <w:rsid w:val="09BE05E5"/>
    <w:rsid w:val="09D113EB"/>
    <w:rsid w:val="09EA02A2"/>
    <w:rsid w:val="09EC1535"/>
    <w:rsid w:val="09F33C67"/>
    <w:rsid w:val="09FF2321"/>
    <w:rsid w:val="0A097DAF"/>
    <w:rsid w:val="0A134F1F"/>
    <w:rsid w:val="0A171B56"/>
    <w:rsid w:val="0A1A72AB"/>
    <w:rsid w:val="0A4D33CC"/>
    <w:rsid w:val="0A4E24EB"/>
    <w:rsid w:val="0A5A6246"/>
    <w:rsid w:val="0A642C4E"/>
    <w:rsid w:val="0A681C77"/>
    <w:rsid w:val="0A6D3A51"/>
    <w:rsid w:val="0A7C3F14"/>
    <w:rsid w:val="0A7F4E1A"/>
    <w:rsid w:val="0A825631"/>
    <w:rsid w:val="0A864007"/>
    <w:rsid w:val="0A8835CA"/>
    <w:rsid w:val="0AA5663D"/>
    <w:rsid w:val="0AB80957"/>
    <w:rsid w:val="0ACA5A6E"/>
    <w:rsid w:val="0AD76DE6"/>
    <w:rsid w:val="0AD82DCC"/>
    <w:rsid w:val="0AE558C6"/>
    <w:rsid w:val="0B080BFA"/>
    <w:rsid w:val="0B111681"/>
    <w:rsid w:val="0B2F43C1"/>
    <w:rsid w:val="0B412D99"/>
    <w:rsid w:val="0B5908F0"/>
    <w:rsid w:val="0B5915E4"/>
    <w:rsid w:val="0B8767DF"/>
    <w:rsid w:val="0B9F16EF"/>
    <w:rsid w:val="0BA46C65"/>
    <w:rsid w:val="0BA52CC8"/>
    <w:rsid w:val="0BAE2E65"/>
    <w:rsid w:val="0BB42A98"/>
    <w:rsid w:val="0BDB2ECD"/>
    <w:rsid w:val="0BED00BE"/>
    <w:rsid w:val="0BFC7550"/>
    <w:rsid w:val="0BFD0CEA"/>
    <w:rsid w:val="0C0E78C8"/>
    <w:rsid w:val="0C0F5E5F"/>
    <w:rsid w:val="0C1252B8"/>
    <w:rsid w:val="0C25261E"/>
    <w:rsid w:val="0C4D324A"/>
    <w:rsid w:val="0C5D15DD"/>
    <w:rsid w:val="0C6253F3"/>
    <w:rsid w:val="0CA8253E"/>
    <w:rsid w:val="0CE25513"/>
    <w:rsid w:val="0CE36163"/>
    <w:rsid w:val="0CE407A5"/>
    <w:rsid w:val="0CE83127"/>
    <w:rsid w:val="0CE95BE6"/>
    <w:rsid w:val="0CF05C95"/>
    <w:rsid w:val="0CF3194A"/>
    <w:rsid w:val="0D0479CE"/>
    <w:rsid w:val="0D055E72"/>
    <w:rsid w:val="0D0E3587"/>
    <w:rsid w:val="0D0F69E0"/>
    <w:rsid w:val="0D117D19"/>
    <w:rsid w:val="0D3421EA"/>
    <w:rsid w:val="0D3607D1"/>
    <w:rsid w:val="0D37771C"/>
    <w:rsid w:val="0D4760ED"/>
    <w:rsid w:val="0D711699"/>
    <w:rsid w:val="0D737D94"/>
    <w:rsid w:val="0D9244FD"/>
    <w:rsid w:val="0D97788C"/>
    <w:rsid w:val="0DB51D20"/>
    <w:rsid w:val="0DC42C76"/>
    <w:rsid w:val="0DDD6667"/>
    <w:rsid w:val="0DEF4E3A"/>
    <w:rsid w:val="0DF358A2"/>
    <w:rsid w:val="0DF81EF2"/>
    <w:rsid w:val="0DF92A65"/>
    <w:rsid w:val="0E061020"/>
    <w:rsid w:val="0E1938C1"/>
    <w:rsid w:val="0E3C6DED"/>
    <w:rsid w:val="0E485BEC"/>
    <w:rsid w:val="0E654CA2"/>
    <w:rsid w:val="0E7F34BF"/>
    <w:rsid w:val="0E9C0DC4"/>
    <w:rsid w:val="0EB04559"/>
    <w:rsid w:val="0EC451B5"/>
    <w:rsid w:val="0EE439FF"/>
    <w:rsid w:val="0EFD3824"/>
    <w:rsid w:val="0F101A57"/>
    <w:rsid w:val="0F191FB1"/>
    <w:rsid w:val="0F1A6774"/>
    <w:rsid w:val="0F1B0671"/>
    <w:rsid w:val="0F295CA3"/>
    <w:rsid w:val="0F4F1795"/>
    <w:rsid w:val="0F510323"/>
    <w:rsid w:val="0F523595"/>
    <w:rsid w:val="0F544B1D"/>
    <w:rsid w:val="0F590A0D"/>
    <w:rsid w:val="0FBE10B7"/>
    <w:rsid w:val="0FD325B2"/>
    <w:rsid w:val="0FDD0C5B"/>
    <w:rsid w:val="0FE73532"/>
    <w:rsid w:val="0FF0600C"/>
    <w:rsid w:val="0FF90BC3"/>
    <w:rsid w:val="101314AD"/>
    <w:rsid w:val="103D2787"/>
    <w:rsid w:val="103D3755"/>
    <w:rsid w:val="103E3E4E"/>
    <w:rsid w:val="10567B7E"/>
    <w:rsid w:val="107923F7"/>
    <w:rsid w:val="10D543A2"/>
    <w:rsid w:val="112B2EE8"/>
    <w:rsid w:val="11320CF3"/>
    <w:rsid w:val="11412247"/>
    <w:rsid w:val="115637F9"/>
    <w:rsid w:val="1166076F"/>
    <w:rsid w:val="11953524"/>
    <w:rsid w:val="11AA6F50"/>
    <w:rsid w:val="11B07D78"/>
    <w:rsid w:val="11C806B4"/>
    <w:rsid w:val="11CC1E74"/>
    <w:rsid w:val="11D8225A"/>
    <w:rsid w:val="12346D0A"/>
    <w:rsid w:val="12482CF7"/>
    <w:rsid w:val="1256649A"/>
    <w:rsid w:val="1269031D"/>
    <w:rsid w:val="12AB7D9F"/>
    <w:rsid w:val="12AC07C0"/>
    <w:rsid w:val="12B10C97"/>
    <w:rsid w:val="12C669CB"/>
    <w:rsid w:val="12C76B5C"/>
    <w:rsid w:val="12CB4AEE"/>
    <w:rsid w:val="12D0036B"/>
    <w:rsid w:val="12D720AC"/>
    <w:rsid w:val="12E30D70"/>
    <w:rsid w:val="12E36F14"/>
    <w:rsid w:val="12EF3A60"/>
    <w:rsid w:val="12EF3D4D"/>
    <w:rsid w:val="12F36B75"/>
    <w:rsid w:val="12F65C89"/>
    <w:rsid w:val="13036626"/>
    <w:rsid w:val="13151215"/>
    <w:rsid w:val="132C3866"/>
    <w:rsid w:val="133824D0"/>
    <w:rsid w:val="133A4434"/>
    <w:rsid w:val="13527376"/>
    <w:rsid w:val="135350C1"/>
    <w:rsid w:val="138D02A9"/>
    <w:rsid w:val="138F7FD3"/>
    <w:rsid w:val="13B015C5"/>
    <w:rsid w:val="13D9057D"/>
    <w:rsid w:val="142121F7"/>
    <w:rsid w:val="142B356F"/>
    <w:rsid w:val="14373CDC"/>
    <w:rsid w:val="1438619F"/>
    <w:rsid w:val="143C195C"/>
    <w:rsid w:val="14456D00"/>
    <w:rsid w:val="144E0F24"/>
    <w:rsid w:val="1468750F"/>
    <w:rsid w:val="1473219D"/>
    <w:rsid w:val="1499024E"/>
    <w:rsid w:val="14B71FE1"/>
    <w:rsid w:val="14CA5AF5"/>
    <w:rsid w:val="14E1485C"/>
    <w:rsid w:val="14EB57EE"/>
    <w:rsid w:val="14F6713B"/>
    <w:rsid w:val="14FE488C"/>
    <w:rsid w:val="15141C55"/>
    <w:rsid w:val="151F3C76"/>
    <w:rsid w:val="153B160D"/>
    <w:rsid w:val="15476157"/>
    <w:rsid w:val="15533BEE"/>
    <w:rsid w:val="1562305B"/>
    <w:rsid w:val="156A6B04"/>
    <w:rsid w:val="15730235"/>
    <w:rsid w:val="15773139"/>
    <w:rsid w:val="157D344D"/>
    <w:rsid w:val="159A2F06"/>
    <w:rsid w:val="15BB362B"/>
    <w:rsid w:val="15BC4236"/>
    <w:rsid w:val="15C725B9"/>
    <w:rsid w:val="15D66938"/>
    <w:rsid w:val="15DE5797"/>
    <w:rsid w:val="16045F7E"/>
    <w:rsid w:val="16084D64"/>
    <w:rsid w:val="160A084B"/>
    <w:rsid w:val="161A52FA"/>
    <w:rsid w:val="16235F5C"/>
    <w:rsid w:val="165D19A0"/>
    <w:rsid w:val="166C6FB9"/>
    <w:rsid w:val="16785A5D"/>
    <w:rsid w:val="167D0BD0"/>
    <w:rsid w:val="168542EA"/>
    <w:rsid w:val="1689195E"/>
    <w:rsid w:val="169B13F4"/>
    <w:rsid w:val="16A60845"/>
    <w:rsid w:val="16A64E9A"/>
    <w:rsid w:val="16AE2F47"/>
    <w:rsid w:val="16AF2614"/>
    <w:rsid w:val="16B91467"/>
    <w:rsid w:val="16C12D24"/>
    <w:rsid w:val="16E9446C"/>
    <w:rsid w:val="16EC4A13"/>
    <w:rsid w:val="16F101FB"/>
    <w:rsid w:val="16F11E78"/>
    <w:rsid w:val="16F508B4"/>
    <w:rsid w:val="17016E68"/>
    <w:rsid w:val="1704759E"/>
    <w:rsid w:val="170727EC"/>
    <w:rsid w:val="17084916"/>
    <w:rsid w:val="17190FB7"/>
    <w:rsid w:val="171F1CC4"/>
    <w:rsid w:val="172443F6"/>
    <w:rsid w:val="172E3C78"/>
    <w:rsid w:val="174F548C"/>
    <w:rsid w:val="17714DEB"/>
    <w:rsid w:val="1780598B"/>
    <w:rsid w:val="179C6093"/>
    <w:rsid w:val="17AC2445"/>
    <w:rsid w:val="17F365EC"/>
    <w:rsid w:val="18180C30"/>
    <w:rsid w:val="181A4948"/>
    <w:rsid w:val="182146AB"/>
    <w:rsid w:val="1830215E"/>
    <w:rsid w:val="184E58BA"/>
    <w:rsid w:val="186C1E67"/>
    <w:rsid w:val="188B7F5E"/>
    <w:rsid w:val="18B134BA"/>
    <w:rsid w:val="18DF7C4C"/>
    <w:rsid w:val="18F5554D"/>
    <w:rsid w:val="18F8077E"/>
    <w:rsid w:val="18FF43AA"/>
    <w:rsid w:val="19164AD0"/>
    <w:rsid w:val="191C1AE0"/>
    <w:rsid w:val="195046DF"/>
    <w:rsid w:val="19590507"/>
    <w:rsid w:val="195C1E1A"/>
    <w:rsid w:val="195F0788"/>
    <w:rsid w:val="196A7B32"/>
    <w:rsid w:val="196B6C52"/>
    <w:rsid w:val="197874D5"/>
    <w:rsid w:val="19A4516F"/>
    <w:rsid w:val="19A97CAF"/>
    <w:rsid w:val="19AB3D81"/>
    <w:rsid w:val="19BB4090"/>
    <w:rsid w:val="19DA1AF8"/>
    <w:rsid w:val="19DD598F"/>
    <w:rsid w:val="19EA21ED"/>
    <w:rsid w:val="19F61EEA"/>
    <w:rsid w:val="1A2E6FA4"/>
    <w:rsid w:val="1A3124AF"/>
    <w:rsid w:val="1A3416C3"/>
    <w:rsid w:val="1A3B0898"/>
    <w:rsid w:val="1A431508"/>
    <w:rsid w:val="1A5A6471"/>
    <w:rsid w:val="1A645005"/>
    <w:rsid w:val="1A656C7F"/>
    <w:rsid w:val="1A683242"/>
    <w:rsid w:val="1A6D24F4"/>
    <w:rsid w:val="1A773844"/>
    <w:rsid w:val="1A7B5067"/>
    <w:rsid w:val="1ACE1C68"/>
    <w:rsid w:val="1B49611E"/>
    <w:rsid w:val="1B5E2F00"/>
    <w:rsid w:val="1B940B1A"/>
    <w:rsid w:val="1B9674E0"/>
    <w:rsid w:val="1BA737F4"/>
    <w:rsid w:val="1BB83431"/>
    <w:rsid w:val="1BC07463"/>
    <w:rsid w:val="1BD51290"/>
    <w:rsid w:val="1BFC0F15"/>
    <w:rsid w:val="1C261E70"/>
    <w:rsid w:val="1C4529B6"/>
    <w:rsid w:val="1C647970"/>
    <w:rsid w:val="1C7851C9"/>
    <w:rsid w:val="1CA13151"/>
    <w:rsid w:val="1CC2057A"/>
    <w:rsid w:val="1CCD2967"/>
    <w:rsid w:val="1CE0228A"/>
    <w:rsid w:val="1CE06EC6"/>
    <w:rsid w:val="1D0815C2"/>
    <w:rsid w:val="1D1B1917"/>
    <w:rsid w:val="1D1D6D80"/>
    <w:rsid w:val="1D4414F9"/>
    <w:rsid w:val="1D466EE5"/>
    <w:rsid w:val="1D72420E"/>
    <w:rsid w:val="1D740A3B"/>
    <w:rsid w:val="1D772A03"/>
    <w:rsid w:val="1D815388"/>
    <w:rsid w:val="1D843A64"/>
    <w:rsid w:val="1DA676EA"/>
    <w:rsid w:val="1DAB4D3C"/>
    <w:rsid w:val="1DB53DAB"/>
    <w:rsid w:val="1DC163B2"/>
    <w:rsid w:val="1DCB3B09"/>
    <w:rsid w:val="1DCC1260"/>
    <w:rsid w:val="1DEE56AA"/>
    <w:rsid w:val="1E0418FF"/>
    <w:rsid w:val="1E3002EA"/>
    <w:rsid w:val="1E437BF1"/>
    <w:rsid w:val="1E504BCC"/>
    <w:rsid w:val="1E5D1696"/>
    <w:rsid w:val="1E843339"/>
    <w:rsid w:val="1E9E575F"/>
    <w:rsid w:val="1EA25C26"/>
    <w:rsid w:val="1EA4144C"/>
    <w:rsid w:val="1EAF7B09"/>
    <w:rsid w:val="1EC34FA5"/>
    <w:rsid w:val="1EEC2070"/>
    <w:rsid w:val="1F0F61B1"/>
    <w:rsid w:val="1F451DB1"/>
    <w:rsid w:val="1F6B6BD0"/>
    <w:rsid w:val="1F76782A"/>
    <w:rsid w:val="1F7D6E36"/>
    <w:rsid w:val="1F9B7A43"/>
    <w:rsid w:val="1FA657A4"/>
    <w:rsid w:val="1FB44D91"/>
    <w:rsid w:val="1FFF6AB0"/>
    <w:rsid w:val="20026D25"/>
    <w:rsid w:val="200A5F5B"/>
    <w:rsid w:val="2012468D"/>
    <w:rsid w:val="202950DD"/>
    <w:rsid w:val="202F5850"/>
    <w:rsid w:val="2036600B"/>
    <w:rsid w:val="203776CF"/>
    <w:rsid w:val="203C4B95"/>
    <w:rsid w:val="2052507E"/>
    <w:rsid w:val="2068176D"/>
    <w:rsid w:val="20752580"/>
    <w:rsid w:val="20945297"/>
    <w:rsid w:val="20AE364B"/>
    <w:rsid w:val="20B02CF6"/>
    <w:rsid w:val="20BE7DC0"/>
    <w:rsid w:val="20C374F5"/>
    <w:rsid w:val="20C42750"/>
    <w:rsid w:val="20E06466"/>
    <w:rsid w:val="20EC2E5A"/>
    <w:rsid w:val="20F25187"/>
    <w:rsid w:val="21976E18"/>
    <w:rsid w:val="21996223"/>
    <w:rsid w:val="219B1576"/>
    <w:rsid w:val="21BA361F"/>
    <w:rsid w:val="21E25983"/>
    <w:rsid w:val="22353B2B"/>
    <w:rsid w:val="2236402A"/>
    <w:rsid w:val="22506269"/>
    <w:rsid w:val="2252759B"/>
    <w:rsid w:val="22660355"/>
    <w:rsid w:val="22667E7F"/>
    <w:rsid w:val="22A50B4E"/>
    <w:rsid w:val="22A61BB2"/>
    <w:rsid w:val="22AF7492"/>
    <w:rsid w:val="22B26E48"/>
    <w:rsid w:val="22B84838"/>
    <w:rsid w:val="22D15707"/>
    <w:rsid w:val="22D57870"/>
    <w:rsid w:val="22DF0B7A"/>
    <w:rsid w:val="22E15033"/>
    <w:rsid w:val="230424F2"/>
    <w:rsid w:val="23095363"/>
    <w:rsid w:val="231879A1"/>
    <w:rsid w:val="231D44C6"/>
    <w:rsid w:val="231D6ABC"/>
    <w:rsid w:val="23312902"/>
    <w:rsid w:val="235503DE"/>
    <w:rsid w:val="23586A43"/>
    <w:rsid w:val="235F1A87"/>
    <w:rsid w:val="23617917"/>
    <w:rsid w:val="2369472E"/>
    <w:rsid w:val="23750218"/>
    <w:rsid w:val="237F39B4"/>
    <w:rsid w:val="23816C24"/>
    <w:rsid w:val="2383009A"/>
    <w:rsid w:val="238C44F3"/>
    <w:rsid w:val="23A52A88"/>
    <w:rsid w:val="23B50828"/>
    <w:rsid w:val="23B66052"/>
    <w:rsid w:val="23C47BBC"/>
    <w:rsid w:val="23E56FBD"/>
    <w:rsid w:val="23F12C7E"/>
    <w:rsid w:val="23FA3D9C"/>
    <w:rsid w:val="23FE1B33"/>
    <w:rsid w:val="240241AC"/>
    <w:rsid w:val="240F0804"/>
    <w:rsid w:val="24161681"/>
    <w:rsid w:val="24276D1F"/>
    <w:rsid w:val="24305A24"/>
    <w:rsid w:val="243802F2"/>
    <w:rsid w:val="246152AD"/>
    <w:rsid w:val="247862BE"/>
    <w:rsid w:val="2483481C"/>
    <w:rsid w:val="248F2E41"/>
    <w:rsid w:val="249623ED"/>
    <w:rsid w:val="24AB6F5D"/>
    <w:rsid w:val="24B95D74"/>
    <w:rsid w:val="24CB1FC2"/>
    <w:rsid w:val="24D71651"/>
    <w:rsid w:val="24E1532B"/>
    <w:rsid w:val="24E81E75"/>
    <w:rsid w:val="24EB0BA1"/>
    <w:rsid w:val="250531F5"/>
    <w:rsid w:val="251115A9"/>
    <w:rsid w:val="25273933"/>
    <w:rsid w:val="254C40BE"/>
    <w:rsid w:val="254C7CC6"/>
    <w:rsid w:val="256E4FB1"/>
    <w:rsid w:val="25796D6B"/>
    <w:rsid w:val="25831B1D"/>
    <w:rsid w:val="25891B8B"/>
    <w:rsid w:val="25A522CA"/>
    <w:rsid w:val="25BA46F2"/>
    <w:rsid w:val="25C97CB6"/>
    <w:rsid w:val="25CE24B8"/>
    <w:rsid w:val="25D512F0"/>
    <w:rsid w:val="25D62BC3"/>
    <w:rsid w:val="25E0184B"/>
    <w:rsid w:val="260A5246"/>
    <w:rsid w:val="261772D2"/>
    <w:rsid w:val="263C5AD1"/>
    <w:rsid w:val="26625B2A"/>
    <w:rsid w:val="2699628B"/>
    <w:rsid w:val="26A73B9A"/>
    <w:rsid w:val="26BF473B"/>
    <w:rsid w:val="26E62026"/>
    <w:rsid w:val="26E9143A"/>
    <w:rsid w:val="270C77C3"/>
    <w:rsid w:val="270E46D8"/>
    <w:rsid w:val="27113DD8"/>
    <w:rsid w:val="27233C28"/>
    <w:rsid w:val="272D51EB"/>
    <w:rsid w:val="272E770A"/>
    <w:rsid w:val="273334E2"/>
    <w:rsid w:val="273B5392"/>
    <w:rsid w:val="27473394"/>
    <w:rsid w:val="275A4618"/>
    <w:rsid w:val="27665F87"/>
    <w:rsid w:val="276A6ED3"/>
    <w:rsid w:val="276D4C1D"/>
    <w:rsid w:val="276D6E72"/>
    <w:rsid w:val="278456D2"/>
    <w:rsid w:val="27877ADC"/>
    <w:rsid w:val="27A47458"/>
    <w:rsid w:val="27A72F5C"/>
    <w:rsid w:val="27C54CE8"/>
    <w:rsid w:val="27D86C64"/>
    <w:rsid w:val="27DB78CF"/>
    <w:rsid w:val="27E92D9F"/>
    <w:rsid w:val="27F15009"/>
    <w:rsid w:val="28113C89"/>
    <w:rsid w:val="28237372"/>
    <w:rsid w:val="282C0647"/>
    <w:rsid w:val="28383D84"/>
    <w:rsid w:val="284A0FF1"/>
    <w:rsid w:val="284F5C9D"/>
    <w:rsid w:val="286E230C"/>
    <w:rsid w:val="289A4FE8"/>
    <w:rsid w:val="28A0063A"/>
    <w:rsid w:val="28AD2D25"/>
    <w:rsid w:val="28D3381B"/>
    <w:rsid w:val="28EE1ED8"/>
    <w:rsid w:val="28F62399"/>
    <w:rsid w:val="29070822"/>
    <w:rsid w:val="291F3BBE"/>
    <w:rsid w:val="292A4F65"/>
    <w:rsid w:val="29357993"/>
    <w:rsid w:val="29377B4C"/>
    <w:rsid w:val="294352D5"/>
    <w:rsid w:val="294671E7"/>
    <w:rsid w:val="294B0B89"/>
    <w:rsid w:val="294D20D6"/>
    <w:rsid w:val="29666EBB"/>
    <w:rsid w:val="29803AAF"/>
    <w:rsid w:val="298967CF"/>
    <w:rsid w:val="29935FC6"/>
    <w:rsid w:val="29A31F36"/>
    <w:rsid w:val="29A3234A"/>
    <w:rsid w:val="29C40BA4"/>
    <w:rsid w:val="29C64D0A"/>
    <w:rsid w:val="29CF350A"/>
    <w:rsid w:val="29CF71B8"/>
    <w:rsid w:val="29D92421"/>
    <w:rsid w:val="29F033E4"/>
    <w:rsid w:val="2A144E02"/>
    <w:rsid w:val="2A1C4B4E"/>
    <w:rsid w:val="2A324BF4"/>
    <w:rsid w:val="2A332DAF"/>
    <w:rsid w:val="2A430CF4"/>
    <w:rsid w:val="2A5D493E"/>
    <w:rsid w:val="2A621B97"/>
    <w:rsid w:val="2A716B84"/>
    <w:rsid w:val="2A8147D1"/>
    <w:rsid w:val="2A845136"/>
    <w:rsid w:val="2A946151"/>
    <w:rsid w:val="2AA33154"/>
    <w:rsid w:val="2AAA0D81"/>
    <w:rsid w:val="2AB40232"/>
    <w:rsid w:val="2AB82200"/>
    <w:rsid w:val="2AD0397B"/>
    <w:rsid w:val="2ADE2D18"/>
    <w:rsid w:val="2AE47841"/>
    <w:rsid w:val="2AFD155A"/>
    <w:rsid w:val="2B143CA5"/>
    <w:rsid w:val="2B1E4750"/>
    <w:rsid w:val="2B4455D3"/>
    <w:rsid w:val="2B663D76"/>
    <w:rsid w:val="2BA96387"/>
    <w:rsid w:val="2BB64B2C"/>
    <w:rsid w:val="2BD943DA"/>
    <w:rsid w:val="2BE40D53"/>
    <w:rsid w:val="2BE41156"/>
    <w:rsid w:val="2BF35741"/>
    <w:rsid w:val="2BF36CEB"/>
    <w:rsid w:val="2BF459EB"/>
    <w:rsid w:val="2C0F3BEA"/>
    <w:rsid w:val="2C1E763E"/>
    <w:rsid w:val="2C2004CD"/>
    <w:rsid w:val="2C2D4594"/>
    <w:rsid w:val="2C401128"/>
    <w:rsid w:val="2C536C69"/>
    <w:rsid w:val="2C617A4D"/>
    <w:rsid w:val="2C647D47"/>
    <w:rsid w:val="2C770F4E"/>
    <w:rsid w:val="2C806FB5"/>
    <w:rsid w:val="2C89532C"/>
    <w:rsid w:val="2C8B6C1C"/>
    <w:rsid w:val="2CC43F63"/>
    <w:rsid w:val="2CC6499F"/>
    <w:rsid w:val="2CDD594E"/>
    <w:rsid w:val="2CED0D73"/>
    <w:rsid w:val="2D044988"/>
    <w:rsid w:val="2D1170D9"/>
    <w:rsid w:val="2D290BD2"/>
    <w:rsid w:val="2D306BEE"/>
    <w:rsid w:val="2D31356F"/>
    <w:rsid w:val="2D4A4B7C"/>
    <w:rsid w:val="2D54655C"/>
    <w:rsid w:val="2D684A45"/>
    <w:rsid w:val="2D722C6C"/>
    <w:rsid w:val="2D7302C8"/>
    <w:rsid w:val="2D730A34"/>
    <w:rsid w:val="2D8F594D"/>
    <w:rsid w:val="2D976D39"/>
    <w:rsid w:val="2DC652D0"/>
    <w:rsid w:val="2DFB3CAB"/>
    <w:rsid w:val="2E147FD1"/>
    <w:rsid w:val="2E16715E"/>
    <w:rsid w:val="2E1A4AD3"/>
    <w:rsid w:val="2E1F05B0"/>
    <w:rsid w:val="2E273A99"/>
    <w:rsid w:val="2E3B4CF8"/>
    <w:rsid w:val="2E800178"/>
    <w:rsid w:val="2E84761D"/>
    <w:rsid w:val="2E8F7DDB"/>
    <w:rsid w:val="2E924775"/>
    <w:rsid w:val="2ED37C9F"/>
    <w:rsid w:val="2ED65A68"/>
    <w:rsid w:val="2EEA70B4"/>
    <w:rsid w:val="2EEB11AA"/>
    <w:rsid w:val="2EEE548D"/>
    <w:rsid w:val="2F1E0131"/>
    <w:rsid w:val="2F4630E2"/>
    <w:rsid w:val="2F4C667E"/>
    <w:rsid w:val="2F5B2C2F"/>
    <w:rsid w:val="2F615964"/>
    <w:rsid w:val="2F64436A"/>
    <w:rsid w:val="2F7373E2"/>
    <w:rsid w:val="2F8E5AC2"/>
    <w:rsid w:val="2FA913F8"/>
    <w:rsid w:val="2FC04228"/>
    <w:rsid w:val="300D4BEB"/>
    <w:rsid w:val="301D5FE0"/>
    <w:rsid w:val="301D65B1"/>
    <w:rsid w:val="30281BE6"/>
    <w:rsid w:val="30316E1F"/>
    <w:rsid w:val="303A0A37"/>
    <w:rsid w:val="30455437"/>
    <w:rsid w:val="308B33F1"/>
    <w:rsid w:val="308D4FA9"/>
    <w:rsid w:val="30AA6088"/>
    <w:rsid w:val="30C66F42"/>
    <w:rsid w:val="30DB4233"/>
    <w:rsid w:val="30DC5FCD"/>
    <w:rsid w:val="30DD697B"/>
    <w:rsid w:val="30ED531C"/>
    <w:rsid w:val="310155A8"/>
    <w:rsid w:val="310E0A71"/>
    <w:rsid w:val="314F6D01"/>
    <w:rsid w:val="31531F0D"/>
    <w:rsid w:val="31551B99"/>
    <w:rsid w:val="315A38DE"/>
    <w:rsid w:val="3173454C"/>
    <w:rsid w:val="31793F5A"/>
    <w:rsid w:val="3183138F"/>
    <w:rsid w:val="31A04156"/>
    <w:rsid w:val="31D124A1"/>
    <w:rsid w:val="31E7385C"/>
    <w:rsid w:val="31F1423A"/>
    <w:rsid w:val="320B5C3E"/>
    <w:rsid w:val="32226E24"/>
    <w:rsid w:val="322C0A36"/>
    <w:rsid w:val="323E3A9D"/>
    <w:rsid w:val="326B1EA1"/>
    <w:rsid w:val="3278758D"/>
    <w:rsid w:val="32A26665"/>
    <w:rsid w:val="32BD404A"/>
    <w:rsid w:val="32C70757"/>
    <w:rsid w:val="32CF2F49"/>
    <w:rsid w:val="32D9740C"/>
    <w:rsid w:val="32E728E9"/>
    <w:rsid w:val="33034EE7"/>
    <w:rsid w:val="331617B9"/>
    <w:rsid w:val="332961A8"/>
    <w:rsid w:val="332A7F49"/>
    <w:rsid w:val="33342C15"/>
    <w:rsid w:val="3385049D"/>
    <w:rsid w:val="338D6A86"/>
    <w:rsid w:val="3392113B"/>
    <w:rsid w:val="3398768C"/>
    <w:rsid w:val="339F69F1"/>
    <w:rsid w:val="33A2061F"/>
    <w:rsid w:val="33A46D1A"/>
    <w:rsid w:val="33F864BD"/>
    <w:rsid w:val="34194D04"/>
    <w:rsid w:val="34267400"/>
    <w:rsid w:val="34285604"/>
    <w:rsid w:val="342E1A49"/>
    <w:rsid w:val="3472744B"/>
    <w:rsid w:val="3477488D"/>
    <w:rsid w:val="348651BC"/>
    <w:rsid w:val="348F514A"/>
    <w:rsid w:val="349973D4"/>
    <w:rsid w:val="349B1F71"/>
    <w:rsid w:val="34B9529E"/>
    <w:rsid w:val="34C20E8B"/>
    <w:rsid w:val="34E04320"/>
    <w:rsid w:val="34ED4990"/>
    <w:rsid w:val="34EF5757"/>
    <w:rsid w:val="35001896"/>
    <w:rsid w:val="350F39AD"/>
    <w:rsid w:val="352B3990"/>
    <w:rsid w:val="35350C30"/>
    <w:rsid w:val="353D7839"/>
    <w:rsid w:val="358C5895"/>
    <w:rsid w:val="358D4D9C"/>
    <w:rsid w:val="359D1294"/>
    <w:rsid w:val="35B115CC"/>
    <w:rsid w:val="35C07A3B"/>
    <w:rsid w:val="35CA6E49"/>
    <w:rsid w:val="35E770B1"/>
    <w:rsid w:val="35EB0304"/>
    <w:rsid w:val="35ED5576"/>
    <w:rsid w:val="35F55D16"/>
    <w:rsid w:val="35F828B8"/>
    <w:rsid w:val="35FE61D5"/>
    <w:rsid w:val="3627010F"/>
    <w:rsid w:val="36345037"/>
    <w:rsid w:val="3649353D"/>
    <w:rsid w:val="36640E31"/>
    <w:rsid w:val="366C112C"/>
    <w:rsid w:val="368E5759"/>
    <w:rsid w:val="36CC1F48"/>
    <w:rsid w:val="36CC5153"/>
    <w:rsid w:val="36DD6FCC"/>
    <w:rsid w:val="36E339F0"/>
    <w:rsid w:val="37161AEC"/>
    <w:rsid w:val="37164D93"/>
    <w:rsid w:val="37284BBF"/>
    <w:rsid w:val="377D441E"/>
    <w:rsid w:val="37903540"/>
    <w:rsid w:val="37956E5D"/>
    <w:rsid w:val="3799683C"/>
    <w:rsid w:val="37AB7D73"/>
    <w:rsid w:val="37B95722"/>
    <w:rsid w:val="37B963EB"/>
    <w:rsid w:val="37C5042C"/>
    <w:rsid w:val="37CE3B6E"/>
    <w:rsid w:val="37D76DB8"/>
    <w:rsid w:val="37E340D5"/>
    <w:rsid w:val="3810380F"/>
    <w:rsid w:val="38195A74"/>
    <w:rsid w:val="38254924"/>
    <w:rsid w:val="38272192"/>
    <w:rsid w:val="382C6761"/>
    <w:rsid w:val="382F584F"/>
    <w:rsid w:val="38321C52"/>
    <w:rsid w:val="383770A5"/>
    <w:rsid w:val="38377EC9"/>
    <w:rsid w:val="383A6932"/>
    <w:rsid w:val="38401E0E"/>
    <w:rsid w:val="384115AE"/>
    <w:rsid w:val="38881491"/>
    <w:rsid w:val="38902F63"/>
    <w:rsid w:val="38937799"/>
    <w:rsid w:val="38AA741B"/>
    <w:rsid w:val="38AC53F9"/>
    <w:rsid w:val="38AE33D1"/>
    <w:rsid w:val="38BA1CED"/>
    <w:rsid w:val="38C2712E"/>
    <w:rsid w:val="38C933D0"/>
    <w:rsid w:val="38E938C8"/>
    <w:rsid w:val="38EC76F5"/>
    <w:rsid w:val="38FE3E72"/>
    <w:rsid w:val="39201FB2"/>
    <w:rsid w:val="39213319"/>
    <w:rsid w:val="392B5375"/>
    <w:rsid w:val="392C050A"/>
    <w:rsid w:val="394133C4"/>
    <w:rsid w:val="39701147"/>
    <w:rsid w:val="397E01CF"/>
    <w:rsid w:val="399A748B"/>
    <w:rsid w:val="39D16CA3"/>
    <w:rsid w:val="39DC5AE0"/>
    <w:rsid w:val="39E00AD9"/>
    <w:rsid w:val="39E560E0"/>
    <w:rsid w:val="39EC017E"/>
    <w:rsid w:val="39ED5667"/>
    <w:rsid w:val="3A1734BB"/>
    <w:rsid w:val="3A1E0E3E"/>
    <w:rsid w:val="3A212A07"/>
    <w:rsid w:val="3A345BC1"/>
    <w:rsid w:val="3A3703F9"/>
    <w:rsid w:val="3A3B439F"/>
    <w:rsid w:val="3A4F584E"/>
    <w:rsid w:val="3A6245F6"/>
    <w:rsid w:val="3A8C3226"/>
    <w:rsid w:val="3A9A6573"/>
    <w:rsid w:val="3A9E34A5"/>
    <w:rsid w:val="3AAC7BA4"/>
    <w:rsid w:val="3AD62023"/>
    <w:rsid w:val="3ADF3963"/>
    <w:rsid w:val="3B0B4C7C"/>
    <w:rsid w:val="3B162788"/>
    <w:rsid w:val="3B1D4EED"/>
    <w:rsid w:val="3B331E4B"/>
    <w:rsid w:val="3B4D6D7B"/>
    <w:rsid w:val="3B5D02E3"/>
    <w:rsid w:val="3B6B34A3"/>
    <w:rsid w:val="3B9162A0"/>
    <w:rsid w:val="3B993A35"/>
    <w:rsid w:val="3BAF15F1"/>
    <w:rsid w:val="3BC25435"/>
    <w:rsid w:val="3BDA2F9B"/>
    <w:rsid w:val="3BEB75A9"/>
    <w:rsid w:val="3BED06D5"/>
    <w:rsid w:val="3BEE6339"/>
    <w:rsid w:val="3C0C59F6"/>
    <w:rsid w:val="3C940987"/>
    <w:rsid w:val="3CA578E5"/>
    <w:rsid w:val="3CB839AD"/>
    <w:rsid w:val="3CF20922"/>
    <w:rsid w:val="3D0467C1"/>
    <w:rsid w:val="3D1D7BCE"/>
    <w:rsid w:val="3D3420FE"/>
    <w:rsid w:val="3D5736B0"/>
    <w:rsid w:val="3D5A63B2"/>
    <w:rsid w:val="3D646729"/>
    <w:rsid w:val="3D762525"/>
    <w:rsid w:val="3D98059B"/>
    <w:rsid w:val="3D9A10CD"/>
    <w:rsid w:val="3DA0171C"/>
    <w:rsid w:val="3DA11275"/>
    <w:rsid w:val="3DC40E6B"/>
    <w:rsid w:val="3DC8523D"/>
    <w:rsid w:val="3DF56AFB"/>
    <w:rsid w:val="3DFA733B"/>
    <w:rsid w:val="3E107561"/>
    <w:rsid w:val="3E175077"/>
    <w:rsid w:val="3E406B77"/>
    <w:rsid w:val="3E667BAE"/>
    <w:rsid w:val="3E667CEF"/>
    <w:rsid w:val="3E735C27"/>
    <w:rsid w:val="3E820AA3"/>
    <w:rsid w:val="3E912FD0"/>
    <w:rsid w:val="3E921944"/>
    <w:rsid w:val="3EAC23FC"/>
    <w:rsid w:val="3EC520A6"/>
    <w:rsid w:val="3ED50B71"/>
    <w:rsid w:val="3ED87990"/>
    <w:rsid w:val="3EDF7AAE"/>
    <w:rsid w:val="3EF2171B"/>
    <w:rsid w:val="3EFE757A"/>
    <w:rsid w:val="3F04196D"/>
    <w:rsid w:val="3F0F62E6"/>
    <w:rsid w:val="3F3F09D6"/>
    <w:rsid w:val="3F455DAB"/>
    <w:rsid w:val="3F5035B4"/>
    <w:rsid w:val="3F5E797C"/>
    <w:rsid w:val="3F656331"/>
    <w:rsid w:val="3F6B312E"/>
    <w:rsid w:val="3F8F3554"/>
    <w:rsid w:val="3FA42830"/>
    <w:rsid w:val="3FC848D1"/>
    <w:rsid w:val="3FC9355F"/>
    <w:rsid w:val="401331FB"/>
    <w:rsid w:val="40214373"/>
    <w:rsid w:val="403D5417"/>
    <w:rsid w:val="4048145A"/>
    <w:rsid w:val="4056520F"/>
    <w:rsid w:val="40657AAF"/>
    <w:rsid w:val="40961229"/>
    <w:rsid w:val="409B353C"/>
    <w:rsid w:val="40B145C5"/>
    <w:rsid w:val="40D67608"/>
    <w:rsid w:val="40E25C04"/>
    <w:rsid w:val="40EC08D9"/>
    <w:rsid w:val="41047709"/>
    <w:rsid w:val="410B27A3"/>
    <w:rsid w:val="411D2F85"/>
    <w:rsid w:val="41217695"/>
    <w:rsid w:val="41222AEF"/>
    <w:rsid w:val="4125037C"/>
    <w:rsid w:val="41472380"/>
    <w:rsid w:val="41495E5F"/>
    <w:rsid w:val="415354D1"/>
    <w:rsid w:val="415E238E"/>
    <w:rsid w:val="415F132D"/>
    <w:rsid w:val="418F2040"/>
    <w:rsid w:val="41907C62"/>
    <w:rsid w:val="41914258"/>
    <w:rsid w:val="41930D1A"/>
    <w:rsid w:val="419659A8"/>
    <w:rsid w:val="419F3290"/>
    <w:rsid w:val="41AC23A7"/>
    <w:rsid w:val="41AC50F2"/>
    <w:rsid w:val="41B407D4"/>
    <w:rsid w:val="41EA5032"/>
    <w:rsid w:val="41FC0930"/>
    <w:rsid w:val="4224788C"/>
    <w:rsid w:val="424C1040"/>
    <w:rsid w:val="42633015"/>
    <w:rsid w:val="426D7AAD"/>
    <w:rsid w:val="428340F1"/>
    <w:rsid w:val="428B3283"/>
    <w:rsid w:val="42B235C1"/>
    <w:rsid w:val="42B2702B"/>
    <w:rsid w:val="42C91608"/>
    <w:rsid w:val="42E16C65"/>
    <w:rsid w:val="42EB1C44"/>
    <w:rsid w:val="42F06ADE"/>
    <w:rsid w:val="431260BD"/>
    <w:rsid w:val="43164A43"/>
    <w:rsid w:val="433F5A39"/>
    <w:rsid w:val="434315B8"/>
    <w:rsid w:val="43494EF6"/>
    <w:rsid w:val="434A0065"/>
    <w:rsid w:val="43513D34"/>
    <w:rsid w:val="439C20E3"/>
    <w:rsid w:val="43BC486B"/>
    <w:rsid w:val="43CD546A"/>
    <w:rsid w:val="43D668DB"/>
    <w:rsid w:val="43D94BB8"/>
    <w:rsid w:val="440C0A16"/>
    <w:rsid w:val="441D082F"/>
    <w:rsid w:val="44366F2B"/>
    <w:rsid w:val="444C2577"/>
    <w:rsid w:val="444F301C"/>
    <w:rsid w:val="44547298"/>
    <w:rsid w:val="44565C8E"/>
    <w:rsid w:val="445B63FE"/>
    <w:rsid w:val="446B3DCC"/>
    <w:rsid w:val="44871F8A"/>
    <w:rsid w:val="44D24AA0"/>
    <w:rsid w:val="44EB1D8C"/>
    <w:rsid w:val="44F1566E"/>
    <w:rsid w:val="44F514B9"/>
    <w:rsid w:val="45004359"/>
    <w:rsid w:val="450771EF"/>
    <w:rsid w:val="456564B5"/>
    <w:rsid w:val="457A5EF9"/>
    <w:rsid w:val="45857D69"/>
    <w:rsid w:val="45A72138"/>
    <w:rsid w:val="45A96964"/>
    <w:rsid w:val="45B1236E"/>
    <w:rsid w:val="45BE62AB"/>
    <w:rsid w:val="45CF348D"/>
    <w:rsid w:val="460133E9"/>
    <w:rsid w:val="460D47A5"/>
    <w:rsid w:val="46120C85"/>
    <w:rsid w:val="46162057"/>
    <w:rsid w:val="46216337"/>
    <w:rsid w:val="46274C08"/>
    <w:rsid w:val="463F6118"/>
    <w:rsid w:val="46433B6F"/>
    <w:rsid w:val="46443112"/>
    <w:rsid w:val="46682FAF"/>
    <w:rsid w:val="466C454D"/>
    <w:rsid w:val="46744C93"/>
    <w:rsid w:val="468C73DC"/>
    <w:rsid w:val="469F4D11"/>
    <w:rsid w:val="46A34031"/>
    <w:rsid w:val="46B26DDF"/>
    <w:rsid w:val="46BF3842"/>
    <w:rsid w:val="46DF448E"/>
    <w:rsid w:val="46E51508"/>
    <w:rsid w:val="46F31815"/>
    <w:rsid w:val="46F4409F"/>
    <w:rsid w:val="46FD1D53"/>
    <w:rsid w:val="471B55E6"/>
    <w:rsid w:val="47251654"/>
    <w:rsid w:val="47625BB2"/>
    <w:rsid w:val="477B3309"/>
    <w:rsid w:val="477F1A13"/>
    <w:rsid w:val="47851F39"/>
    <w:rsid w:val="4787031C"/>
    <w:rsid w:val="4797639E"/>
    <w:rsid w:val="479E63DA"/>
    <w:rsid w:val="47AE05AA"/>
    <w:rsid w:val="47C17A67"/>
    <w:rsid w:val="47C94621"/>
    <w:rsid w:val="47DA6D05"/>
    <w:rsid w:val="47EA7B5F"/>
    <w:rsid w:val="47EF4992"/>
    <w:rsid w:val="47FF43FC"/>
    <w:rsid w:val="481B2F2D"/>
    <w:rsid w:val="48424EB2"/>
    <w:rsid w:val="485E035D"/>
    <w:rsid w:val="48696CAD"/>
    <w:rsid w:val="48723746"/>
    <w:rsid w:val="48747902"/>
    <w:rsid w:val="48752CC8"/>
    <w:rsid w:val="488C3D84"/>
    <w:rsid w:val="48C76FF8"/>
    <w:rsid w:val="48DA74C7"/>
    <w:rsid w:val="48EA102A"/>
    <w:rsid w:val="48EF034D"/>
    <w:rsid w:val="4903609A"/>
    <w:rsid w:val="493422EA"/>
    <w:rsid w:val="49375BF6"/>
    <w:rsid w:val="497702DA"/>
    <w:rsid w:val="497B5296"/>
    <w:rsid w:val="49904267"/>
    <w:rsid w:val="499D09B0"/>
    <w:rsid w:val="49A83E14"/>
    <w:rsid w:val="49AF6973"/>
    <w:rsid w:val="49E00F83"/>
    <w:rsid w:val="49E4625C"/>
    <w:rsid w:val="4A0D0944"/>
    <w:rsid w:val="4A34018E"/>
    <w:rsid w:val="4A49293F"/>
    <w:rsid w:val="4A4F5C51"/>
    <w:rsid w:val="4A500C79"/>
    <w:rsid w:val="4A68765F"/>
    <w:rsid w:val="4A7F608A"/>
    <w:rsid w:val="4A8225F4"/>
    <w:rsid w:val="4AD8448B"/>
    <w:rsid w:val="4AE15FB4"/>
    <w:rsid w:val="4AF14422"/>
    <w:rsid w:val="4AF7197E"/>
    <w:rsid w:val="4B0F063B"/>
    <w:rsid w:val="4B12384D"/>
    <w:rsid w:val="4B1367B9"/>
    <w:rsid w:val="4B1B3D46"/>
    <w:rsid w:val="4B2F6B91"/>
    <w:rsid w:val="4B7B1C5A"/>
    <w:rsid w:val="4B855455"/>
    <w:rsid w:val="4B9A2643"/>
    <w:rsid w:val="4BA22401"/>
    <w:rsid w:val="4BB27468"/>
    <w:rsid w:val="4BBA3C11"/>
    <w:rsid w:val="4BBF56BF"/>
    <w:rsid w:val="4BC23EAE"/>
    <w:rsid w:val="4BDE3F50"/>
    <w:rsid w:val="4BE60E22"/>
    <w:rsid w:val="4BF1750D"/>
    <w:rsid w:val="4C166B59"/>
    <w:rsid w:val="4C2E5F34"/>
    <w:rsid w:val="4C39659B"/>
    <w:rsid w:val="4C4D5604"/>
    <w:rsid w:val="4C58104F"/>
    <w:rsid w:val="4C626096"/>
    <w:rsid w:val="4C632C63"/>
    <w:rsid w:val="4C8663D7"/>
    <w:rsid w:val="4C880639"/>
    <w:rsid w:val="4C967FA7"/>
    <w:rsid w:val="4C9A533B"/>
    <w:rsid w:val="4CAE16A0"/>
    <w:rsid w:val="4CB65819"/>
    <w:rsid w:val="4CCB3956"/>
    <w:rsid w:val="4CCD08FB"/>
    <w:rsid w:val="4CD35610"/>
    <w:rsid w:val="4CD64FA3"/>
    <w:rsid w:val="4CF51268"/>
    <w:rsid w:val="4CFA5820"/>
    <w:rsid w:val="4D261811"/>
    <w:rsid w:val="4D2A61CB"/>
    <w:rsid w:val="4D2F15C4"/>
    <w:rsid w:val="4D3E4B82"/>
    <w:rsid w:val="4D3E4CAB"/>
    <w:rsid w:val="4D643AAE"/>
    <w:rsid w:val="4D643DA5"/>
    <w:rsid w:val="4D66461C"/>
    <w:rsid w:val="4D9D4D14"/>
    <w:rsid w:val="4DFA25B1"/>
    <w:rsid w:val="4E1D742B"/>
    <w:rsid w:val="4E3A0125"/>
    <w:rsid w:val="4E49359F"/>
    <w:rsid w:val="4E4A05ED"/>
    <w:rsid w:val="4E9B34C9"/>
    <w:rsid w:val="4E9C4752"/>
    <w:rsid w:val="4EA0597F"/>
    <w:rsid w:val="4EA401A1"/>
    <w:rsid w:val="4EB73A02"/>
    <w:rsid w:val="4EC004B7"/>
    <w:rsid w:val="4ED65A3A"/>
    <w:rsid w:val="4ED85C94"/>
    <w:rsid w:val="4F0C7CF7"/>
    <w:rsid w:val="4F0E3064"/>
    <w:rsid w:val="4F0F3ED3"/>
    <w:rsid w:val="4F32611D"/>
    <w:rsid w:val="4F4E01B3"/>
    <w:rsid w:val="4F810427"/>
    <w:rsid w:val="4F966257"/>
    <w:rsid w:val="4FB52290"/>
    <w:rsid w:val="4FCC1D4D"/>
    <w:rsid w:val="4FD43E44"/>
    <w:rsid w:val="4FED176A"/>
    <w:rsid w:val="4FF31C53"/>
    <w:rsid w:val="4FF921A2"/>
    <w:rsid w:val="50011C06"/>
    <w:rsid w:val="50050F20"/>
    <w:rsid w:val="500833C6"/>
    <w:rsid w:val="5014646B"/>
    <w:rsid w:val="501A7335"/>
    <w:rsid w:val="50237389"/>
    <w:rsid w:val="5024701E"/>
    <w:rsid w:val="5036031C"/>
    <w:rsid w:val="505C637E"/>
    <w:rsid w:val="505E63D8"/>
    <w:rsid w:val="507037CC"/>
    <w:rsid w:val="507C2B30"/>
    <w:rsid w:val="507F18C4"/>
    <w:rsid w:val="50990518"/>
    <w:rsid w:val="50B777E1"/>
    <w:rsid w:val="50E65A2D"/>
    <w:rsid w:val="50EC0CEE"/>
    <w:rsid w:val="50EE45CA"/>
    <w:rsid w:val="50FD6F29"/>
    <w:rsid w:val="510F7046"/>
    <w:rsid w:val="5112409D"/>
    <w:rsid w:val="511453A1"/>
    <w:rsid w:val="512344AA"/>
    <w:rsid w:val="51617920"/>
    <w:rsid w:val="51640797"/>
    <w:rsid w:val="5186431B"/>
    <w:rsid w:val="521376F9"/>
    <w:rsid w:val="52281C2F"/>
    <w:rsid w:val="522D6505"/>
    <w:rsid w:val="523205D6"/>
    <w:rsid w:val="52413C16"/>
    <w:rsid w:val="5243753B"/>
    <w:rsid w:val="5244194E"/>
    <w:rsid w:val="5245158C"/>
    <w:rsid w:val="525A6C7D"/>
    <w:rsid w:val="52694994"/>
    <w:rsid w:val="528E19D1"/>
    <w:rsid w:val="52B67727"/>
    <w:rsid w:val="52CE28BC"/>
    <w:rsid w:val="52D11F6C"/>
    <w:rsid w:val="52E86FCB"/>
    <w:rsid w:val="52F456D2"/>
    <w:rsid w:val="53033C72"/>
    <w:rsid w:val="530B1DCC"/>
    <w:rsid w:val="530D53EB"/>
    <w:rsid w:val="535F1705"/>
    <w:rsid w:val="53690196"/>
    <w:rsid w:val="53840791"/>
    <w:rsid w:val="538E2EE8"/>
    <w:rsid w:val="538E7FD3"/>
    <w:rsid w:val="53AA1FDC"/>
    <w:rsid w:val="53D72180"/>
    <w:rsid w:val="53E91B3E"/>
    <w:rsid w:val="5407387C"/>
    <w:rsid w:val="54113878"/>
    <w:rsid w:val="54372E53"/>
    <w:rsid w:val="54411EB4"/>
    <w:rsid w:val="54635661"/>
    <w:rsid w:val="54A74053"/>
    <w:rsid w:val="54AF7181"/>
    <w:rsid w:val="54B26B6B"/>
    <w:rsid w:val="54C61C25"/>
    <w:rsid w:val="54CA53C2"/>
    <w:rsid w:val="54CB246C"/>
    <w:rsid w:val="54D200D4"/>
    <w:rsid w:val="54F11CBF"/>
    <w:rsid w:val="552208E3"/>
    <w:rsid w:val="552619D7"/>
    <w:rsid w:val="55462A3D"/>
    <w:rsid w:val="55615B36"/>
    <w:rsid w:val="557A4C99"/>
    <w:rsid w:val="557F2904"/>
    <w:rsid w:val="55B20452"/>
    <w:rsid w:val="55B91FF5"/>
    <w:rsid w:val="55CC31D4"/>
    <w:rsid w:val="55E13750"/>
    <w:rsid w:val="55E9132B"/>
    <w:rsid w:val="55FE1201"/>
    <w:rsid w:val="560C43D2"/>
    <w:rsid w:val="56186637"/>
    <w:rsid w:val="561C7810"/>
    <w:rsid w:val="562B215A"/>
    <w:rsid w:val="562D0E76"/>
    <w:rsid w:val="562F3BF3"/>
    <w:rsid w:val="566B1F8E"/>
    <w:rsid w:val="56781690"/>
    <w:rsid w:val="56930229"/>
    <w:rsid w:val="56A22DED"/>
    <w:rsid w:val="56BB016B"/>
    <w:rsid w:val="56CE4BFD"/>
    <w:rsid w:val="56D82184"/>
    <w:rsid w:val="56E72F91"/>
    <w:rsid w:val="56F74190"/>
    <w:rsid w:val="57040EEB"/>
    <w:rsid w:val="571647C5"/>
    <w:rsid w:val="571D0320"/>
    <w:rsid w:val="57746489"/>
    <w:rsid w:val="577F481A"/>
    <w:rsid w:val="578111A0"/>
    <w:rsid w:val="579F151F"/>
    <w:rsid w:val="57AA1C33"/>
    <w:rsid w:val="57AA4CE5"/>
    <w:rsid w:val="57AB7D0B"/>
    <w:rsid w:val="57CE1608"/>
    <w:rsid w:val="57ED2758"/>
    <w:rsid w:val="58050F29"/>
    <w:rsid w:val="582628F7"/>
    <w:rsid w:val="58434D92"/>
    <w:rsid w:val="58622F88"/>
    <w:rsid w:val="5865099B"/>
    <w:rsid w:val="58780E10"/>
    <w:rsid w:val="5895761A"/>
    <w:rsid w:val="58A4787A"/>
    <w:rsid w:val="58AC0A95"/>
    <w:rsid w:val="58B31658"/>
    <w:rsid w:val="58BB5C34"/>
    <w:rsid w:val="58C051D0"/>
    <w:rsid w:val="58D33D79"/>
    <w:rsid w:val="58EB2793"/>
    <w:rsid w:val="58F11142"/>
    <w:rsid w:val="58F874BB"/>
    <w:rsid w:val="59014C2E"/>
    <w:rsid w:val="591207B3"/>
    <w:rsid w:val="59160DEC"/>
    <w:rsid w:val="59192B20"/>
    <w:rsid w:val="591A55A7"/>
    <w:rsid w:val="591E56A4"/>
    <w:rsid w:val="59212569"/>
    <w:rsid w:val="593B0C8A"/>
    <w:rsid w:val="59475C44"/>
    <w:rsid w:val="59585A32"/>
    <w:rsid w:val="595F0C2D"/>
    <w:rsid w:val="597F201A"/>
    <w:rsid w:val="59943C05"/>
    <w:rsid w:val="59A03EDE"/>
    <w:rsid w:val="59A07AC0"/>
    <w:rsid w:val="59E61814"/>
    <w:rsid w:val="59E81625"/>
    <w:rsid w:val="5A266078"/>
    <w:rsid w:val="5A293E39"/>
    <w:rsid w:val="5A385532"/>
    <w:rsid w:val="5A4F4825"/>
    <w:rsid w:val="5A590379"/>
    <w:rsid w:val="5A661F13"/>
    <w:rsid w:val="5A6E5882"/>
    <w:rsid w:val="5A8B713C"/>
    <w:rsid w:val="5A9A3135"/>
    <w:rsid w:val="5A9D4D05"/>
    <w:rsid w:val="5AA339B1"/>
    <w:rsid w:val="5AD64ECD"/>
    <w:rsid w:val="5AF7219E"/>
    <w:rsid w:val="5B030D07"/>
    <w:rsid w:val="5B092BBB"/>
    <w:rsid w:val="5B3D5E56"/>
    <w:rsid w:val="5B3F2256"/>
    <w:rsid w:val="5B5252C7"/>
    <w:rsid w:val="5B5848CE"/>
    <w:rsid w:val="5B6D494B"/>
    <w:rsid w:val="5B7B496E"/>
    <w:rsid w:val="5B86667A"/>
    <w:rsid w:val="5B913D4A"/>
    <w:rsid w:val="5B937A18"/>
    <w:rsid w:val="5B9E3A7E"/>
    <w:rsid w:val="5BB943D0"/>
    <w:rsid w:val="5BC16D25"/>
    <w:rsid w:val="5BCE0BBE"/>
    <w:rsid w:val="5BF84988"/>
    <w:rsid w:val="5C301B0D"/>
    <w:rsid w:val="5C440275"/>
    <w:rsid w:val="5C745B1B"/>
    <w:rsid w:val="5CC1261E"/>
    <w:rsid w:val="5CDF6B87"/>
    <w:rsid w:val="5CE67DEB"/>
    <w:rsid w:val="5CEA5E21"/>
    <w:rsid w:val="5D00424E"/>
    <w:rsid w:val="5D082CA8"/>
    <w:rsid w:val="5D15168E"/>
    <w:rsid w:val="5D180872"/>
    <w:rsid w:val="5D3B1D9D"/>
    <w:rsid w:val="5D4445EC"/>
    <w:rsid w:val="5D525074"/>
    <w:rsid w:val="5D55084D"/>
    <w:rsid w:val="5D6767C6"/>
    <w:rsid w:val="5DB004C1"/>
    <w:rsid w:val="5DB96925"/>
    <w:rsid w:val="5DED7038"/>
    <w:rsid w:val="5DEE0EB9"/>
    <w:rsid w:val="5E0660C6"/>
    <w:rsid w:val="5E095650"/>
    <w:rsid w:val="5E236F88"/>
    <w:rsid w:val="5E2D275A"/>
    <w:rsid w:val="5E5011F1"/>
    <w:rsid w:val="5E5B1502"/>
    <w:rsid w:val="5E695F12"/>
    <w:rsid w:val="5E742035"/>
    <w:rsid w:val="5E77529C"/>
    <w:rsid w:val="5E7B041E"/>
    <w:rsid w:val="5E7E36E2"/>
    <w:rsid w:val="5E82401C"/>
    <w:rsid w:val="5E871DB4"/>
    <w:rsid w:val="5E8A398A"/>
    <w:rsid w:val="5E8F5718"/>
    <w:rsid w:val="5E906ED0"/>
    <w:rsid w:val="5EA47C3A"/>
    <w:rsid w:val="5EB91A43"/>
    <w:rsid w:val="5EC06B0A"/>
    <w:rsid w:val="5ED432A4"/>
    <w:rsid w:val="5ED87604"/>
    <w:rsid w:val="5EEE3070"/>
    <w:rsid w:val="5F0F3CA2"/>
    <w:rsid w:val="5F2723A4"/>
    <w:rsid w:val="5F452AF3"/>
    <w:rsid w:val="5F476C8D"/>
    <w:rsid w:val="5F597CB5"/>
    <w:rsid w:val="5F614BE5"/>
    <w:rsid w:val="5F841BF9"/>
    <w:rsid w:val="5FA57823"/>
    <w:rsid w:val="5FB713A2"/>
    <w:rsid w:val="5FC03972"/>
    <w:rsid w:val="5FC70A32"/>
    <w:rsid w:val="5FD35251"/>
    <w:rsid w:val="5FE94798"/>
    <w:rsid w:val="5FF45B68"/>
    <w:rsid w:val="601E63C8"/>
    <w:rsid w:val="60276841"/>
    <w:rsid w:val="603A11F0"/>
    <w:rsid w:val="603E5A45"/>
    <w:rsid w:val="60456C21"/>
    <w:rsid w:val="60684388"/>
    <w:rsid w:val="606F0754"/>
    <w:rsid w:val="606F1FC1"/>
    <w:rsid w:val="607E3555"/>
    <w:rsid w:val="608E44B7"/>
    <w:rsid w:val="609F0817"/>
    <w:rsid w:val="60A719A3"/>
    <w:rsid w:val="60AD04D0"/>
    <w:rsid w:val="60BE192C"/>
    <w:rsid w:val="60D05C4E"/>
    <w:rsid w:val="60D42EF4"/>
    <w:rsid w:val="60D6069A"/>
    <w:rsid w:val="60DD4F76"/>
    <w:rsid w:val="60E01D5A"/>
    <w:rsid w:val="60EB1859"/>
    <w:rsid w:val="60F749AA"/>
    <w:rsid w:val="60F7639D"/>
    <w:rsid w:val="60FE4448"/>
    <w:rsid w:val="61005EB0"/>
    <w:rsid w:val="61073BA1"/>
    <w:rsid w:val="61074905"/>
    <w:rsid w:val="611F397F"/>
    <w:rsid w:val="612B681D"/>
    <w:rsid w:val="614134D2"/>
    <w:rsid w:val="615B2B13"/>
    <w:rsid w:val="61700EFA"/>
    <w:rsid w:val="6174318C"/>
    <w:rsid w:val="617C3FB0"/>
    <w:rsid w:val="618A2AE1"/>
    <w:rsid w:val="618C4F52"/>
    <w:rsid w:val="61C603DC"/>
    <w:rsid w:val="61D84114"/>
    <w:rsid w:val="61EB4661"/>
    <w:rsid w:val="62334F52"/>
    <w:rsid w:val="62446C80"/>
    <w:rsid w:val="624A5567"/>
    <w:rsid w:val="62883972"/>
    <w:rsid w:val="62A91509"/>
    <w:rsid w:val="62E266F6"/>
    <w:rsid w:val="62E57C5A"/>
    <w:rsid w:val="62FB188C"/>
    <w:rsid w:val="63062796"/>
    <w:rsid w:val="630C0C08"/>
    <w:rsid w:val="631665E6"/>
    <w:rsid w:val="632905BE"/>
    <w:rsid w:val="63340102"/>
    <w:rsid w:val="635778CE"/>
    <w:rsid w:val="636546C4"/>
    <w:rsid w:val="63741BF9"/>
    <w:rsid w:val="63754CCA"/>
    <w:rsid w:val="638A734F"/>
    <w:rsid w:val="639C71A5"/>
    <w:rsid w:val="63C27357"/>
    <w:rsid w:val="63CE4BE9"/>
    <w:rsid w:val="63D22032"/>
    <w:rsid w:val="63D6116A"/>
    <w:rsid w:val="63E07F9B"/>
    <w:rsid w:val="63E86A03"/>
    <w:rsid w:val="63F42678"/>
    <w:rsid w:val="63F54659"/>
    <w:rsid w:val="63F947C1"/>
    <w:rsid w:val="640C18FE"/>
    <w:rsid w:val="64357CD7"/>
    <w:rsid w:val="64374EF8"/>
    <w:rsid w:val="64474AEE"/>
    <w:rsid w:val="64527253"/>
    <w:rsid w:val="64601085"/>
    <w:rsid w:val="646329F7"/>
    <w:rsid w:val="64636AD3"/>
    <w:rsid w:val="64642EBF"/>
    <w:rsid w:val="64687BF8"/>
    <w:rsid w:val="648E2C7C"/>
    <w:rsid w:val="649429C1"/>
    <w:rsid w:val="64A30A66"/>
    <w:rsid w:val="64B94393"/>
    <w:rsid w:val="64B96D49"/>
    <w:rsid w:val="64BC3FC5"/>
    <w:rsid w:val="64BD7BE4"/>
    <w:rsid w:val="64D3455A"/>
    <w:rsid w:val="64E500E3"/>
    <w:rsid w:val="64E751BB"/>
    <w:rsid w:val="650B05E6"/>
    <w:rsid w:val="65225348"/>
    <w:rsid w:val="652C1B75"/>
    <w:rsid w:val="652D2CC2"/>
    <w:rsid w:val="65332215"/>
    <w:rsid w:val="65411BD5"/>
    <w:rsid w:val="654366C6"/>
    <w:rsid w:val="656960F3"/>
    <w:rsid w:val="65707E5D"/>
    <w:rsid w:val="65807D8D"/>
    <w:rsid w:val="65851C45"/>
    <w:rsid w:val="658713A2"/>
    <w:rsid w:val="658D290D"/>
    <w:rsid w:val="65A312C8"/>
    <w:rsid w:val="65BC23A4"/>
    <w:rsid w:val="65C81BBA"/>
    <w:rsid w:val="65D142EB"/>
    <w:rsid w:val="65D624EA"/>
    <w:rsid w:val="65ED2582"/>
    <w:rsid w:val="65FC0B92"/>
    <w:rsid w:val="662226BE"/>
    <w:rsid w:val="664107D0"/>
    <w:rsid w:val="66782E16"/>
    <w:rsid w:val="668429AB"/>
    <w:rsid w:val="66AC6DC1"/>
    <w:rsid w:val="66B33504"/>
    <w:rsid w:val="66B44865"/>
    <w:rsid w:val="66B83C92"/>
    <w:rsid w:val="66E0375F"/>
    <w:rsid w:val="66EB1F1E"/>
    <w:rsid w:val="66F20CAA"/>
    <w:rsid w:val="66FD0D69"/>
    <w:rsid w:val="67040B74"/>
    <w:rsid w:val="67131B7D"/>
    <w:rsid w:val="67133A19"/>
    <w:rsid w:val="673C004F"/>
    <w:rsid w:val="673C08CB"/>
    <w:rsid w:val="67520B66"/>
    <w:rsid w:val="67576376"/>
    <w:rsid w:val="676174A8"/>
    <w:rsid w:val="6776651F"/>
    <w:rsid w:val="67862545"/>
    <w:rsid w:val="67B0451E"/>
    <w:rsid w:val="67F72431"/>
    <w:rsid w:val="67FB726E"/>
    <w:rsid w:val="680E6333"/>
    <w:rsid w:val="68190577"/>
    <w:rsid w:val="681C4C4B"/>
    <w:rsid w:val="682A4360"/>
    <w:rsid w:val="683048BC"/>
    <w:rsid w:val="683D7490"/>
    <w:rsid w:val="68790FAE"/>
    <w:rsid w:val="687F68C4"/>
    <w:rsid w:val="688B085B"/>
    <w:rsid w:val="688C3295"/>
    <w:rsid w:val="689175CE"/>
    <w:rsid w:val="689E7138"/>
    <w:rsid w:val="68A560D7"/>
    <w:rsid w:val="68AB7C29"/>
    <w:rsid w:val="68AC67AA"/>
    <w:rsid w:val="68AE118D"/>
    <w:rsid w:val="68B27DFC"/>
    <w:rsid w:val="68CA206B"/>
    <w:rsid w:val="68D404A2"/>
    <w:rsid w:val="68EB6311"/>
    <w:rsid w:val="68F203FD"/>
    <w:rsid w:val="691702F9"/>
    <w:rsid w:val="693D5000"/>
    <w:rsid w:val="696516D2"/>
    <w:rsid w:val="696A42AA"/>
    <w:rsid w:val="696C7B34"/>
    <w:rsid w:val="699053D3"/>
    <w:rsid w:val="69944454"/>
    <w:rsid w:val="69AE0A96"/>
    <w:rsid w:val="69B82AF8"/>
    <w:rsid w:val="69C00A49"/>
    <w:rsid w:val="69C61DD4"/>
    <w:rsid w:val="69C72C35"/>
    <w:rsid w:val="69D125E1"/>
    <w:rsid w:val="69D4610A"/>
    <w:rsid w:val="69E67502"/>
    <w:rsid w:val="6A0A3C46"/>
    <w:rsid w:val="6A2C45C5"/>
    <w:rsid w:val="6A337BF3"/>
    <w:rsid w:val="6A460807"/>
    <w:rsid w:val="6A562D89"/>
    <w:rsid w:val="6A5973AD"/>
    <w:rsid w:val="6AB634A4"/>
    <w:rsid w:val="6AF146AC"/>
    <w:rsid w:val="6AF24CE7"/>
    <w:rsid w:val="6B065E03"/>
    <w:rsid w:val="6B0F5701"/>
    <w:rsid w:val="6B115A56"/>
    <w:rsid w:val="6B342E6D"/>
    <w:rsid w:val="6B4627C0"/>
    <w:rsid w:val="6B5716CC"/>
    <w:rsid w:val="6B633799"/>
    <w:rsid w:val="6B64121C"/>
    <w:rsid w:val="6B647C2F"/>
    <w:rsid w:val="6B770D5D"/>
    <w:rsid w:val="6B773232"/>
    <w:rsid w:val="6B7E743A"/>
    <w:rsid w:val="6B80102A"/>
    <w:rsid w:val="6B873E81"/>
    <w:rsid w:val="6B9B7315"/>
    <w:rsid w:val="6BC623F9"/>
    <w:rsid w:val="6BCA3551"/>
    <w:rsid w:val="6BD4041C"/>
    <w:rsid w:val="6BDA4D0B"/>
    <w:rsid w:val="6BEC5E51"/>
    <w:rsid w:val="6C111553"/>
    <w:rsid w:val="6C1425D1"/>
    <w:rsid w:val="6C1C442B"/>
    <w:rsid w:val="6C2B23BB"/>
    <w:rsid w:val="6C4F65AD"/>
    <w:rsid w:val="6C796D14"/>
    <w:rsid w:val="6C8E25EB"/>
    <w:rsid w:val="6C9E192F"/>
    <w:rsid w:val="6CA32051"/>
    <w:rsid w:val="6CA6347D"/>
    <w:rsid w:val="6CAA49E7"/>
    <w:rsid w:val="6CAC714F"/>
    <w:rsid w:val="6CAF7517"/>
    <w:rsid w:val="6CBE7235"/>
    <w:rsid w:val="6CCD3441"/>
    <w:rsid w:val="6CF473C1"/>
    <w:rsid w:val="6D095C70"/>
    <w:rsid w:val="6D0D2DA3"/>
    <w:rsid w:val="6D195FAB"/>
    <w:rsid w:val="6D3E1E91"/>
    <w:rsid w:val="6D605E36"/>
    <w:rsid w:val="6D6A5877"/>
    <w:rsid w:val="6D6B0293"/>
    <w:rsid w:val="6D71797C"/>
    <w:rsid w:val="6D8613FD"/>
    <w:rsid w:val="6D8E2973"/>
    <w:rsid w:val="6D8F53CA"/>
    <w:rsid w:val="6D9D5E35"/>
    <w:rsid w:val="6DA1296C"/>
    <w:rsid w:val="6DA749FD"/>
    <w:rsid w:val="6DAC652F"/>
    <w:rsid w:val="6DB27660"/>
    <w:rsid w:val="6DBA0C23"/>
    <w:rsid w:val="6DCC02D6"/>
    <w:rsid w:val="6DD91726"/>
    <w:rsid w:val="6DE63451"/>
    <w:rsid w:val="6DF06347"/>
    <w:rsid w:val="6DFE1D39"/>
    <w:rsid w:val="6E054F8E"/>
    <w:rsid w:val="6E2A25B6"/>
    <w:rsid w:val="6E2C5640"/>
    <w:rsid w:val="6E3157FE"/>
    <w:rsid w:val="6E3439A7"/>
    <w:rsid w:val="6E4C1202"/>
    <w:rsid w:val="6E4D7CAA"/>
    <w:rsid w:val="6E4F0A82"/>
    <w:rsid w:val="6E614F20"/>
    <w:rsid w:val="6E8A325F"/>
    <w:rsid w:val="6E9403B3"/>
    <w:rsid w:val="6EB91009"/>
    <w:rsid w:val="6EC17941"/>
    <w:rsid w:val="6ED05AF2"/>
    <w:rsid w:val="6ED90EB8"/>
    <w:rsid w:val="6ED96BE5"/>
    <w:rsid w:val="6EE00B16"/>
    <w:rsid w:val="6EED7B5E"/>
    <w:rsid w:val="6F0110FF"/>
    <w:rsid w:val="6F0F7908"/>
    <w:rsid w:val="6F133456"/>
    <w:rsid w:val="6F201E2F"/>
    <w:rsid w:val="6F2C48BA"/>
    <w:rsid w:val="6F542FC2"/>
    <w:rsid w:val="6F6E6421"/>
    <w:rsid w:val="6F8257FF"/>
    <w:rsid w:val="6F835138"/>
    <w:rsid w:val="6FA3523A"/>
    <w:rsid w:val="6FBB1A76"/>
    <w:rsid w:val="6FE37A15"/>
    <w:rsid w:val="6FEF78BA"/>
    <w:rsid w:val="700A3BDB"/>
    <w:rsid w:val="700C47ED"/>
    <w:rsid w:val="70213A33"/>
    <w:rsid w:val="702E6D96"/>
    <w:rsid w:val="703A7312"/>
    <w:rsid w:val="703C426A"/>
    <w:rsid w:val="704E56CD"/>
    <w:rsid w:val="70586D4C"/>
    <w:rsid w:val="70602093"/>
    <w:rsid w:val="70736794"/>
    <w:rsid w:val="7090349D"/>
    <w:rsid w:val="70924268"/>
    <w:rsid w:val="70984BC8"/>
    <w:rsid w:val="70B60FE6"/>
    <w:rsid w:val="70CA5D4E"/>
    <w:rsid w:val="70DA4F31"/>
    <w:rsid w:val="70F76CAF"/>
    <w:rsid w:val="712676F2"/>
    <w:rsid w:val="713C31D9"/>
    <w:rsid w:val="713E266D"/>
    <w:rsid w:val="714942AA"/>
    <w:rsid w:val="71512087"/>
    <w:rsid w:val="71542C73"/>
    <w:rsid w:val="71550A68"/>
    <w:rsid w:val="716303CF"/>
    <w:rsid w:val="716564C4"/>
    <w:rsid w:val="717A3AD5"/>
    <w:rsid w:val="717D3F41"/>
    <w:rsid w:val="7187112E"/>
    <w:rsid w:val="7188326A"/>
    <w:rsid w:val="718D3F98"/>
    <w:rsid w:val="719E2AA8"/>
    <w:rsid w:val="71B620B3"/>
    <w:rsid w:val="71CD41B3"/>
    <w:rsid w:val="71E209E0"/>
    <w:rsid w:val="72014FE5"/>
    <w:rsid w:val="720D1F5A"/>
    <w:rsid w:val="721C2B4F"/>
    <w:rsid w:val="721E6F1B"/>
    <w:rsid w:val="72207884"/>
    <w:rsid w:val="72242572"/>
    <w:rsid w:val="723257FB"/>
    <w:rsid w:val="725B461B"/>
    <w:rsid w:val="72682BFD"/>
    <w:rsid w:val="72E70371"/>
    <w:rsid w:val="72EC6871"/>
    <w:rsid w:val="72F90EAF"/>
    <w:rsid w:val="72FB1895"/>
    <w:rsid w:val="72FF231D"/>
    <w:rsid w:val="73150997"/>
    <w:rsid w:val="7316547C"/>
    <w:rsid w:val="73276E31"/>
    <w:rsid w:val="73356F0E"/>
    <w:rsid w:val="73363F9E"/>
    <w:rsid w:val="735A056A"/>
    <w:rsid w:val="73651863"/>
    <w:rsid w:val="736F1B58"/>
    <w:rsid w:val="73757817"/>
    <w:rsid w:val="73BC3944"/>
    <w:rsid w:val="73C86109"/>
    <w:rsid w:val="73D26CB2"/>
    <w:rsid w:val="73D86360"/>
    <w:rsid w:val="73DD77BE"/>
    <w:rsid w:val="73F443C3"/>
    <w:rsid w:val="74024C8F"/>
    <w:rsid w:val="74426413"/>
    <w:rsid w:val="74451D35"/>
    <w:rsid w:val="746234E8"/>
    <w:rsid w:val="74717FAD"/>
    <w:rsid w:val="747867A2"/>
    <w:rsid w:val="7479137C"/>
    <w:rsid w:val="74A959E9"/>
    <w:rsid w:val="74E157EF"/>
    <w:rsid w:val="75072079"/>
    <w:rsid w:val="750C1820"/>
    <w:rsid w:val="751B51E2"/>
    <w:rsid w:val="751D11F1"/>
    <w:rsid w:val="754755B0"/>
    <w:rsid w:val="754F723B"/>
    <w:rsid w:val="75750C36"/>
    <w:rsid w:val="75A8505E"/>
    <w:rsid w:val="75AA6C6C"/>
    <w:rsid w:val="75B41312"/>
    <w:rsid w:val="75B52929"/>
    <w:rsid w:val="75BE30A7"/>
    <w:rsid w:val="75CF1A48"/>
    <w:rsid w:val="75E83D18"/>
    <w:rsid w:val="75EF5E81"/>
    <w:rsid w:val="76072D30"/>
    <w:rsid w:val="76085D47"/>
    <w:rsid w:val="761E39C0"/>
    <w:rsid w:val="76222DAB"/>
    <w:rsid w:val="76420284"/>
    <w:rsid w:val="76426980"/>
    <w:rsid w:val="767633AA"/>
    <w:rsid w:val="76766F2E"/>
    <w:rsid w:val="767C66D2"/>
    <w:rsid w:val="768919E5"/>
    <w:rsid w:val="768B0C69"/>
    <w:rsid w:val="7690575B"/>
    <w:rsid w:val="769B01D8"/>
    <w:rsid w:val="76A4241F"/>
    <w:rsid w:val="76A86FB9"/>
    <w:rsid w:val="76C53BB5"/>
    <w:rsid w:val="76C56DBC"/>
    <w:rsid w:val="76D6052A"/>
    <w:rsid w:val="76EA5A29"/>
    <w:rsid w:val="77361223"/>
    <w:rsid w:val="775A361F"/>
    <w:rsid w:val="779D5AC2"/>
    <w:rsid w:val="77A03D41"/>
    <w:rsid w:val="77F20FC8"/>
    <w:rsid w:val="780A68B1"/>
    <w:rsid w:val="78225AC0"/>
    <w:rsid w:val="784A6D2E"/>
    <w:rsid w:val="784C3424"/>
    <w:rsid w:val="78746ADB"/>
    <w:rsid w:val="78926EA9"/>
    <w:rsid w:val="78A422B0"/>
    <w:rsid w:val="78AD2707"/>
    <w:rsid w:val="78CA1C71"/>
    <w:rsid w:val="78CE1DF2"/>
    <w:rsid w:val="78CF11AC"/>
    <w:rsid w:val="78E832A7"/>
    <w:rsid w:val="78F256F2"/>
    <w:rsid w:val="790A0441"/>
    <w:rsid w:val="791C42B7"/>
    <w:rsid w:val="79303D9E"/>
    <w:rsid w:val="795D0587"/>
    <w:rsid w:val="799742AF"/>
    <w:rsid w:val="79986666"/>
    <w:rsid w:val="799B6432"/>
    <w:rsid w:val="799E7555"/>
    <w:rsid w:val="79CD540C"/>
    <w:rsid w:val="79DC0EA9"/>
    <w:rsid w:val="79E41E1A"/>
    <w:rsid w:val="7A1B386A"/>
    <w:rsid w:val="7A1E0002"/>
    <w:rsid w:val="7A2A0F00"/>
    <w:rsid w:val="7A2A7747"/>
    <w:rsid w:val="7A316B40"/>
    <w:rsid w:val="7A3C3923"/>
    <w:rsid w:val="7A4675B0"/>
    <w:rsid w:val="7A6F4903"/>
    <w:rsid w:val="7A6F776C"/>
    <w:rsid w:val="7A7B25E1"/>
    <w:rsid w:val="7A964E9F"/>
    <w:rsid w:val="7AA22FFA"/>
    <w:rsid w:val="7AA8137A"/>
    <w:rsid w:val="7ABD3582"/>
    <w:rsid w:val="7AD35AF8"/>
    <w:rsid w:val="7AD85A3A"/>
    <w:rsid w:val="7AE168D1"/>
    <w:rsid w:val="7AE3112C"/>
    <w:rsid w:val="7AF0015B"/>
    <w:rsid w:val="7AF5292D"/>
    <w:rsid w:val="7B063941"/>
    <w:rsid w:val="7B074467"/>
    <w:rsid w:val="7B116D74"/>
    <w:rsid w:val="7B271D12"/>
    <w:rsid w:val="7B284C07"/>
    <w:rsid w:val="7B2A1176"/>
    <w:rsid w:val="7B3C282E"/>
    <w:rsid w:val="7B5E3F9F"/>
    <w:rsid w:val="7B68000C"/>
    <w:rsid w:val="7B6911CF"/>
    <w:rsid w:val="7B6C19BC"/>
    <w:rsid w:val="7B9056E4"/>
    <w:rsid w:val="7BBF3C16"/>
    <w:rsid w:val="7BDA1C07"/>
    <w:rsid w:val="7BE66AC3"/>
    <w:rsid w:val="7BF95883"/>
    <w:rsid w:val="7C201BB7"/>
    <w:rsid w:val="7C4C46BE"/>
    <w:rsid w:val="7C5C5B2B"/>
    <w:rsid w:val="7C673048"/>
    <w:rsid w:val="7C926035"/>
    <w:rsid w:val="7C941DE2"/>
    <w:rsid w:val="7CA1128D"/>
    <w:rsid w:val="7CA665EE"/>
    <w:rsid w:val="7CBB7DD3"/>
    <w:rsid w:val="7CC06DBF"/>
    <w:rsid w:val="7CC62DE7"/>
    <w:rsid w:val="7CCB7ABB"/>
    <w:rsid w:val="7CF67993"/>
    <w:rsid w:val="7CFA342B"/>
    <w:rsid w:val="7D1C55E1"/>
    <w:rsid w:val="7D4940DA"/>
    <w:rsid w:val="7D5F66CB"/>
    <w:rsid w:val="7D623473"/>
    <w:rsid w:val="7D633FB4"/>
    <w:rsid w:val="7D661037"/>
    <w:rsid w:val="7D674EEF"/>
    <w:rsid w:val="7D715D15"/>
    <w:rsid w:val="7D8036DC"/>
    <w:rsid w:val="7D841A97"/>
    <w:rsid w:val="7D973CED"/>
    <w:rsid w:val="7DE91FA1"/>
    <w:rsid w:val="7E13063F"/>
    <w:rsid w:val="7E1620A0"/>
    <w:rsid w:val="7E1672EC"/>
    <w:rsid w:val="7E1B4A9A"/>
    <w:rsid w:val="7E236C24"/>
    <w:rsid w:val="7E332266"/>
    <w:rsid w:val="7E377990"/>
    <w:rsid w:val="7E3C32A3"/>
    <w:rsid w:val="7E5723A5"/>
    <w:rsid w:val="7E9376B2"/>
    <w:rsid w:val="7EA023D2"/>
    <w:rsid w:val="7EA11750"/>
    <w:rsid w:val="7EBD7FBB"/>
    <w:rsid w:val="7EF72A9A"/>
    <w:rsid w:val="7EFE1896"/>
    <w:rsid w:val="7F0D10FB"/>
    <w:rsid w:val="7F0D1D7E"/>
    <w:rsid w:val="7F0F1C74"/>
    <w:rsid w:val="7F397DA6"/>
    <w:rsid w:val="7F3F078E"/>
    <w:rsid w:val="7F4C4AA1"/>
    <w:rsid w:val="7F507707"/>
    <w:rsid w:val="7F507A8E"/>
    <w:rsid w:val="7F5369F5"/>
    <w:rsid w:val="7F661143"/>
    <w:rsid w:val="7F79005E"/>
    <w:rsid w:val="7FAB2A42"/>
    <w:rsid w:val="7FC67AED"/>
    <w:rsid w:val="7FD90E29"/>
    <w:rsid w:val="7FEB19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0" w:semiHidden="0" w:name="footer"/>
    <w:lsdException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1"/>
    <w:autoRedefine/>
    <w:qFormat/>
    <w:uiPriority w:val="0"/>
    <w:pPr>
      <w:keepNext/>
      <w:keepLines/>
      <w:widowControl/>
      <w:spacing w:before="340" w:after="330" w:line="576" w:lineRule="auto"/>
      <w:jc w:val="left"/>
      <w:outlineLvl w:val="0"/>
    </w:pPr>
    <w:rPr>
      <w:b/>
      <w:bCs/>
      <w:kern w:val="44"/>
      <w:sz w:val="44"/>
      <w:szCs w:val="44"/>
    </w:rPr>
  </w:style>
  <w:style w:type="paragraph" w:styleId="6">
    <w:name w:val="heading 2"/>
    <w:basedOn w:val="1"/>
    <w:next w:val="1"/>
    <w:link w:val="422"/>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423"/>
    <w:autoRedefine/>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424"/>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425"/>
    <w:autoRedefine/>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1"/>
    <w:next w:val="1"/>
    <w:link w:val="426"/>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1">
    <w:name w:val="heading 7"/>
    <w:basedOn w:val="1"/>
    <w:next w:val="1"/>
    <w:link w:val="427"/>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2">
    <w:name w:val="heading 8"/>
    <w:basedOn w:val="1"/>
    <w:next w:val="1"/>
    <w:link w:val="428"/>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3">
    <w:name w:val="heading 9"/>
    <w:basedOn w:val="1"/>
    <w:next w:val="1"/>
    <w:link w:val="429"/>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autoRedefine/>
    <w:unhideWhenUsed/>
    <w:qFormat/>
    <w:uiPriority w:val="1"/>
  </w:style>
  <w:style w:type="table" w:default="1" w:styleId="5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link w:val="510"/>
    <w:autoRedefine/>
    <w:unhideWhenUsed/>
    <w:qFormat/>
    <w:uiPriority w:val="0"/>
    <w:pPr>
      <w:ind w:firstLine="420" w:firstLineChars="200"/>
    </w:pPr>
    <w:rPr>
      <w:rFonts w:ascii="仿宋_GB2312" w:eastAsia="仿宋_GB2312"/>
      <w:color w:val="000000"/>
      <w:sz w:val="24"/>
    </w:rPr>
  </w:style>
  <w:style w:type="paragraph" w:styleId="3">
    <w:name w:val="Body Text Indent"/>
    <w:basedOn w:val="1"/>
    <w:next w:val="4"/>
    <w:link w:val="453"/>
    <w:autoRedefine/>
    <w:qFormat/>
    <w:uiPriority w:val="99"/>
    <w:pPr>
      <w:spacing w:after="120"/>
      <w:ind w:left="420" w:leftChars="200"/>
    </w:pPr>
    <w:rPr>
      <w:kern w:val="0"/>
      <w:sz w:val="20"/>
    </w:rPr>
  </w:style>
  <w:style w:type="paragraph" w:styleId="4">
    <w:name w:val="envelope return"/>
    <w:basedOn w:val="1"/>
    <w:autoRedefine/>
    <w:qFormat/>
    <w:uiPriority w:val="0"/>
    <w:pPr>
      <w:snapToGrid w:val="0"/>
    </w:pPr>
    <w:rPr>
      <w:rFonts w:ascii="Arial" w:hAnsi="Arial"/>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39"/>
    <w:pPr>
      <w:ind w:left="1260"/>
      <w:jc w:val="left"/>
    </w:pPr>
    <w:rPr>
      <w:sz w:val="18"/>
      <w:szCs w:val="18"/>
    </w:rPr>
  </w:style>
  <w:style w:type="paragraph" w:styleId="16">
    <w:name w:val="table of authorities"/>
    <w:basedOn w:val="1"/>
    <w:next w:val="1"/>
    <w:autoRedefine/>
    <w:qFormat/>
    <w:uiPriority w:val="0"/>
    <w:pPr>
      <w:ind w:left="420" w:leftChars="200"/>
    </w:pPr>
    <w:rPr>
      <w:szCs w:val="20"/>
    </w:rPr>
  </w:style>
  <w:style w:type="paragraph" w:styleId="17">
    <w:name w:val="List Bullet 4"/>
    <w:basedOn w:val="1"/>
    <w:autoRedefine/>
    <w:qFormat/>
    <w:uiPriority w:val="0"/>
    <w:pPr>
      <w:tabs>
        <w:tab w:val="left" w:pos="980"/>
      </w:tabs>
      <w:spacing w:beforeLines="50" w:afterLines="50" w:line="360" w:lineRule="auto"/>
      <w:ind w:left="980" w:hanging="420"/>
    </w:pPr>
    <w:rPr>
      <w:sz w:val="24"/>
    </w:rPr>
  </w:style>
  <w:style w:type="paragraph" w:styleId="18">
    <w:name w:val="List Number"/>
    <w:basedOn w:val="1"/>
    <w:autoRedefine/>
    <w:qFormat/>
    <w:uiPriority w:val="0"/>
    <w:pPr>
      <w:tabs>
        <w:tab w:val="left" w:pos="360"/>
        <w:tab w:val="left" w:pos="567"/>
        <w:tab w:val="left" w:pos="840"/>
      </w:tabs>
      <w:ind w:left="567" w:hanging="567"/>
    </w:pPr>
    <w:rPr>
      <w:rFonts w:ascii="Calibri" w:hAnsi="Calibri"/>
      <w:sz w:val="28"/>
      <w:szCs w:val="22"/>
    </w:rPr>
  </w:style>
  <w:style w:type="paragraph" w:styleId="19">
    <w:name w:val="Normal Indent"/>
    <w:basedOn w:val="1"/>
    <w:next w:val="1"/>
    <w:link w:val="431"/>
    <w:autoRedefine/>
    <w:qFormat/>
    <w:uiPriority w:val="0"/>
    <w:pPr>
      <w:widowControl/>
      <w:ind w:firstLine="420"/>
      <w:jc w:val="left"/>
    </w:pPr>
    <w:rPr>
      <w:rFonts w:ascii="Calibri" w:hAnsi="Calibri" w:cs="黑体"/>
      <w:szCs w:val="22"/>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2">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3">
    <w:name w:val="Document Map"/>
    <w:basedOn w:val="1"/>
    <w:link w:val="516"/>
    <w:autoRedefine/>
    <w:qFormat/>
    <w:uiPriority w:val="0"/>
    <w:pPr>
      <w:shd w:val="clear" w:color="auto" w:fill="000080"/>
    </w:pPr>
  </w:style>
  <w:style w:type="paragraph" w:styleId="24">
    <w:name w:val="annotation text"/>
    <w:basedOn w:val="1"/>
    <w:link w:val="441"/>
    <w:autoRedefine/>
    <w:unhideWhenUsed/>
    <w:qFormat/>
    <w:uiPriority w:val="0"/>
    <w:pPr>
      <w:jc w:val="left"/>
    </w:pPr>
  </w:style>
  <w:style w:type="paragraph" w:styleId="25">
    <w:name w:val="Salutation"/>
    <w:basedOn w:val="1"/>
    <w:next w:val="1"/>
    <w:link w:val="430"/>
    <w:autoRedefine/>
    <w:qFormat/>
    <w:uiPriority w:val="0"/>
    <w:rPr>
      <w:kern w:val="0"/>
      <w:sz w:val="20"/>
    </w:rPr>
  </w:style>
  <w:style w:type="paragraph" w:styleId="26">
    <w:name w:val="Body Text 3"/>
    <w:basedOn w:val="1"/>
    <w:link w:val="517"/>
    <w:autoRedefine/>
    <w:unhideWhenUsed/>
    <w:qFormat/>
    <w:uiPriority w:val="0"/>
    <w:pPr>
      <w:spacing w:beforeLines="50" w:afterLines="50" w:line="360" w:lineRule="auto"/>
    </w:pPr>
    <w:rPr>
      <w:kern w:val="0"/>
      <w:sz w:val="16"/>
      <w:szCs w:val="16"/>
    </w:rPr>
  </w:style>
  <w:style w:type="paragraph" w:styleId="27">
    <w:name w:val="Closing"/>
    <w:basedOn w:val="1"/>
    <w:link w:val="444"/>
    <w:autoRedefine/>
    <w:qFormat/>
    <w:uiPriority w:val="0"/>
    <w:pPr>
      <w:ind w:left="100" w:leftChars="2100"/>
    </w:pPr>
    <w:rPr>
      <w:kern w:val="0"/>
      <w:sz w:val="20"/>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w:basedOn w:val="1"/>
    <w:next w:val="1"/>
    <w:link w:val="435"/>
    <w:autoRedefine/>
    <w:qFormat/>
    <w:uiPriority w:val="0"/>
    <w:pPr>
      <w:widowControl/>
      <w:jc w:val="left"/>
    </w:pPr>
    <w:rPr>
      <w:kern w:val="0"/>
      <w:sz w:val="24"/>
      <w:szCs w:val="20"/>
    </w:rPr>
  </w:style>
  <w:style w:type="paragraph" w:styleId="30">
    <w:name w:val="List 2"/>
    <w:basedOn w:val="1"/>
    <w:autoRedefine/>
    <w:qFormat/>
    <w:uiPriority w:val="0"/>
    <w:pPr>
      <w:spacing w:beforeLines="50" w:afterLines="50" w:line="360" w:lineRule="auto"/>
      <w:ind w:left="100" w:leftChars="200" w:hanging="200" w:hangingChars="200"/>
    </w:pPr>
    <w:rPr>
      <w:sz w:val="24"/>
    </w:rPr>
  </w:style>
  <w:style w:type="paragraph" w:styleId="31">
    <w:name w:val="Block Text"/>
    <w:basedOn w:val="1"/>
    <w:autoRedefine/>
    <w:qFormat/>
    <w:uiPriority w:val="0"/>
    <w:pPr>
      <w:autoSpaceDE w:val="0"/>
      <w:autoSpaceDN w:val="0"/>
      <w:adjustRightInd w:val="0"/>
      <w:spacing w:line="360" w:lineRule="atLeast"/>
      <w:ind w:left="1418" w:right="1800" w:rightChars="857" w:firstLine="540"/>
    </w:pPr>
    <w:rPr>
      <w:rFonts w:ascii="宋体"/>
      <w:color w:val="000000"/>
      <w:kern w:val="0"/>
      <w:sz w:val="24"/>
    </w:rPr>
  </w:style>
  <w:style w:type="paragraph" w:styleId="32">
    <w:name w:val="toc 5"/>
    <w:basedOn w:val="1"/>
    <w:next w:val="1"/>
    <w:autoRedefine/>
    <w:qFormat/>
    <w:uiPriority w:val="39"/>
    <w:pPr>
      <w:ind w:left="840"/>
      <w:jc w:val="left"/>
    </w:pPr>
    <w:rPr>
      <w:sz w:val="18"/>
      <w:szCs w:val="18"/>
    </w:rPr>
  </w:style>
  <w:style w:type="paragraph" w:styleId="33">
    <w:name w:val="toc 3"/>
    <w:basedOn w:val="1"/>
    <w:next w:val="1"/>
    <w:autoRedefine/>
    <w:qFormat/>
    <w:uiPriority w:val="39"/>
    <w:pPr>
      <w:ind w:left="420"/>
      <w:jc w:val="left"/>
    </w:pPr>
    <w:rPr>
      <w:i/>
      <w:iCs/>
      <w:sz w:val="20"/>
      <w:szCs w:val="20"/>
    </w:rPr>
  </w:style>
  <w:style w:type="paragraph" w:styleId="34">
    <w:name w:val="Plain Text"/>
    <w:basedOn w:val="1"/>
    <w:link w:val="446"/>
    <w:autoRedefine/>
    <w:qFormat/>
    <w:uiPriority w:val="0"/>
    <w:rPr>
      <w:rFonts w:ascii="宋体" w:hAnsi="Courier New"/>
      <w:kern w:val="0"/>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448"/>
    <w:autoRedefine/>
    <w:qFormat/>
    <w:uiPriority w:val="0"/>
    <w:pPr>
      <w:ind w:left="100" w:leftChars="2500"/>
    </w:pPr>
    <w:rPr>
      <w:kern w:val="0"/>
      <w:sz w:val="20"/>
    </w:rPr>
  </w:style>
  <w:style w:type="paragraph" w:styleId="37">
    <w:name w:val="Body Text Indent 2"/>
    <w:basedOn w:val="1"/>
    <w:link w:val="452"/>
    <w:autoRedefine/>
    <w:qFormat/>
    <w:uiPriority w:val="0"/>
    <w:pPr>
      <w:spacing w:line="360" w:lineRule="auto"/>
      <w:ind w:left="839" w:hanging="839" w:hangingChars="355"/>
    </w:pPr>
    <w:rPr>
      <w:b/>
      <w:kern w:val="0"/>
      <w:sz w:val="24"/>
    </w:rPr>
  </w:style>
  <w:style w:type="paragraph" w:styleId="38">
    <w:name w:val="endnote text"/>
    <w:basedOn w:val="1"/>
    <w:link w:val="514"/>
    <w:autoRedefine/>
    <w:qFormat/>
    <w:uiPriority w:val="0"/>
    <w:pPr>
      <w:snapToGrid w:val="0"/>
      <w:jc w:val="left"/>
    </w:pPr>
    <w:rPr>
      <w:kern w:val="0"/>
      <w:sz w:val="20"/>
      <w:szCs w:val="20"/>
    </w:rPr>
  </w:style>
  <w:style w:type="paragraph" w:styleId="39">
    <w:name w:val="Balloon Text"/>
    <w:basedOn w:val="1"/>
    <w:link w:val="438"/>
    <w:autoRedefine/>
    <w:qFormat/>
    <w:uiPriority w:val="0"/>
    <w:rPr>
      <w:kern w:val="0"/>
      <w:sz w:val="18"/>
      <w:szCs w:val="18"/>
    </w:rPr>
  </w:style>
  <w:style w:type="paragraph" w:styleId="40">
    <w:name w:val="footer"/>
    <w:basedOn w:val="1"/>
    <w:link w:val="433"/>
    <w:autoRedefine/>
    <w:unhideWhenUsed/>
    <w:qFormat/>
    <w:uiPriority w:val="0"/>
    <w:pPr>
      <w:tabs>
        <w:tab w:val="center" w:pos="4153"/>
        <w:tab w:val="right" w:pos="8306"/>
      </w:tabs>
      <w:snapToGrid w:val="0"/>
      <w:jc w:val="left"/>
    </w:pPr>
    <w:rPr>
      <w:kern w:val="0"/>
      <w:sz w:val="18"/>
      <w:szCs w:val="18"/>
    </w:rPr>
  </w:style>
  <w:style w:type="paragraph" w:styleId="41">
    <w:name w:val="header"/>
    <w:basedOn w:val="1"/>
    <w:link w:val="4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840"/>
        <w:tab w:val="right" w:leader="dot" w:pos="8210"/>
      </w:tabs>
      <w:jc w:val="left"/>
    </w:pPr>
    <w:rPr>
      <w:rFonts w:ascii="仿宋_GB2312" w:hAnsi="宋体" w:eastAsia="仿宋_GB2312"/>
      <w:b/>
      <w:bCs/>
      <w:caps/>
      <w:sz w:val="32"/>
      <w:szCs w:val="32"/>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513"/>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toc 6"/>
    <w:basedOn w:val="1"/>
    <w:next w:val="1"/>
    <w:autoRedefine/>
    <w:qFormat/>
    <w:uiPriority w:val="39"/>
    <w:pPr>
      <w:ind w:left="1050"/>
      <w:jc w:val="left"/>
    </w:pPr>
    <w:rPr>
      <w:sz w:val="18"/>
      <w:szCs w:val="18"/>
    </w:rPr>
  </w:style>
  <w:style w:type="paragraph" w:styleId="47">
    <w:name w:val="Body Text Indent 3"/>
    <w:basedOn w:val="1"/>
    <w:link w:val="515"/>
    <w:autoRedefine/>
    <w:qFormat/>
    <w:uiPriority w:val="0"/>
    <w:pPr>
      <w:ind w:firstLine="480" w:firstLineChars="200"/>
    </w:pPr>
    <w:rPr>
      <w:rFonts w:ascii="幼圆" w:eastAsia="幼圆"/>
      <w:sz w:val="24"/>
      <w:szCs w:val="32"/>
    </w:rPr>
  </w:style>
  <w:style w:type="paragraph" w:styleId="48">
    <w:name w:val="table of figures"/>
    <w:basedOn w:val="1"/>
    <w:next w:val="1"/>
    <w:autoRedefine/>
    <w:qFormat/>
    <w:uiPriority w:val="0"/>
    <w:pPr>
      <w:adjustRightInd w:val="0"/>
      <w:ind w:left="420" w:hanging="420"/>
      <w:jc w:val="left"/>
      <w:textAlignment w:val="baseline"/>
    </w:pPr>
    <w:rPr>
      <w:rFonts w:eastAsia="楷体_GB2312"/>
      <w:smallCaps/>
      <w:sz w:val="24"/>
      <w:szCs w:val="20"/>
    </w:rPr>
  </w:style>
  <w:style w:type="paragraph" w:styleId="49">
    <w:name w:val="toc 2"/>
    <w:basedOn w:val="1"/>
    <w:next w:val="1"/>
    <w:autoRedefine/>
    <w:qFormat/>
    <w:uiPriority w:val="39"/>
    <w:pPr>
      <w:ind w:left="210"/>
      <w:jc w:val="left"/>
    </w:pPr>
    <w:rPr>
      <w:smallCaps/>
      <w:sz w:val="20"/>
      <w:szCs w:val="20"/>
    </w:rPr>
  </w:style>
  <w:style w:type="paragraph" w:styleId="50">
    <w:name w:val="toc 9"/>
    <w:basedOn w:val="1"/>
    <w:next w:val="1"/>
    <w:autoRedefine/>
    <w:qFormat/>
    <w:uiPriority w:val="39"/>
    <w:pPr>
      <w:ind w:left="1680"/>
      <w:jc w:val="left"/>
    </w:pPr>
    <w:rPr>
      <w:sz w:val="18"/>
      <w:szCs w:val="18"/>
    </w:rPr>
  </w:style>
  <w:style w:type="paragraph" w:styleId="51">
    <w:name w:val="Body Text 2"/>
    <w:basedOn w:val="1"/>
    <w:link w:val="512"/>
    <w:autoRedefine/>
    <w:qFormat/>
    <w:uiPriority w:val="0"/>
    <w:pPr>
      <w:jc w:val="center"/>
    </w:pPr>
    <w:rPr>
      <w:rFonts w:ascii="宋体" w:hAnsi="宋体"/>
      <w:sz w:val="24"/>
    </w:rPr>
  </w:style>
  <w:style w:type="paragraph" w:styleId="52">
    <w:name w:val="List Continue 2"/>
    <w:basedOn w:val="1"/>
    <w:autoRedefine/>
    <w:qFormat/>
    <w:uiPriority w:val="0"/>
    <w:pPr>
      <w:spacing w:after="120"/>
      <w:ind w:left="840" w:leftChars="400"/>
    </w:pPr>
  </w:style>
  <w:style w:type="paragraph" w:styleId="53">
    <w:name w:val="HTML Preformatted"/>
    <w:basedOn w:val="1"/>
    <w:link w:val="43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link w:val="455"/>
    <w:autoRedefine/>
    <w:qFormat/>
    <w:uiPriority w:val="99"/>
    <w:pPr>
      <w:widowControl/>
      <w:spacing w:before="100" w:beforeAutospacing="1" w:after="100" w:afterAutospacing="1"/>
      <w:jc w:val="left"/>
    </w:pPr>
    <w:rPr>
      <w:rFonts w:ascii="宋体" w:hAnsi="宋体"/>
      <w:kern w:val="0"/>
      <w:sz w:val="24"/>
    </w:rPr>
  </w:style>
  <w:style w:type="paragraph" w:styleId="55">
    <w:name w:val="index 1"/>
    <w:basedOn w:val="1"/>
    <w:next w:val="1"/>
    <w:autoRedefine/>
    <w:qFormat/>
    <w:uiPriority w:val="0"/>
  </w:style>
  <w:style w:type="paragraph" w:styleId="56">
    <w:name w:val="Title"/>
    <w:basedOn w:val="1"/>
    <w:next w:val="1"/>
    <w:link w:val="509"/>
    <w:autoRedefine/>
    <w:qFormat/>
    <w:uiPriority w:val="99"/>
    <w:pPr>
      <w:spacing w:before="240" w:after="60"/>
      <w:jc w:val="center"/>
      <w:outlineLvl w:val="0"/>
    </w:pPr>
    <w:rPr>
      <w:rFonts w:ascii="Arial" w:hAnsi="Arial"/>
      <w:b/>
      <w:bCs/>
      <w:kern w:val="0"/>
      <w:sz w:val="32"/>
      <w:szCs w:val="32"/>
    </w:rPr>
  </w:style>
  <w:style w:type="paragraph" w:styleId="57">
    <w:name w:val="annotation subject"/>
    <w:basedOn w:val="24"/>
    <w:next w:val="24"/>
    <w:link w:val="440"/>
    <w:autoRedefine/>
    <w:unhideWhenUsed/>
    <w:qFormat/>
    <w:uiPriority w:val="0"/>
    <w:rPr>
      <w:b/>
      <w:bCs/>
    </w:rPr>
  </w:style>
  <w:style w:type="paragraph" w:styleId="58">
    <w:name w:val="Body Text First Indent"/>
    <w:basedOn w:val="29"/>
    <w:link w:val="511"/>
    <w:autoRedefine/>
    <w:qFormat/>
    <w:uiPriority w:val="0"/>
    <w:pPr>
      <w:widowControl w:val="0"/>
      <w:spacing w:after="120"/>
      <w:ind w:firstLine="420" w:firstLineChars="100"/>
      <w:jc w:val="both"/>
    </w:pPr>
    <w:rPr>
      <w:rFonts w:ascii="宋体"/>
      <w:color w:val="000000"/>
      <w:kern w:val="2"/>
      <w:sz w:val="21"/>
      <w:szCs w:val="32"/>
    </w:rPr>
  </w:style>
  <w:style w:type="table" w:styleId="60">
    <w:name w:val="Table Grid"/>
    <w:basedOn w:val="5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22"/>
    <w:rPr>
      <w:b/>
      <w:bCs/>
    </w:rPr>
  </w:style>
  <w:style w:type="character" w:styleId="64">
    <w:name w:val="page number"/>
    <w:basedOn w:val="62"/>
    <w:autoRedefine/>
    <w:qFormat/>
    <w:uiPriority w:val="0"/>
  </w:style>
  <w:style w:type="character" w:styleId="65">
    <w:name w:val="FollowedHyperlink"/>
    <w:basedOn w:val="62"/>
    <w:autoRedefine/>
    <w:unhideWhenUsed/>
    <w:qFormat/>
    <w:uiPriority w:val="99"/>
    <w:rPr>
      <w:color w:val="800080"/>
      <w:u w:val="single"/>
    </w:rPr>
  </w:style>
  <w:style w:type="character" w:styleId="66">
    <w:name w:val="Emphasis"/>
    <w:autoRedefine/>
    <w:qFormat/>
    <w:uiPriority w:val="0"/>
    <w:rPr>
      <w:i/>
      <w:iCs/>
    </w:rPr>
  </w:style>
  <w:style w:type="character" w:styleId="67">
    <w:name w:val="Hyperlink"/>
    <w:autoRedefine/>
    <w:qFormat/>
    <w:uiPriority w:val="99"/>
    <w:rPr>
      <w:color w:val="0000FF"/>
      <w:u w:val="single"/>
    </w:rPr>
  </w:style>
  <w:style w:type="character" w:styleId="68">
    <w:name w:val="annotation reference"/>
    <w:autoRedefine/>
    <w:unhideWhenUsed/>
    <w:qFormat/>
    <w:uiPriority w:val="0"/>
    <w:rPr>
      <w:sz w:val="21"/>
      <w:szCs w:val="21"/>
    </w:rPr>
  </w:style>
  <w:style w:type="character" w:styleId="69">
    <w:name w:val="HTML Sample"/>
    <w:basedOn w:val="62"/>
    <w:autoRedefine/>
    <w:unhideWhenUsed/>
    <w:qFormat/>
    <w:uiPriority w:val="0"/>
    <w:rPr>
      <w:rFonts w:ascii="Courier New" w:hAnsi="Courier New"/>
    </w:rPr>
  </w:style>
  <w:style w:type="paragraph" w:customStyle="1" w:styleId="70">
    <w:name w:val="Char"/>
    <w:basedOn w:val="1"/>
    <w:autoRedefine/>
    <w:qFormat/>
    <w:uiPriority w:val="0"/>
    <w:rPr>
      <w:rFonts w:ascii="Tahoma" w:hAnsi="Tahoma" w:cs="仿宋_GB2312"/>
      <w:sz w:val="24"/>
      <w:szCs w:val="28"/>
    </w:rPr>
  </w:style>
  <w:style w:type="paragraph" w:customStyle="1" w:styleId="71">
    <w:name w:val="列出段落1"/>
    <w:basedOn w:val="1"/>
    <w:link w:val="454"/>
    <w:qFormat/>
    <w:uiPriority w:val="34"/>
    <w:pPr>
      <w:ind w:firstLine="420" w:firstLineChars="200"/>
    </w:pPr>
  </w:style>
  <w:style w:type="paragraph" w:customStyle="1" w:styleId="7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0"/>
    <w:basedOn w:val="1"/>
    <w:autoRedefine/>
    <w:qFormat/>
    <w:uiPriority w:val="0"/>
    <w:pPr>
      <w:widowControl/>
      <w:snapToGrid w:val="0"/>
    </w:pPr>
    <w:rPr>
      <w:kern w:val="0"/>
      <w:szCs w:val="21"/>
    </w:rPr>
  </w:style>
  <w:style w:type="paragraph" w:customStyle="1" w:styleId="7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76">
    <w:name w:val="xl83"/>
    <w:basedOn w:val="1"/>
    <w:autoRedefine/>
    <w:qFormat/>
    <w:uiPriority w:val="0"/>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7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默认段落字体 Para Char"/>
    <w:basedOn w:val="1"/>
    <w:autoRedefine/>
    <w:qFormat/>
    <w:uiPriority w:val="0"/>
    <w:pPr>
      <w:adjustRightInd w:val="0"/>
      <w:spacing w:line="360" w:lineRule="auto"/>
    </w:pPr>
    <w:rPr>
      <w:rFonts w:ascii="宋体" w:hAnsi="宋体" w:cs="宋体"/>
      <w:kern w:val="0"/>
      <w:sz w:val="24"/>
      <w:szCs w:val="20"/>
    </w:rPr>
  </w:style>
  <w:style w:type="paragraph" w:customStyle="1" w:styleId="80">
    <w:name w:val="默认段落字体 Para Char Char Char Char"/>
    <w:basedOn w:val="1"/>
    <w:autoRedefine/>
    <w:qFormat/>
    <w:uiPriority w:val="0"/>
  </w:style>
  <w:style w:type="paragraph" w:customStyle="1" w:styleId="81">
    <w:name w:val="text9"/>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2">
    <w:name w:val="正文无缩进"/>
    <w:basedOn w:val="1"/>
    <w:autoRedefine/>
    <w:qFormat/>
    <w:uiPriority w:val="0"/>
    <w:pPr>
      <w:widowControl/>
      <w:autoSpaceDE w:val="0"/>
      <w:autoSpaceDN w:val="0"/>
      <w:spacing w:line="300" w:lineRule="auto"/>
      <w:textAlignment w:val="bottom"/>
    </w:pPr>
    <w:rPr>
      <w:rFonts w:eastAsia="楷体_GB2312"/>
      <w:szCs w:val="20"/>
    </w:rPr>
  </w:style>
  <w:style w:type="paragraph" w:customStyle="1" w:styleId="83">
    <w:name w:val="封面字体4"/>
    <w:basedOn w:val="1"/>
    <w:autoRedefine/>
    <w:qFormat/>
    <w:uiPriority w:val="0"/>
    <w:pPr>
      <w:spacing w:line="240" w:lineRule="atLeast"/>
    </w:pPr>
    <w:rPr>
      <w:rFonts w:ascii="黑体" w:hAnsi="华文细黑" w:eastAsia="黑体" w:cs="Arial"/>
      <w:b/>
      <w:bCs/>
      <w:spacing w:val="100"/>
      <w:kern w:val="0"/>
      <w:sz w:val="44"/>
      <w:szCs w:val="28"/>
    </w:rPr>
  </w:style>
  <w:style w:type="paragraph" w:customStyle="1" w:styleId="84">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85">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86">
    <w:name w:val="列出段落11"/>
    <w:basedOn w:val="1"/>
    <w:autoRedefine/>
    <w:qFormat/>
    <w:uiPriority w:val="0"/>
    <w:pPr>
      <w:ind w:firstLine="420" w:firstLineChars="200"/>
    </w:pPr>
    <w:rPr>
      <w:rFonts w:ascii="Calibri" w:hAnsi="Calibri"/>
      <w:szCs w:val="22"/>
    </w:rPr>
  </w:style>
  <w:style w:type="paragraph" w:customStyle="1" w:styleId="8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xl36"/>
    <w:basedOn w:val="1"/>
    <w:autoRedefine/>
    <w:qFormat/>
    <w:uiPriority w:val="0"/>
    <w:pPr>
      <w:widowControl/>
      <w:spacing w:before="100" w:after="100"/>
      <w:jc w:val="center"/>
    </w:pPr>
    <w:rPr>
      <w:rFonts w:ascii="宋体" w:hAnsi="宋体"/>
      <w:kern w:val="0"/>
      <w:sz w:val="24"/>
      <w:szCs w:val="20"/>
    </w:rPr>
  </w:style>
  <w:style w:type="paragraph" w:customStyle="1" w:styleId="89">
    <w:name w:val="封面字体3"/>
    <w:basedOn w:val="1"/>
    <w:autoRedefine/>
    <w:qFormat/>
    <w:uiPriority w:val="0"/>
    <w:pPr>
      <w:spacing w:line="240" w:lineRule="atLeast"/>
    </w:pPr>
    <w:rPr>
      <w:rFonts w:ascii="黑体" w:hAnsi="华文细黑" w:eastAsia="黑体" w:cs="Arial"/>
      <w:bCs/>
      <w:spacing w:val="100"/>
      <w:kern w:val="0"/>
      <w:sz w:val="44"/>
      <w:szCs w:val="28"/>
    </w:rPr>
  </w:style>
  <w:style w:type="paragraph" w:customStyle="1" w:styleId="90">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2">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段"/>
    <w:link w:val="467"/>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94">
    <w:name w:val="本级3"/>
    <w:basedOn w:val="1"/>
    <w:next w:val="1"/>
    <w:link w:val="483"/>
    <w:autoRedefine/>
    <w:qFormat/>
    <w:uiPriority w:val="0"/>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paragraph" w:customStyle="1" w:styleId="95">
    <w:name w:val="首行缩进 Char"/>
    <w:basedOn w:val="1"/>
    <w:next w:val="19"/>
    <w:link w:val="485"/>
    <w:autoRedefine/>
    <w:qFormat/>
    <w:uiPriority w:val="0"/>
    <w:pPr>
      <w:spacing w:line="300" w:lineRule="auto"/>
      <w:ind w:firstLine="420"/>
    </w:pPr>
    <w:rPr>
      <w:kern w:val="0"/>
      <w:sz w:val="24"/>
    </w:rPr>
  </w:style>
  <w:style w:type="paragraph" w:customStyle="1" w:styleId="96">
    <w:name w:val="常规"/>
    <w:basedOn w:val="1"/>
    <w:link w:val="488"/>
    <w:qFormat/>
    <w:uiPriority w:val="0"/>
    <w:pPr>
      <w:spacing w:beforeLines="100" w:afterLines="100" w:line="360" w:lineRule="auto"/>
      <w:ind w:firstLine="560" w:firstLineChars="200"/>
      <w:jc w:val="center"/>
    </w:pPr>
    <w:rPr>
      <w:rFonts w:ascii="Tahoma" w:hAnsi="Tahoma"/>
      <w:color w:val="000000"/>
      <w:sz w:val="28"/>
      <w:szCs w:val="21"/>
    </w:rPr>
  </w:style>
  <w:style w:type="paragraph" w:customStyle="1" w:styleId="97">
    <w:name w:val="正文新"/>
    <w:basedOn w:val="1"/>
    <w:link w:val="490"/>
    <w:autoRedefine/>
    <w:qFormat/>
    <w:uiPriority w:val="0"/>
    <w:pPr>
      <w:spacing w:line="360" w:lineRule="auto"/>
      <w:ind w:firstLine="200" w:firstLineChars="200"/>
      <w:jc w:val="left"/>
    </w:pPr>
    <w:rPr>
      <w:rFonts w:ascii="宋体" w:hAnsi="宋体"/>
      <w:kern w:val="0"/>
      <w:sz w:val="28"/>
      <w:szCs w:val="20"/>
    </w:rPr>
  </w:style>
  <w:style w:type="paragraph" w:customStyle="1" w:styleId="98">
    <w:name w:val="正文缩进2格"/>
    <w:basedOn w:val="1"/>
    <w:link w:val="497"/>
    <w:autoRedefine/>
    <w:qFormat/>
    <w:uiPriority w:val="0"/>
    <w:pPr>
      <w:spacing w:line="600" w:lineRule="exact"/>
      <w:ind w:firstLine="639" w:firstLineChars="206"/>
    </w:pPr>
    <w:rPr>
      <w:rFonts w:ascii="仿宋_GB2312" w:hAnsi="宋体" w:eastAsia="仿宋_GB2312"/>
      <w:sz w:val="31"/>
      <w:szCs w:val="20"/>
    </w:rPr>
  </w:style>
  <w:style w:type="paragraph" w:customStyle="1" w:styleId="99">
    <w:name w:val="样式 目录 2 + 宋体"/>
    <w:basedOn w:val="29"/>
    <w:next w:val="29"/>
    <w:link w:val="507"/>
    <w:autoRedefine/>
    <w:qFormat/>
    <w:uiPriority w:val="0"/>
    <w:pPr>
      <w:widowControl w:val="0"/>
      <w:spacing w:after="120"/>
      <w:jc w:val="both"/>
    </w:pPr>
    <w:rPr>
      <w:rFonts w:ascii="宋体" w:hAnsi="宋体"/>
      <w:sz w:val="28"/>
    </w:rPr>
  </w:style>
  <w:style w:type="paragraph" w:customStyle="1" w:styleId="100">
    <w:name w:val="Char1"/>
    <w:basedOn w:val="1"/>
    <w:autoRedefine/>
    <w:qFormat/>
    <w:uiPriority w:val="0"/>
    <w:rPr>
      <w:rFonts w:ascii="Tahoma" w:hAnsi="Tahoma"/>
      <w:sz w:val="24"/>
      <w:szCs w:val="20"/>
    </w:rPr>
  </w:style>
  <w:style w:type="paragraph" w:customStyle="1" w:styleId="101">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02">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04">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105">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06">
    <w:name w:val="表项"/>
    <w:next w:val="107"/>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07">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0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109">
    <w:name w:val="Block"/>
    <w:basedOn w:val="1"/>
    <w:next w:val="96"/>
    <w:autoRedefine/>
    <w:qFormat/>
    <w:uiPriority w:val="0"/>
    <w:pPr>
      <w:tabs>
        <w:tab w:val="left" w:pos="0"/>
      </w:tabs>
    </w:pPr>
    <w:rPr>
      <w:rFonts w:ascii="Arial" w:hAnsi="Arial" w:eastAsia="楷体_GB2312"/>
      <w:color w:val="000080"/>
      <w:sz w:val="28"/>
      <w:szCs w:val="28"/>
    </w:rPr>
  </w:style>
  <w:style w:type="paragraph" w:customStyle="1" w:styleId="11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标题 5 + 段前: 0.5 行 段后: 0.5 行"/>
    <w:basedOn w:val="9"/>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112">
    <w:name w:val="样式5"/>
    <w:basedOn w:val="95"/>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113">
    <w:name w:val="样式 标题 3H3h3h31第二层条3Bold Headbh章标题1小标题level_3PIM 3Lev...2"/>
    <w:basedOn w:val="7"/>
    <w:autoRedefine/>
    <w:qFormat/>
    <w:uiPriority w:val="0"/>
    <w:pPr>
      <w:tabs>
        <w:tab w:val="left" w:pos="1740"/>
      </w:tabs>
      <w:spacing w:beforeLines="50" w:afterLines="50" w:line="540" w:lineRule="auto"/>
      <w:ind w:left="1740" w:hanging="420"/>
    </w:pPr>
    <w:rPr>
      <w:rFonts w:ascii="宋体" w:hAnsi="宋体" w:eastAsia="黑体" w:cs="宋体"/>
      <w:b w:val="0"/>
      <w:szCs w:val="20"/>
    </w:rPr>
  </w:style>
  <w:style w:type="paragraph" w:customStyle="1" w:styleId="114">
    <w:name w:val="_Style 56"/>
    <w:basedOn w:val="1"/>
    <w:autoRedefine/>
    <w:qFormat/>
    <w:uiPriority w:val="0"/>
    <w:pPr>
      <w:ind w:firstLine="420" w:firstLineChars="200"/>
    </w:pPr>
    <w:rPr>
      <w:rFonts w:ascii="Calibri" w:hAnsi="Calibri"/>
      <w:szCs w:val="22"/>
    </w:rPr>
  </w:style>
  <w:style w:type="paragraph" w:customStyle="1" w:styleId="115">
    <w:name w:val="列出段落2"/>
    <w:basedOn w:val="1"/>
    <w:autoRedefine/>
    <w:qFormat/>
    <w:uiPriority w:val="0"/>
    <w:pPr>
      <w:ind w:firstLine="420" w:firstLineChars="200"/>
    </w:pPr>
  </w:style>
  <w:style w:type="paragraph" w:customStyle="1" w:styleId="116">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117">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18">
    <w:name w:val="CM2"/>
    <w:basedOn w:val="87"/>
    <w:next w:val="87"/>
    <w:autoRedefine/>
    <w:qFormat/>
    <w:uiPriority w:val="0"/>
    <w:pPr>
      <w:spacing w:line="623" w:lineRule="atLeast"/>
    </w:pPr>
    <w:rPr>
      <w:rFonts w:ascii=".a..DD.." w:hAnsi="Times New Roman" w:eastAsia=".a..DD.." w:cs="Times New Roman"/>
      <w:color w:val="auto"/>
    </w:rPr>
  </w:style>
  <w:style w:type="paragraph" w:customStyle="1" w:styleId="119">
    <w:name w:val="Char1 Char Char Char"/>
    <w:basedOn w:val="1"/>
    <w:autoRedefine/>
    <w:qFormat/>
    <w:uiPriority w:val="0"/>
    <w:rPr>
      <w:rFonts w:ascii="Tahoma" w:hAnsi="Tahoma"/>
      <w:sz w:val="24"/>
      <w:szCs w:val="20"/>
    </w:rPr>
  </w:style>
  <w:style w:type="paragraph" w:customStyle="1" w:styleId="120">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121">
    <w:name w:val="样式 标题 4 + 段前: 0.5 行 段后: 0.5 行 行距: 多倍行距 1.57 字行"/>
    <w:basedOn w:val="8"/>
    <w:autoRedefine/>
    <w:qFormat/>
    <w:uiPriority w:val="0"/>
    <w:pPr>
      <w:tabs>
        <w:tab w:val="left" w:pos="2160"/>
      </w:tabs>
      <w:spacing w:beforeLines="50" w:afterLines="50"/>
      <w:ind w:left="2160" w:hanging="420"/>
    </w:pPr>
    <w:rPr>
      <w:rFonts w:cs="宋体"/>
      <w:b w:val="0"/>
      <w:sz w:val="30"/>
      <w:szCs w:val="30"/>
    </w:rPr>
  </w:style>
  <w:style w:type="paragraph" w:customStyle="1" w:styleId="122">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23">
    <w:name w:val="正文缩进2"/>
    <w:basedOn w:val="1"/>
    <w:autoRedefine/>
    <w:qFormat/>
    <w:uiPriority w:val="0"/>
    <w:pPr>
      <w:spacing w:line="360" w:lineRule="auto"/>
      <w:ind w:firstLine="200" w:firstLineChars="200"/>
    </w:pPr>
  </w:style>
  <w:style w:type="paragraph" w:customStyle="1" w:styleId="124">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125">
    <w:name w:val="表身（中）"/>
    <w:basedOn w:val="107"/>
    <w:autoRedefine/>
    <w:qFormat/>
    <w:uiPriority w:val="0"/>
    <w:pPr>
      <w:jc w:val="center"/>
    </w:pPr>
  </w:style>
  <w:style w:type="paragraph" w:customStyle="1" w:styleId="126">
    <w:name w:val="项目编号1级"/>
    <w:basedOn w:val="123"/>
    <w:autoRedefine/>
    <w:qFormat/>
    <w:uiPriority w:val="0"/>
    <w:pPr>
      <w:tabs>
        <w:tab w:val="left" w:pos="840"/>
      </w:tabs>
      <w:ind w:left="840" w:hanging="420" w:firstLineChars="0"/>
    </w:pPr>
  </w:style>
  <w:style w:type="paragraph" w:customStyle="1" w:styleId="127">
    <w:name w:val="一级无"/>
    <w:basedOn w:val="128"/>
    <w:autoRedefine/>
    <w:qFormat/>
    <w:uiPriority w:val="0"/>
    <w:pPr>
      <w:spacing w:beforeLines="0" w:afterLines="0"/>
    </w:pPr>
    <w:rPr>
      <w:rFonts w:ascii="宋体" w:eastAsia="宋体"/>
    </w:rPr>
  </w:style>
  <w:style w:type="paragraph" w:customStyle="1" w:styleId="128">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29">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131">
    <w:name w:val="正"/>
    <w:basedOn w:val="1"/>
    <w:autoRedefine/>
    <w:qFormat/>
    <w:uiPriority w:val="0"/>
    <w:pPr>
      <w:ind w:firstLine="525"/>
    </w:pPr>
    <w:rPr>
      <w:spacing w:val="20"/>
      <w:szCs w:val="20"/>
    </w:rPr>
  </w:style>
  <w:style w:type="paragraph" w:customStyle="1" w:styleId="132">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13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134">
    <w:name w:val="不缩进"/>
    <w:basedOn w:val="1"/>
    <w:autoRedefine/>
    <w:qFormat/>
    <w:uiPriority w:val="0"/>
    <w:pPr>
      <w:spacing w:line="360" w:lineRule="auto"/>
      <w:jc w:val="center"/>
    </w:pPr>
    <w:rPr>
      <w:b/>
      <w:bCs/>
      <w:sz w:val="28"/>
      <w:szCs w:val="21"/>
    </w:rPr>
  </w:style>
  <w:style w:type="paragraph" w:customStyle="1" w:styleId="135">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36">
    <w:name w:val="小标"/>
    <w:basedOn w:val="1"/>
    <w:autoRedefine/>
    <w:qFormat/>
    <w:uiPriority w:val="0"/>
    <w:rPr>
      <w:rFonts w:hint="eastAsia" w:ascii="黑体" w:eastAsia="黑体"/>
      <w:spacing w:val="20"/>
      <w:szCs w:val="20"/>
    </w:rPr>
  </w:style>
  <w:style w:type="paragraph" w:customStyle="1" w:styleId="137">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38">
    <w:name w:val="正文悬挂缩进4"/>
    <w:basedOn w:val="1"/>
    <w:autoRedefine/>
    <w:qFormat/>
    <w:uiPriority w:val="0"/>
    <w:pPr>
      <w:spacing w:line="360" w:lineRule="auto"/>
      <w:ind w:left="839"/>
    </w:pPr>
  </w:style>
  <w:style w:type="paragraph" w:customStyle="1" w:styleId="139">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140">
    <w:name w:val="警告"/>
    <w:basedOn w:val="1"/>
    <w:next w:val="96"/>
    <w:autoRedefine/>
    <w:qFormat/>
    <w:uiPriority w:val="0"/>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141">
    <w:name w:val="样式 标题 1 + 非加粗 段前: 0.5 行 段后: 0.5 行"/>
    <w:basedOn w:val="5"/>
    <w:autoRedefine/>
    <w:qFormat/>
    <w:uiPriority w:val="0"/>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142">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143">
    <w:name w:val="样式 标题 1章节标题b1 + 段前: 6 磅"/>
    <w:basedOn w:val="5"/>
    <w:autoRedefine/>
    <w:qFormat/>
    <w:uiPriority w:val="0"/>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144">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6">
    <w:name w:val="样式 标题 + 段前: 0.5 行 段后: 0.5 行"/>
    <w:basedOn w:val="56"/>
    <w:qFormat/>
    <w:uiPriority w:val="0"/>
  </w:style>
  <w:style w:type="paragraph" w:customStyle="1" w:styleId="14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48">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49">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50">
    <w:name w:val="表格标题1"/>
    <w:basedOn w:val="151"/>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151">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152">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4">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155">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样式 标题 2 + 段前: 0.5 行 段后: 0.5 行"/>
    <w:basedOn w:val="6"/>
    <w:qFormat/>
    <w:uiPriority w:val="0"/>
    <w:pPr>
      <w:tabs>
        <w:tab w:val="left" w:pos="1320"/>
      </w:tabs>
      <w:spacing w:beforeLines="50" w:afterLines="50" w:line="360" w:lineRule="auto"/>
      <w:jc w:val="left"/>
    </w:pPr>
    <w:rPr>
      <w:rFonts w:cs="宋体"/>
      <w:b w:val="0"/>
      <w:szCs w:val="20"/>
    </w:rPr>
  </w:style>
  <w:style w:type="paragraph" w:customStyle="1" w:styleId="157">
    <w:name w:val="正文1"/>
    <w:basedOn w:val="1"/>
    <w:autoRedefine/>
    <w:qFormat/>
    <w:uiPriority w:val="0"/>
    <w:pPr>
      <w:spacing w:line="360" w:lineRule="auto"/>
      <w:ind w:firstLine="200" w:firstLineChars="200"/>
    </w:pPr>
  </w:style>
  <w:style w:type="paragraph" w:customStyle="1" w:styleId="158">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9">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60">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61">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6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6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164">
    <w:name w:val="样式 标题 6 + 段前: 0.5 行 段后: 0.5 行"/>
    <w:basedOn w:val="10"/>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165">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167">
    <w:name w:val="项目编号2级"/>
    <w:basedOn w:val="126"/>
    <w:autoRedefine/>
    <w:qFormat/>
    <w:uiPriority w:val="0"/>
  </w:style>
  <w:style w:type="paragraph" w:customStyle="1" w:styleId="168">
    <w:name w:val="标题3"/>
    <w:basedOn w:val="1"/>
    <w:autoRedefine/>
    <w:qFormat/>
    <w:uiPriority w:val="0"/>
    <w:pPr>
      <w:spacing w:beforeLines="50" w:afterLines="50" w:line="300" w:lineRule="exact"/>
    </w:pPr>
    <w:rPr>
      <w:b/>
      <w:bCs/>
    </w:rPr>
  </w:style>
  <w:style w:type="paragraph" w:customStyle="1" w:styleId="169">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书目1"/>
    <w:basedOn w:val="1"/>
    <w:next w:val="1"/>
    <w:unhideWhenUsed/>
    <w:qFormat/>
    <w:uiPriority w:val="37"/>
    <w:pPr>
      <w:spacing w:line="360" w:lineRule="auto"/>
      <w:ind w:firstLine="200" w:firstLineChars="200"/>
      <w:jc w:val="left"/>
    </w:pPr>
    <w:rPr>
      <w:sz w:val="24"/>
    </w:rPr>
  </w:style>
  <w:style w:type="paragraph" w:customStyle="1" w:styleId="171">
    <w:name w:val="正文居中小5"/>
    <w:basedOn w:val="1"/>
    <w:autoRedefine/>
    <w:qFormat/>
    <w:uiPriority w:val="0"/>
    <w:pPr>
      <w:spacing w:line="360" w:lineRule="auto"/>
      <w:jc w:val="center"/>
    </w:pPr>
    <w:rPr>
      <w:rFonts w:ascii="Arial" w:hAnsi="Arial"/>
      <w:sz w:val="18"/>
    </w:rPr>
  </w:style>
  <w:style w:type="paragraph" w:customStyle="1" w:styleId="172">
    <w:name w:val="样式 样式 标题 + 段前: 0.5 行 段后: 0.5 行 + 段前: 0.5 行 段后: 0.5 行"/>
    <w:basedOn w:val="146"/>
    <w:autoRedefine/>
    <w:qFormat/>
    <w:uiPriority w:val="0"/>
    <w:pPr>
      <w:spacing w:beforeLines="50" w:afterLines="50" w:line="360" w:lineRule="auto"/>
    </w:pPr>
    <w:rPr>
      <w:rFonts w:eastAsia="黑体" w:cs="宋体"/>
      <w:sz w:val="72"/>
      <w:szCs w:val="20"/>
      <w:u w:val="double"/>
    </w:rPr>
  </w:style>
  <w:style w:type="paragraph" w:customStyle="1" w:styleId="173">
    <w:name w:val="Char111"/>
    <w:basedOn w:val="1"/>
    <w:autoRedefine/>
    <w:qFormat/>
    <w:uiPriority w:val="0"/>
  </w:style>
  <w:style w:type="paragraph" w:customStyle="1" w:styleId="174">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5">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176">
    <w:name w:val="Figure Description"/>
    <w:basedOn w:val="1"/>
    <w:next w:val="96"/>
    <w:autoRedefine/>
    <w:qFormat/>
    <w:uiPriority w:val="0"/>
    <w:pPr>
      <w:keepNext/>
      <w:keepLines/>
      <w:spacing w:afterLines="100" w:line="360" w:lineRule="auto"/>
      <w:jc w:val="center"/>
    </w:pPr>
    <w:rPr>
      <w:rFonts w:ascii="Tahoma" w:hAnsi="Tahoma"/>
      <w:sz w:val="24"/>
    </w:rPr>
  </w:style>
  <w:style w:type="paragraph" w:customStyle="1" w:styleId="177">
    <w:name w:val="lgh排序1"/>
    <w:basedOn w:val="34"/>
    <w:qFormat/>
    <w:uiPriority w:val="0"/>
    <w:pPr>
      <w:tabs>
        <w:tab w:val="left" w:pos="360"/>
      </w:tabs>
      <w:spacing w:line="360" w:lineRule="auto"/>
      <w:ind w:firstLine="480" w:firstLineChars="200"/>
    </w:pPr>
    <w:rPr>
      <w:rFonts w:hAnsi="宋体"/>
      <w:sz w:val="24"/>
    </w:rPr>
  </w:style>
  <w:style w:type="paragraph" w:customStyle="1" w:styleId="178">
    <w:name w:val="Char21"/>
    <w:basedOn w:val="1"/>
    <w:autoRedefine/>
    <w:qFormat/>
    <w:uiPriority w:val="0"/>
  </w:style>
  <w:style w:type="paragraph" w:customStyle="1" w:styleId="179">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80">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2">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18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4">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186">
    <w:name w:val="表格正文2"/>
    <w:basedOn w:val="1"/>
    <w:autoRedefine/>
    <w:qFormat/>
    <w:uiPriority w:val="0"/>
    <w:pPr>
      <w:adjustRightInd w:val="0"/>
      <w:snapToGrid w:val="0"/>
      <w:spacing w:line="400" w:lineRule="atLeast"/>
      <w:jc w:val="left"/>
    </w:pPr>
    <w:rPr>
      <w:sz w:val="24"/>
      <w:szCs w:val="20"/>
    </w:rPr>
  </w:style>
  <w:style w:type="paragraph" w:customStyle="1" w:styleId="187">
    <w:name w:val="复选框1"/>
    <w:basedOn w:val="1"/>
    <w:autoRedefine/>
    <w:qFormat/>
    <w:uiPriority w:val="0"/>
    <w:pPr>
      <w:widowControl/>
      <w:spacing w:before="360" w:after="360"/>
      <w:jc w:val="left"/>
    </w:pPr>
    <w:rPr>
      <w:kern w:val="0"/>
      <w:sz w:val="20"/>
      <w:szCs w:val="20"/>
    </w:rPr>
  </w:style>
  <w:style w:type="paragraph" w:customStyle="1" w:styleId="18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9">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190">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191">
    <w:name w:val="样式 标题 1 + 段前: 0.5 行 段后: 0.5 行"/>
    <w:basedOn w:val="5"/>
    <w:autoRedefine/>
    <w:qFormat/>
    <w:uiPriority w:val="0"/>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192">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93">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194">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195">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6">
    <w:name w:val="Char Char Char1 Char"/>
    <w:basedOn w:val="23"/>
    <w:qFormat/>
    <w:uiPriority w:val="0"/>
    <w:pPr>
      <w:adjustRightInd w:val="0"/>
      <w:spacing w:line="436" w:lineRule="exact"/>
      <w:ind w:left="357"/>
      <w:jc w:val="left"/>
      <w:outlineLvl w:val="3"/>
    </w:pPr>
    <w:rPr>
      <w:kern w:val="0"/>
      <w:sz w:val="20"/>
      <w:szCs w:val="20"/>
    </w:rPr>
  </w:style>
  <w:style w:type="paragraph" w:customStyle="1" w:styleId="197">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198">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199">
    <w:name w:val="样式 样式 标题 2 + 段前: 0.5 行 段后: 0.5 行2 + 段前: 0.5 行 段后: 0.5 行"/>
    <w:basedOn w:val="200"/>
    <w:autoRedefine/>
    <w:qFormat/>
    <w:uiPriority w:val="0"/>
    <w:pPr>
      <w:tabs>
        <w:tab w:val="left" w:pos="1320"/>
      </w:tabs>
    </w:pPr>
    <w:rPr>
      <w:b w:val="0"/>
    </w:rPr>
  </w:style>
  <w:style w:type="paragraph" w:customStyle="1" w:styleId="200">
    <w:name w:val="样式 标题 2 + 段前: 0.5 行 段后: 0.5 行2"/>
    <w:basedOn w:val="6"/>
    <w:autoRedefine/>
    <w:qFormat/>
    <w:uiPriority w:val="0"/>
    <w:pPr>
      <w:tabs>
        <w:tab w:val="left" w:pos="1320"/>
      </w:tabs>
      <w:spacing w:beforeLines="50" w:afterLines="50" w:line="360" w:lineRule="auto"/>
      <w:jc w:val="left"/>
    </w:pPr>
    <w:rPr>
      <w:rFonts w:cs="宋体"/>
      <w:sz w:val="36"/>
      <w:szCs w:val="20"/>
    </w:rPr>
  </w:style>
  <w:style w:type="paragraph" w:customStyle="1" w:styleId="201">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202">
    <w:name w:val="Char2"/>
    <w:basedOn w:val="1"/>
    <w:autoRedefine/>
    <w:qFormat/>
    <w:uiPriority w:val="0"/>
    <w:pPr>
      <w:jc w:val="center"/>
    </w:pPr>
    <w:rPr>
      <w:rFonts w:ascii="宋体" w:hAnsi="宋体"/>
      <w:b/>
      <w:szCs w:val="21"/>
    </w:rPr>
  </w:style>
  <w:style w:type="paragraph" w:customStyle="1" w:styleId="2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205">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06">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207">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样式 标题 3H3h3h31第二层条3Bold Headbh章标题1小标题level_3PIM 3Lev..."/>
    <w:basedOn w:val="7"/>
    <w:autoRedefine/>
    <w:qFormat/>
    <w:uiPriority w:val="0"/>
    <w:pPr>
      <w:tabs>
        <w:tab w:val="left" w:pos="1931"/>
      </w:tabs>
      <w:spacing w:before="156" w:after="156" w:line="360" w:lineRule="auto"/>
      <w:ind w:left="1418" w:hanging="567"/>
    </w:pPr>
    <w:rPr>
      <w:rFonts w:eastAsia="楷体_GB2312" w:cs="宋体"/>
      <w:sz w:val="44"/>
      <w:szCs w:val="20"/>
    </w:rPr>
  </w:style>
  <w:style w:type="paragraph" w:customStyle="1" w:styleId="211">
    <w:name w:val="样式 标题 4 + 段前: 0.5 行 段后: 0.5 行1"/>
    <w:basedOn w:val="8"/>
    <w:autoRedefine/>
    <w:qFormat/>
    <w:uiPriority w:val="0"/>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2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14">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215">
    <w:name w:val="样式 标题 1H1Header1h1标题4L1bocLevel 1 Topic Heading标书1Secti..."/>
    <w:basedOn w:val="5"/>
    <w:autoRedefine/>
    <w:qFormat/>
    <w:uiPriority w:val="0"/>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216">
    <w:name w:val="Table Description"/>
    <w:next w:val="1"/>
    <w:autoRedefine/>
    <w:qFormat/>
    <w:uiPriority w:val="0"/>
    <w:pPr>
      <w:keepNext/>
      <w:snapToGrid w:val="0"/>
      <w:spacing w:before="160" w:after="80"/>
      <w:ind w:left="1038"/>
      <w:jc w:val="center"/>
    </w:pPr>
    <w:rPr>
      <w:rFonts w:ascii="Arial" w:hAnsi="Arial" w:eastAsia="黑体" w:cs="Times New Roman"/>
      <w:sz w:val="18"/>
      <w:lang w:val="en-US" w:eastAsia="zh-CN" w:bidi="ar-SA"/>
    </w:rPr>
  </w:style>
  <w:style w:type="paragraph" w:customStyle="1" w:styleId="217">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18">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9">
    <w:name w:val="小四 段落 宋体 Char Char Char"/>
    <w:basedOn w:val="18"/>
    <w:autoRedefine/>
    <w:qFormat/>
    <w:uiPriority w:val="0"/>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220">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2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size12"/>
    <w:basedOn w:val="1"/>
    <w:autoRedefine/>
    <w:qFormat/>
    <w:uiPriority w:val="0"/>
    <w:pPr>
      <w:widowControl/>
      <w:spacing w:before="100" w:beforeAutospacing="1" w:after="100" w:afterAutospacing="1" w:line="360" w:lineRule="auto"/>
      <w:jc w:val="left"/>
    </w:pPr>
    <w:rPr>
      <w:color w:val="000000"/>
      <w:kern w:val="0"/>
      <w:sz w:val="20"/>
      <w:szCs w:val="20"/>
    </w:rPr>
  </w:style>
  <w:style w:type="paragraph" w:customStyle="1" w:styleId="224">
    <w:name w:val="xl57"/>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225">
    <w:name w:val="xl10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2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227">
    <w:name w:val="正文2"/>
    <w:autoRedefine/>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28">
    <w:name w:val="xl10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xl6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230">
    <w:name w:val="样式 标题 2（x.x）节二级标题H2h2h212Header 2l2Level 2 HeadH2norm..."/>
    <w:basedOn w:val="6"/>
    <w:autoRedefine/>
    <w:qFormat/>
    <w:uiPriority w:val="0"/>
    <w:pPr>
      <w:tabs>
        <w:tab w:val="left" w:pos="992"/>
      </w:tabs>
      <w:spacing w:before="100" w:beforeAutospacing="1"/>
      <w:ind w:left="992" w:hanging="567"/>
      <w:jc w:val="left"/>
    </w:pPr>
    <w:rPr>
      <w:rFonts w:eastAsia="楷体_GB2312" w:cs="宋体"/>
      <w:sz w:val="36"/>
      <w:szCs w:val="20"/>
    </w:rPr>
  </w:style>
  <w:style w:type="paragraph" w:customStyle="1" w:styleId="231">
    <w:name w:val="Document Map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2">
    <w:name w:val="xl109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33">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36">
    <w:name w:val="Absatz2AL"/>
    <w:basedOn w:val="29"/>
    <w:next w:val="1"/>
    <w:qFormat/>
    <w:uiPriority w:val="0"/>
    <w:pPr>
      <w:overflowPunct w:val="0"/>
      <w:autoSpaceDE w:val="0"/>
      <w:autoSpaceDN w:val="0"/>
      <w:adjustRightInd w:val="0"/>
      <w:jc w:val="both"/>
      <w:textAlignment w:val="baseline"/>
    </w:pPr>
    <w:rPr>
      <w:rFonts w:eastAsia="楷体_GB2312"/>
    </w:rPr>
  </w:style>
  <w:style w:type="paragraph" w:customStyle="1" w:styleId="237">
    <w:name w:val="Item Step in Table"/>
    <w:basedOn w:val="1"/>
    <w:qFormat/>
    <w:uiPriority w:val="0"/>
    <w:pPr>
      <w:tabs>
        <w:tab w:val="left" w:pos="420"/>
      </w:tabs>
      <w:ind w:left="420" w:hanging="420"/>
      <w:jc w:val="left"/>
    </w:pPr>
    <w:rPr>
      <w:rFonts w:ascii="Tahoma" w:hAnsi="Tahoma"/>
      <w:sz w:val="28"/>
      <w:szCs w:val="21"/>
    </w:rPr>
  </w:style>
  <w:style w:type="paragraph" w:customStyle="1" w:styleId="238">
    <w:name w:val="WPS Plain"/>
    <w:autoRedefine/>
    <w:qFormat/>
    <w:uiPriority w:val="0"/>
    <w:rPr>
      <w:rFonts w:ascii="Times New Roman" w:hAnsi="Times New Roman" w:eastAsia="宋体" w:cs="Times New Roman"/>
      <w:lang w:val="en-US" w:eastAsia="zh-CN" w:bidi="ar-SA"/>
    </w:rPr>
  </w:style>
  <w:style w:type="paragraph" w:customStyle="1" w:styleId="239">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240">
    <w:name w:val="Char Char Char Char1"/>
    <w:basedOn w:val="1"/>
    <w:autoRedefine/>
    <w:qFormat/>
    <w:uiPriority w:val="0"/>
    <w:rPr>
      <w:rFonts w:ascii="仿宋_GB2312" w:eastAsia="仿宋_GB2312"/>
      <w:b/>
      <w:sz w:val="32"/>
      <w:szCs w:val="32"/>
    </w:rPr>
  </w:style>
  <w:style w:type="paragraph" w:customStyle="1" w:styleId="241">
    <w:name w:val="样式 标题 3 + 段前: 0.5 行 段后: 0.5 行"/>
    <w:basedOn w:val="7"/>
    <w:autoRedefine/>
    <w:qFormat/>
    <w:uiPriority w:val="0"/>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24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43">
    <w:name w:val="xl64"/>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244">
    <w:name w:val="xl11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45">
    <w:name w:val="xl23"/>
    <w:basedOn w:val="1"/>
    <w:autoRedefine/>
    <w:qFormat/>
    <w:uiPriority w:val="0"/>
    <w:pPr>
      <w:widowControl/>
      <w:spacing w:before="100" w:beforeAutospacing="1" w:after="100" w:afterAutospacing="1"/>
      <w:jc w:val="center"/>
    </w:pPr>
    <w:rPr>
      <w:rFonts w:eastAsia="Arial Unicode MS"/>
      <w:kern w:val="0"/>
      <w:szCs w:val="21"/>
    </w:rPr>
  </w:style>
  <w:style w:type="paragraph" w:customStyle="1" w:styleId="246">
    <w:name w:val="首行缩进:  2 字符2"/>
    <w:basedOn w:val="1"/>
    <w:autoRedefine/>
    <w:qFormat/>
    <w:uiPriority w:val="0"/>
    <w:pPr>
      <w:adjustRightInd w:val="0"/>
      <w:snapToGrid w:val="0"/>
      <w:spacing w:line="360" w:lineRule="auto"/>
      <w:ind w:firstLine="480" w:firstLineChars="200"/>
    </w:pPr>
    <w:rPr>
      <w:rFonts w:ascii="宋体" w:hAnsi="宋体" w:cs="宋体"/>
      <w:sz w:val="24"/>
    </w:rPr>
  </w:style>
  <w:style w:type="paragraph" w:customStyle="1" w:styleId="247">
    <w:name w:val="CM3"/>
    <w:basedOn w:val="87"/>
    <w:next w:val="87"/>
    <w:qFormat/>
    <w:uiPriority w:val="0"/>
    <w:pPr>
      <w:spacing w:line="626" w:lineRule="atLeast"/>
    </w:pPr>
    <w:rPr>
      <w:rFonts w:ascii=".a..DD.." w:hAnsi="Times New Roman" w:eastAsia=".a..DD.." w:cs="Times New Roman"/>
      <w:color w:val="auto"/>
    </w:rPr>
  </w:style>
  <w:style w:type="paragraph" w:customStyle="1" w:styleId="248">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9">
    <w:name w:val="Figure"/>
    <w:basedOn w:val="1"/>
    <w:next w:val="176"/>
    <w:qFormat/>
    <w:uiPriority w:val="0"/>
    <w:pPr>
      <w:keepNext/>
      <w:ind w:left="1701"/>
    </w:pPr>
  </w:style>
  <w:style w:type="paragraph" w:customStyle="1" w:styleId="250">
    <w:name w:val="项目编号一级"/>
    <w:basedOn w:val="1"/>
    <w:autoRedefine/>
    <w:qFormat/>
    <w:uiPriority w:val="0"/>
    <w:pPr>
      <w:tabs>
        <w:tab w:val="left" w:pos="900"/>
      </w:tabs>
      <w:spacing w:line="360" w:lineRule="auto"/>
      <w:ind w:left="900" w:hanging="420"/>
    </w:pPr>
  </w:style>
  <w:style w:type="paragraph" w:customStyle="1" w:styleId="251">
    <w:name w:val="xl10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52">
    <w:name w:val="四级条标题"/>
    <w:basedOn w:val="253"/>
    <w:next w:val="1"/>
    <w:autoRedefine/>
    <w:qFormat/>
    <w:uiPriority w:val="0"/>
    <w:pPr>
      <w:outlineLvl w:val="5"/>
    </w:pPr>
  </w:style>
  <w:style w:type="paragraph" w:customStyle="1" w:styleId="253">
    <w:name w:val="三级条标题"/>
    <w:basedOn w:val="254"/>
    <w:next w:val="1"/>
    <w:qFormat/>
    <w:uiPriority w:val="0"/>
    <w:pPr>
      <w:outlineLvl w:val="4"/>
    </w:pPr>
  </w:style>
  <w:style w:type="paragraph" w:customStyle="1" w:styleId="254">
    <w:name w:val="二级条标题"/>
    <w:basedOn w:val="128"/>
    <w:next w:val="1"/>
    <w:autoRedefine/>
    <w:qFormat/>
    <w:uiPriority w:val="0"/>
    <w:pPr>
      <w:outlineLvl w:val="3"/>
    </w:pPr>
  </w:style>
  <w:style w:type="paragraph" w:customStyle="1" w:styleId="255">
    <w:name w:val="样式 标题 4 + 段前: 0.5 行 段后: 0.5 行"/>
    <w:basedOn w:val="8"/>
    <w:autoRedefine/>
    <w:qFormat/>
    <w:uiPriority w:val="0"/>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256">
    <w:name w:val="font5"/>
    <w:basedOn w:val="1"/>
    <w:autoRedefine/>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57">
    <w:name w:val="正文(单倍行距)"/>
    <w:basedOn w:val="1"/>
    <w:autoRedefine/>
    <w:qFormat/>
    <w:uiPriority w:val="0"/>
    <w:pPr>
      <w:adjustRightInd w:val="0"/>
      <w:snapToGrid w:val="0"/>
      <w:jc w:val="center"/>
    </w:pPr>
  </w:style>
  <w:style w:type="paragraph" w:customStyle="1" w:styleId="258">
    <w:name w:val="xl44"/>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9">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60">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261">
    <w:name w:val="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262">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63">
    <w:name w:val="Item Step"/>
    <w:basedOn w:val="1"/>
    <w:autoRedefine/>
    <w:qFormat/>
    <w:uiPriority w:val="0"/>
    <w:pPr>
      <w:widowControl/>
      <w:tabs>
        <w:tab w:val="left" w:pos="567"/>
      </w:tabs>
      <w:spacing w:afterLines="50"/>
      <w:ind w:left="987" w:hanging="420"/>
      <w:jc w:val="left"/>
    </w:pPr>
    <w:rPr>
      <w:rFonts w:ascii="Tahoma" w:hAnsi="Tahoma"/>
      <w:sz w:val="28"/>
      <w:szCs w:val="21"/>
    </w:rPr>
  </w:style>
  <w:style w:type="paragraph" w:customStyle="1" w:styleId="26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10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66">
    <w:name w:val="large"/>
    <w:basedOn w:val="1"/>
    <w:autoRedefine/>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26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268">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69">
    <w:name w:val="xl96"/>
    <w:basedOn w:val="1"/>
    <w:autoRedefine/>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70">
    <w:name w:val="Char Char Char Char2"/>
    <w:basedOn w:val="1"/>
    <w:autoRedefine/>
    <w:qFormat/>
    <w:uiPriority w:val="0"/>
    <w:pPr>
      <w:spacing w:line="360" w:lineRule="auto"/>
      <w:ind w:firstLine="200" w:firstLineChars="200"/>
      <w:jc w:val="left"/>
    </w:pPr>
    <w:rPr>
      <w:rFonts w:ascii="仿宋_GB2312" w:eastAsia="仿宋_GB2312"/>
      <w:b/>
      <w:sz w:val="32"/>
      <w:szCs w:val="32"/>
    </w:rPr>
  </w:style>
  <w:style w:type="paragraph" w:customStyle="1" w:styleId="271">
    <w:name w:val="Char11"/>
    <w:basedOn w:val="1"/>
    <w:qFormat/>
    <w:uiPriority w:val="0"/>
  </w:style>
  <w:style w:type="paragraph" w:customStyle="1" w:styleId="272">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73">
    <w:name w:val="列表 21"/>
    <w:basedOn w:val="1"/>
    <w:autoRedefine/>
    <w:qFormat/>
    <w:uiPriority w:val="0"/>
    <w:pPr>
      <w:ind w:left="100" w:leftChars="200" w:hanging="200" w:hangingChars="200"/>
    </w:pPr>
  </w:style>
  <w:style w:type="paragraph" w:customStyle="1" w:styleId="274">
    <w:name w:val="正文悬挂缩进6"/>
    <w:basedOn w:val="138"/>
    <w:autoRedefine/>
    <w:qFormat/>
    <w:uiPriority w:val="0"/>
    <w:pPr>
      <w:tabs>
        <w:tab w:val="left" w:pos="1259"/>
      </w:tabs>
      <w:ind w:left="600" w:leftChars="600"/>
    </w:pPr>
  </w:style>
  <w:style w:type="paragraph" w:customStyle="1" w:styleId="275">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76">
    <w:name w:val="xl93"/>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7">
    <w:name w:val="1"/>
    <w:basedOn w:val="41"/>
    <w:qFormat/>
    <w:uiPriority w:val="0"/>
    <w:pPr>
      <w:pBdr>
        <w:bottom w:val="none" w:color="auto" w:sz="0" w:space="0"/>
      </w:pBdr>
    </w:pPr>
    <w:rPr>
      <w:rFonts w:ascii="Calibri" w:hAnsi="Calibri" w:eastAsia="华文新魏"/>
      <w:sz w:val="21"/>
      <w:szCs w:val="20"/>
    </w:rPr>
  </w:style>
  <w:style w:type="paragraph" w:customStyle="1" w:styleId="278">
    <w:name w:val="我的正文格式"/>
    <w:basedOn w:val="1"/>
    <w:next w:val="1"/>
    <w:autoRedefine/>
    <w:qFormat/>
    <w:uiPriority w:val="0"/>
    <w:pPr>
      <w:snapToGrid w:val="0"/>
      <w:spacing w:line="288" w:lineRule="auto"/>
      <w:ind w:left="540" w:hanging="540" w:hangingChars="225"/>
    </w:pPr>
    <w:rPr>
      <w:sz w:val="24"/>
    </w:rPr>
  </w:style>
  <w:style w:type="paragraph" w:customStyle="1" w:styleId="279">
    <w:name w:val="版权所有"/>
    <w:basedOn w:val="1"/>
    <w:qFormat/>
    <w:uiPriority w:val="0"/>
    <w:pPr>
      <w:spacing w:beforeLines="100" w:afterLines="100" w:line="360" w:lineRule="auto"/>
    </w:pPr>
    <w:rPr>
      <w:rFonts w:ascii="Arial" w:hAnsi="Arial" w:eastAsia="黑体"/>
      <w:b/>
      <w:sz w:val="30"/>
      <w:u w:val="single"/>
    </w:rPr>
  </w:style>
  <w:style w:type="paragraph" w:customStyle="1" w:styleId="280">
    <w:name w:val="xl58"/>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81">
    <w:name w:val="样式 标题 2 + 段前: 0.5 行 段后: 0.5 行1"/>
    <w:basedOn w:val="6"/>
    <w:autoRedefine/>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282">
    <w:name w:val="xl10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83">
    <w:name w:val="xl10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4">
    <w:name w:val="日期1"/>
    <w:basedOn w:val="1"/>
    <w:next w:val="1"/>
    <w:autoRedefine/>
    <w:qFormat/>
    <w:uiPriority w:val="0"/>
    <w:pPr>
      <w:adjustRightInd w:val="0"/>
      <w:spacing w:line="360" w:lineRule="atLeast"/>
      <w:textAlignment w:val="baseline"/>
    </w:pPr>
    <w:rPr>
      <w:rFonts w:ascii="宋体"/>
      <w:kern w:val="0"/>
      <w:sz w:val="28"/>
      <w:szCs w:val="20"/>
    </w:rPr>
  </w:style>
  <w:style w:type="paragraph" w:customStyle="1" w:styleId="28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86">
    <w:name w:val="xl106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87">
    <w:name w:val="CM20"/>
    <w:basedOn w:val="87"/>
    <w:next w:val="87"/>
    <w:autoRedefine/>
    <w:qFormat/>
    <w:uiPriority w:val="0"/>
    <w:pPr>
      <w:spacing w:after="115"/>
    </w:pPr>
    <w:rPr>
      <w:rFonts w:ascii=".a..DD.." w:hAnsi="Times New Roman" w:eastAsia=".a..DD.." w:cs="Times New Roman"/>
      <w:color w:val="auto"/>
    </w:rPr>
  </w:style>
  <w:style w:type="paragraph" w:customStyle="1" w:styleId="288">
    <w:name w:val="xl33"/>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89">
    <w:name w:val="样式 样式 标题 2 + 段前: 0.5 行 段后: 0.5 行 + 段前: 0.5 行 段后: 0.5 行"/>
    <w:basedOn w:val="156"/>
    <w:qFormat/>
    <w:uiPriority w:val="0"/>
    <w:pPr>
      <w:spacing w:beforeLines="0" w:beforeAutospacing="1" w:afterLines="0" w:afterAutospacing="1"/>
      <w:ind w:left="576" w:hanging="576"/>
    </w:pPr>
    <w:rPr>
      <w:bCs w:val="0"/>
    </w:rPr>
  </w:style>
  <w:style w:type="paragraph" w:customStyle="1" w:styleId="290">
    <w:name w:val="xl10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91">
    <w:name w:val="表格标题2"/>
    <w:basedOn w:val="1"/>
    <w:autoRedefine/>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292">
    <w:name w:val="表文"/>
    <w:basedOn w:val="1"/>
    <w:autoRedefine/>
    <w:qFormat/>
    <w:uiPriority w:val="0"/>
    <w:pPr>
      <w:spacing w:line="300" w:lineRule="auto"/>
      <w:jc w:val="center"/>
      <w:textAlignment w:val="baseline"/>
    </w:pPr>
    <w:rPr>
      <w:kern w:val="0"/>
      <w:szCs w:val="20"/>
    </w:rPr>
  </w:style>
  <w:style w:type="paragraph" w:customStyle="1" w:styleId="293">
    <w:name w:val="xl53"/>
    <w:basedOn w:val="1"/>
    <w:autoRedefine/>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94">
    <w:name w:val="Paragraphe 3"/>
    <w:autoRedefine/>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295">
    <w:name w:val="样式1"/>
    <w:basedOn w:val="1"/>
    <w:autoRedefine/>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296">
    <w:name w:val="xl10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7">
    <w:name w:val="样式 样式 标题 5 + 段前: 0.5 行 段后: 0.5 行 + 段前: 0.5 行 段后: 0.5 行"/>
    <w:basedOn w:val="111"/>
    <w:qFormat/>
    <w:uiPriority w:val="0"/>
    <w:rPr>
      <w:bCs w:val="0"/>
    </w:rPr>
  </w:style>
  <w:style w:type="paragraph" w:customStyle="1" w:styleId="298">
    <w:name w:val="样式 标题 3H3h3h31第二层条3Bold Headbh章标题1小标题level_3PIM 3Lev...1"/>
    <w:basedOn w:val="7"/>
    <w:autoRedefine/>
    <w:qFormat/>
    <w:uiPriority w:val="0"/>
    <w:pPr>
      <w:tabs>
        <w:tab w:val="left" w:pos="1740"/>
      </w:tabs>
      <w:spacing w:beforeLines="50" w:afterLines="50" w:line="360" w:lineRule="auto"/>
      <w:ind w:left="1740" w:hanging="420"/>
    </w:pPr>
    <w:rPr>
      <w:rFonts w:ascii="Arial" w:hAnsi="Arial" w:eastAsia="黑体" w:cs="宋体"/>
      <w:b w:val="0"/>
      <w:szCs w:val="20"/>
    </w:rPr>
  </w:style>
  <w:style w:type="paragraph" w:customStyle="1" w:styleId="299">
    <w:name w:val="xl8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0">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_Style 38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03">
    <w:name w:val="表格2"/>
    <w:basedOn w:val="1"/>
    <w:autoRedefine/>
    <w:qFormat/>
    <w:uiPriority w:val="0"/>
    <w:pPr>
      <w:snapToGrid w:val="0"/>
      <w:jc w:val="center"/>
    </w:pPr>
    <w:rPr>
      <w:rFonts w:ascii="Arial" w:hAnsi="Arial" w:cs="Arial"/>
      <w:snapToGrid w:val="0"/>
      <w:kern w:val="0"/>
      <w:sz w:val="24"/>
    </w:rPr>
  </w:style>
  <w:style w:type="paragraph" w:customStyle="1" w:styleId="304">
    <w:name w:val="xl4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5">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6">
    <w:name w:val="标题2"/>
    <w:basedOn w:val="1"/>
    <w:autoRedefine/>
    <w:qFormat/>
    <w:uiPriority w:val="0"/>
    <w:pPr>
      <w:spacing w:beforeLines="50" w:afterLines="50" w:line="300" w:lineRule="exact"/>
    </w:pPr>
    <w:rPr>
      <w:b/>
      <w:bCs/>
    </w:rPr>
  </w:style>
  <w:style w:type="paragraph" w:customStyle="1" w:styleId="307">
    <w:name w:val="xl10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8">
    <w:name w:val="Normal1"/>
    <w:next w:val="1"/>
    <w:autoRedefine/>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309">
    <w:name w:val="xl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10">
    <w:name w:val="xl109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11">
    <w:name w:val="xl35"/>
    <w:basedOn w:val="1"/>
    <w:autoRedefine/>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12">
    <w:name w:val="xl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13">
    <w:name w:val="小四 段落 宋体 Char Char"/>
    <w:basedOn w:val="219"/>
    <w:autoRedefine/>
    <w:qFormat/>
    <w:uiPriority w:val="0"/>
    <w:pPr>
      <w:tabs>
        <w:tab w:val="clear" w:pos="360"/>
        <w:tab w:val="clear" w:pos="840"/>
      </w:tabs>
    </w:pPr>
  </w:style>
  <w:style w:type="paragraph" w:customStyle="1" w:styleId="314">
    <w:name w:val="标书正文"/>
    <w:basedOn w:val="1"/>
    <w:autoRedefine/>
    <w:qFormat/>
    <w:uiPriority w:val="0"/>
    <w:pPr>
      <w:spacing w:line="360" w:lineRule="auto"/>
      <w:ind w:firstLine="497" w:firstLineChars="207"/>
    </w:pPr>
    <w:rPr>
      <w:sz w:val="24"/>
      <w:szCs w:val="20"/>
    </w:rPr>
  </w:style>
  <w:style w:type="paragraph" w:customStyle="1" w:styleId="315">
    <w:name w:val="_Style 20"/>
    <w:basedOn w:val="1"/>
    <w:autoRedefine/>
    <w:qFormat/>
    <w:uiPriority w:val="0"/>
    <w:rPr>
      <w:rFonts w:ascii="Tahoma" w:hAnsi="Tahoma"/>
      <w:sz w:val="24"/>
      <w:szCs w:val="20"/>
    </w:rPr>
  </w:style>
  <w:style w:type="paragraph" w:customStyle="1" w:styleId="31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317">
    <w:name w:val="四级无"/>
    <w:basedOn w:val="252"/>
    <w:autoRedefine/>
    <w:qFormat/>
    <w:uiPriority w:val="0"/>
    <w:pPr>
      <w:tabs>
        <w:tab w:val="left" w:pos="360"/>
      </w:tabs>
      <w:spacing w:beforeLines="0" w:afterLines="0"/>
    </w:pPr>
    <w:rPr>
      <w:rFonts w:ascii="宋体" w:eastAsia="宋体"/>
    </w:rPr>
  </w:style>
  <w:style w:type="paragraph" w:customStyle="1" w:styleId="31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9">
    <w:name w:val="Char3"/>
    <w:basedOn w:val="1"/>
    <w:autoRedefine/>
    <w:qFormat/>
    <w:uiPriority w:val="0"/>
    <w:rPr>
      <w:rFonts w:ascii="Tahoma" w:hAnsi="Tahoma" w:cs="仿宋_GB2312"/>
      <w:sz w:val="24"/>
      <w:szCs w:val="28"/>
    </w:rPr>
  </w:style>
  <w:style w:type="paragraph" w:customStyle="1" w:styleId="320">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1">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22">
    <w:name w:val="xl10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3">
    <w:name w:val="xl6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24">
    <w:name w:val="样式 首行缩进:  2 字符2 + 居中"/>
    <w:basedOn w:val="246"/>
    <w:autoRedefine/>
    <w:qFormat/>
    <w:uiPriority w:val="0"/>
    <w:pPr>
      <w:adjustRightInd/>
      <w:snapToGrid/>
      <w:ind w:firstLine="0" w:firstLineChars="0"/>
      <w:jc w:val="center"/>
    </w:pPr>
    <w:rPr>
      <w:sz w:val="28"/>
      <w:szCs w:val="20"/>
    </w:rPr>
  </w:style>
  <w:style w:type="paragraph" w:customStyle="1" w:styleId="325">
    <w:name w:val="xl118"/>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26">
    <w:name w:val="xl106"/>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7">
    <w:name w:val="xl9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í¸ñÎÄ±¾"/>
    <w:basedOn w:val="1"/>
    <w:autoRedefine/>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9">
    <w:name w:val="Char Char Char Char Char Char Char1"/>
    <w:basedOn w:val="1"/>
    <w:autoRedefine/>
    <w:qFormat/>
    <w:uiPriority w:val="0"/>
  </w:style>
  <w:style w:type="paragraph" w:customStyle="1" w:styleId="330">
    <w:name w:val="pa-13"/>
    <w:basedOn w:val="1"/>
    <w:autoRedefine/>
    <w:qFormat/>
    <w:uiPriority w:val="0"/>
    <w:pPr>
      <w:widowControl/>
      <w:spacing w:line="240" w:lineRule="atLeast"/>
    </w:pPr>
    <w:rPr>
      <w:rFonts w:ascii="宋体" w:hAnsi="宋体" w:cs="宋体"/>
      <w:kern w:val="0"/>
      <w:sz w:val="24"/>
    </w:rPr>
  </w:style>
  <w:style w:type="paragraph" w:customStyle="1" w:styleId="331">
    <w:name w:val="xl1063"/>
    <w:basedOn w:val="1"/>
    <w:autoRedefine/>
    <w:qFormat/>
    <w:uiPriority w:val="0"/>
    <w:pPr>
      <w:widowControl/>
      <w:spacing w:before="100" w:beforeAutospacing="1" w:after="100" w:afterAutospacing="1"/>
      <w:jc w:val="center"/>
    </w:pPr>
    <w:rPr>
      <w:rFonts w:ascii="宋体" w:hAnsi="宋体" w:cs="宋体"/>
      <w:b/>
      <w:bCs/>
      <w:kern w:val="0"/>
      <w:sz w:val="24"/>
    </w:rPr>
  </w:style>
  <w:style w:type="paragraph" w:customStyle="1" w:styleId="332">
    <w:name w:val="xl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3">
    <w:name w:val="列出段落3"/>
    <w:basedOn w:val="1"/>
    <w:autoRedefine/>
    <w:qFormat/>
    <w:uiPriority w:val="0"/>
    <w:pPr>
      <w:ind w:firstLine="420" w:firstLineChars="200"/>
    </w:pPr>
    <w:rPr>
      <w:szCs w:val="20"/>
    </w:rPr>
  </w:style>
  <w:style w:type="paragraph" w:customStyle="1" w:styleId="334">
    <w:name w:val="(1)"/>
    <w:basedOn w:val="1"/>
    <w:autoRedefine/>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335">
    <w:name w:val="目录"/>
    <w:basedOn w:val="1"/>
    <w:autoRedefine/>
    <w:qFormat/>
    <w:uiPriority w:val="0"/>
    <w:pPr>
      <w:widowControl/>
      <w:jc w:val="center"/>
    </w:pPr>
    <w:rPr>
      <w:rFonts w:ascii="宋体"/>
      <w:b/>
      <w:kern w:val="0"/>
      <w:sz w:val="36"/>
      <w:szCs w:val="20"/>
    </w:rPr>
  </w:style>
  <w:style w:type="paragraph" w:customStyle="1" w:styleId="336">
    <w:name w:val="xl37"/>
    <w:basedOn w:val="1"/>
    <w:autoRedefine/>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7">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8">
    <w:name w:val="xl114"/>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39">
    <w:name w:val="xl52"/>
    <w:basedOn w:val="1"/>
    <w:autoRedefine/>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0">
    <w:name w:val="三级无"/>
    <w:basedOn w:val="253"/>
    <w:autoRedefine/>
    <w:qFormat/>
    <w:uiPriority w:val="0"/>
    <w:pPr>
      <w:spacing w:beforeLines="0" w:afterLines="0"/>
    </w:pPr>
    <w:rPr>
      <w:rFonts w:ascii="宋体" w:eastAsia="宋体"/>
    </w:rPr>
  </w:style>
  <w:style w:type="paragraph" w:customStyle="1" w:styleId="341">
    <w:name w:val="xl10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xl10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3">
    <w:name w:val="xl127"/>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4">
    <w:name w:val="xl10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6">
    <w:name w:val="xl63"/>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47">
    <w:name w:val="xl27"/>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48">
    <w:name w:val="表格1"/>
    <w:basedOn w:val="1"/>
    <w:autoRedefine/>
    <w:qFormat/>
    <w:uiPriority w:val="0"/>
    <w:pPr>
      <w:tabs>
        <w:tab w:val="left" w:pos="203"/>
      </w:tabs>
      <w:spacing w:before="40" w:after="40"/>
      <w:jc w:val="center"/>
    </w:pPr>
    <w:rPr>
      <w:b/>
      <w:sz w:val="28"/>
      <w:szCs w:val="20"/>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50">
    <w:name w:val="xl12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font8"/>
    <w:basedOn w:val="1"/>
    <w:autoRedefine/>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352">
    <w:name w:val="List Paragraph"/>
    <w:basedOn w:val="1"/>
    <w:autoRedefine/>
    <w:qFormat/>
    <w:uiPriority w:val="34"/>
    <w:pPr>
      <w:ind w:firstLine="420" w:firstLineChars="200"/>
    </w:pPr>
    <w:rPr>
      <w:rFonts w:ascii="宋体" w:hAnsi="宋体" w:cs="宋体"/>
      <w:bCs/>
      <w:color w:val="000000"/>
      <w:kern w:val="0"/>
      <w:sz w:val="24"/>
      <w:u w:val="single"/>
    </w:rPr>
  </w:style>
  <w:style w:type="paragraph" w:customStyle="1" w:styleId="353">
    <w:name w:val="xl110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54">
    <w:name w:val="xl107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55">
    <w:name w:val="Char Char Char"/>
    <w:basedOn w:val="1"/>
    <w:autoRedefine/>
    <w:qFormat/>
    <w:uiPriority w:val="0"/>
    <w:rPr>
      <w:rFonts w:ascii="Tahoma" w:hAnsi="Tahoma" w:cs="Angsana New"/>
      <w:sz w:val="24"/>
      <w:szCs w:val="20"/>
    </w:rPr>
  </w:style>
  <w:style w:type="paragraph" w:customStyle="1" w:styleId="356">
    <w:name w:val="xl10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7">
    <w:name w:val="文档控制号等"/>
    <w:basedOn w:val="1"/>
    <w:autoRedefine/>
    <w:qFormat/>
    <w:uiPriority w:val="0"/>
    <w:pPr>
      <w:spacing w:line="360" w:lineRule="auto"/>
      <w:jc w:val="left"/>
    </w:pPr>
  </w:style>
  <w:style w:type="paragraph" w:customStyle="1" w:styleId="358">
    <w:name w:val="xl2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59">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60">
    <w:name w:val="书目11"/>
    <w:basedOn w:val="1"/>
    <w:next w:val="1"/>
    <w:autoRedefine/>
    <w:unhideWhenUsed/>
    <w:qFormat/>
    <w:uiPriority w:val="37"/>
    <w:pPr>
      <w:spacing w:line="360" w:lineRule="auto"/>
      <w:ind w:firstLine="200" w:firstLineChars="200"/>
      <w:jc w:val="left"/>
    </w:pPr>
    <w:rPr>
      <w:sz w:val="24"/>
    </w:rPr>
  </w:style>
  <w:style w:type="paragraph" w:customStyle="1" w:styleId="361">
    <w:name w:val="模版正文"/>
    <w:basedOn w:val="1"/>
    <w:autoRedefine/>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362">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63">
    <w:name w:val="样式 左  4 字符 首行缩进:  2 字符"/>
    <w:basedOn w:val="1"/>
    <w:autoRedefine/>
    <w:qFormat/>
    <w:uiPriority w:val="0"/>
    <w:pPr>
      <w:spacing w:beforeLines="50" w:afterLines="50"/>
      <w:ind w:left="400" w:leftChars="400" w:firstLine="200" w:firstLineChars="200"/>
    </w:pPr>
    <w:rPr>
      <w:rFonts w:cs="宋体"/>
      <w:szCs w:val="20"/>
    </w:rPr>
  </w:style>
  <w:style w:type="paragraph" w:customStyle="1" w:styleId="364">
    <w:name w:val="xl88"/>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65">
    <w:name w:val="xl38"/>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8">
    <w:name w:val="表格侧编号"/>
    <w:next w:val="1"/>
    <w:autoRedefine/>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369">
    <w:name w:val="default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71">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2">
    <w:name w:val="Item List Char"/>
    <w:autoRedefine/>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373">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4">
    <w:name w:val="xl10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5">
    <w:name w:val="xl56"/>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6">
    <w:name w:val="Char Char Char 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内文"/>
    <w:autoRedefine/>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78">
    <w:name w:val="标题1"/>
    <w:basedOn w:val="5"/>
    <w:autoRedefine/>
    <w:qFormat/>
    <w:uiPriority w:val="0"/>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379">
    <w:name w:val="五级条标题"/>
    <w:basedOn w:val="252"/>
    <w:next w:val="1"/>
    <w:autoRedefine/>
    <w:qFormat/>
    <w:uiPriority w:val="0"/>
    <w:pPr>
      <w:outlineLvl w:val="6"/>
    </w:pPr>
  </w:style>
  <w:style w:type="paragraph" w:customStyle="1" w:styleId="380">
    <w:name w:val="xl10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1">
    <w:name w:val="xl10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82">
    <w:name w:val="font10"/>
    <w:basedOn w:val="1"/>
    <w:autoRedefine/>
    <w:qFormat/>
    <w:uiPriority w:val="0"/>
    <w:pPr>
      <w:widowControl/>
      <w:spacing w:before="100" w:beforeAutospacing="1" w:after="100" w:afterAutospacing="1"/>
      <w:jc w:val="left"/>
    </w:pPr>
    <w:rPr>
      <w:rFonts w:eastAsia="Arial Unicode MS"/>
      <w:kern w:val="0"/>
      <w:sz w:val="28"/>
      <w:szCs w:val="28"/>
    </w:rPr>
  </w:style>
  <w:style w:type="paragraph" w:customStyle="1" w:styleId="383">
    <w:name w:val="tll"/>
    <w:basedOn w:val="1"/>
    <w:autoRedefine/>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384">
    <w:name w:val="xl11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86">
    <w:name w:val="xl9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8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388">
    <w:name w:val="pa-10"/>
    <w:basedOn w:val="1"/>
    <w:autoRedefine/>
    <w:qFormat/>
    <w:uiPriority w:val="0"/>
    <w:pPr>
      <w:widowControl/>
      <w:spacing w:line="280" w:lineRule="atLeast"/>
    </w:pPr>
    <w:rPr>
      <w:rFonts w:ascii="宋体" w:hAnsi="宋体" w:cs="宋体"/>
      <w:kern w:val="0"/>
      <w:sz w:val="24"/>
    </w:rPr>
  </w:style>
  <w:style w:type="paragraph" w:customStyle="1" w:styleId="389">
    <w:name w:val="TOC 标题1"/>
    <w:basedOn w:val="5"/>
    <w:next w:val="1"/>
    <w:autoRedefine/>
    <w:qFormat/>
    <w:uiPriority w:val="3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390">
    <w:name w:val="xl85"/>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1">
    <w:name w:val="xl1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92">
    <w:name w:val="xl11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3">
    <w:name w:val="表格标题3"/>
    <w:basedOn w:val="291"/>
    <w:autoRedefine/>
    <w:qFormat/>
    <w:uiPriority w:val="0"/>
    <w:pPr>
      <w:tabs>
        <w:tab w:val="left" w:pos="570"/>
        <w:tab w:val="left" w:pos="720"/>
        <w:tab w:val="clear" w:pos="1620"/>
      </w:tabs>
      <w:ind w:left="570" w:hanging="570"/>
    </w:pPr>
  </w:style>
  <w:style w:type="paragraph" w:customStyle="1" w:styleId="394">
    <w:name w:val="xl1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95">
    <w:name w:val="xl108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6">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xl32"/>
    <w:basedOn w:val="1"/>
    <w:autoRedefine/>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8">
    <w:name w:val="xl7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99">
    <w:name w:val="二级无"/>
    <w:basedOn w:val="254"/>
    <w:autoRedefine/>
    <w:qFormat/>
    <w:uiPriority w:val="0"/>
    <w:pPr>
      <w:spacing w:beforeLines="0" w:afterLines="0"/>
    </w:pPr>
    <w:rPr>
      <w:rFonts w:ascii="宋体" w:eastAsia="宋体"/>
    </w:rPr>
  </w:style>
  <w:style w:type="paragraph" w:customStyle="1" w:styleId="400">
    <w:name w:val="xl99"/>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1">
    <w:name w:val="xl3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2">
    <w:name w:val="xl10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3">
    <w:name w:val="xl1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xl10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5">
    <w:name w:val="节标题"/>
    <w:basedOn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406">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7">
    <w:name w:val="xl10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08">
    <w:name w:val="xl48"/>
    <w:basedOn w:val="1"/>
    <w:autoRedefine/>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9">
    <w:name w:val="Char Char Char Char Char Char Char"/>
    <w:basedOn w:val="1"/>
    <w:autoRedefine/>
    <w:qFormat/>
    <w:uiPriority w:val="0"/>
  </w:style>
  <w:style w:type="paragraph" w:customStyle="1" w:styleId="410">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11">
    <w:name w:val="Bullet 1"/>
    <w:autoRedefine/>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412">
    <w:name w:val="xl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13">
    <w:name w:val="xl5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4">
    <w:name w:val="xl107"/>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15">
    <w:name w:val="正文3号仿宋"/>
    <w:basedOn w:val="1"/>
    <w:link w:val="518"/>
    <w:autoRedefine/>
    <w:qFormat/>
    <w:uiPriority w:val="0"/>
    <w:pPr>
      <w:adjustRightInd w:val="0"/>
      <w:spacing w:line="360" w:lineRule="auto"/>
      <w:ind w:firstLine="480" w:firstLineChars="200"/>
      <w:textAlignment w:val="baseline"/>
    </w:pPr>
    <w:rPr>
      <w:rFonts w:ascii="宋体" w:hAnsi="宋体"/>
      <w:kern w:val="0"/>
      <w:sz w:val="24"/>
    </w:rPr>
  </w:style>
  <w:style w:type="paragraph" w:customStyle="1" w:styleId="416">
    <w:name w:val="段落小标题"/>
    <w:basedOn w:val="1"/>
    <w:link w:val="519"/>
    <w:autoRedefine/>
    <w:qFormat/>
    <w:uiPriority w:val="0"/>
    <w:pPr>
      <w:adjustRightInd w:val="0"/>
      <w:spacing w:line="360" w:lineRule="auto"/>
      <w:ind w:firstLine="510"/>
      <w:jc w:val="left"/>
      <w:textAlignment w:val="baseline"/>
    </w:pPr>
    <w:rPr>
      <w:rFonts w:ascii="仿宋" w:hAnsi="仿宋" w:eastAsia="仿宋"/>
      <w:b/>
      <w:kern w:val="0"/>
      <w:sz w:val="32"/>
      <w:szCs w:val="32"/>
    </w:rPr>
  </w:style>
  <w:style w:type="paragraph" w:customStyle="1" w:styleId="417">
    <w:name w:val="正文（缩进）"/>
    <w:basedOn w:val="1"/>
    <w:link w:val="520"/>
    <w:autoRedefine/>
    <w:qFormat/>
    <w:uiPriority w:val="0"/>
    <w:pPr>
      <w:widowControl/>
      <w:spacing w:beforeLines="50" w:afterLines="50" w:line="360" w:lineRule="auto"/>
      <w:ind w:firstLine="480" w:firstLineChars="200"/>
      <w:jc w:val="left"/>
    </w:pPr>
    <w:rPr>
      <w:rFonts w:ascii="宋体" w:hAnsi="宋体"/>
      <w:kern w:val="0"/>
      <w:sz w:val="24"/>
    </w:rPr>
  </w:style>
  <w:style w:type="paragraph" w:customStyle="1" w:styleId="418">
    <w:name w:val="正文3"/>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19">
    <w:name w:val="纯文本3"/>
    <w:basedOn w:val="1"/>
    <w:autoRedefine/>
    <w:qFormat/>
    <w:uiPriority w:val="0"/>
    <w:rPr>
      <w:rFonts w:ascii="宋体" w:hAnsi="Courier New"/>
      <w:kern w:val="0"/>
      <w:sz w:val="20"/>
      <w:szCs w:val="20"/>
    </w:rPr>
  </w:style>
  <w:style w:type="paragraph" w:customStyle="1" w:styleId="420">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421">
    <w:name w:val="标题 1 字符"/>
    <w:link w:val="5"/>
    <w:autoRedefine/>
    <w:qFormat/>
    <w:uiPriority w:val="0"/>
    <w:rPr>
      <w:rFonts w:ascii="Times New Roman" w:hAnsi="Times New Roman" w:eastAsia="宋体" w:cs="Times New Roman"/>
      <w:b/>
      <w:bCs/>
      <w:kern w:val="44"/>
      <w:sz w:val="44"/>
      <w:szCs w:val="44"/>
    </w:rPr>
  </w:style>
  <w:style w:type="character" w:customStyle="1" w:styleId="422">
    <w:name w:val="标题 2 字符"/>
    <w:link w:val="6"/>
    <w:autoRedefine/>
    <w:qFormat/>
    <w:uiPriority w:val="0"/>
    <w:rPr>
      <w:rFonts w:ascii="Arial" w:hAnsi="Arial" w:eastAsia="黑体" w:cs="Times New Roman"/>
      <w:b/>
      <w:bCs/>
      <w:sz w:val="32"/>
      <w:szCs w:val="32"/>
    </w:rPr>
  </w:style>
  <w:style w:type="character" w:customStyle="1" w:styleId="423">
    <w:name w:val="标题 3 字符"/>
    <w:link w:val="7"/>
    <w:autoRedefine/>
    <w:qFormat/>
    <w:uiPriority w:val="0"/>
    <w:rPr>
      <w:rFonts w:ascii="Times New Roman" w:hAnsi="Times New Roman" w:eastAsia="宋体" w:cs="Times New Roman"/>
      <w:b/>
      <w:bCs/>
      <w:sz w:val="32"/>
      <w:szCs w:val="32"/>
    </w:rPr>
  </w:style>
  <w:style w:type="character" w:customStyle="1" w:styleId="424">
    <w:name w:val="标题 4 字符"/>
    <w:link w:val="8"/>
    <w:autoRedefine/>
    <w:qFormat/>
    <w:uiPriority w:val="0"/>
    <w:rPr>
      <w:rFonts w:ascii="Arial" w:hAnsi="Arial" w:eastAsia="黑体" w:cs="Times New Roman"/>
      <w:b/>
      <w:bCs/>
      <w:sz w:val="28"/>
      <w:szCs w:val="28"/>
    </w:rPr>
  </w:style>
  <w:style w:type="character" w:customStyle="1" w:styleId="425">
    <w:name w:val="标题 5 字符"/>
    <w:basedOn w:val="62"/>
    <w:link w:val="9"/>
    <w:autoRedefine/>
    <w:qFormat/>
    <w:uiPriority w:val="0"/>
    <w:rPr>
      <w:rFonts w:ascii="Calibri" w:hAnsi="Calibri"/>
      <w:b/>
      <w:bCs/>
      <w:kern w:val="2"/>
      <w:sz w:val="28"/>
      <w:szCs w:val="28"/>
    </w:rPr>
  </w:style>
  <w:style w:type="character" w:customStyle="1" w:styleId="426">
    <w:name w:val="标题 6 字符"/>
    <w:basedOn w:val="62"/>
    <w:link w:val="10"/>
    <w:autoRedefine/>
    <w:qFormat/>
    <w:uiPriority w:val="0"/>
    <w:rPr>
      <w:rFonts w:ascii="Arial" w:hAnsi="Arial" w:eastAsia="黑体"/>
      <w:b/>
      <w:bCs/>
      <w:sz w:val="24"/>
      <w:szCs w:val="24"/>
    </w:rPr>
  </w:style>
  <w:style w:type="character" w:customStyle="1" w:styleId="427">
    <w:name w:val="标题 7 字符"/>
    <w:basedOn w:val="62"/>
    <w:link w:val="11"/>
    <w:autoRedefine/>
    <w:qFormat/>
    <w:uiPriority w:val="0"/>
    <w:rPr>
      <w:b/>
      <w:bCs/>
      <w:sz w:val="24"/>
      <w:szCs w:val="24"/>
    </w:rPr>
  </w:style>
  <w:style w:type="character" w:customStyle="1" w:styleId="428">
    <w:name w:val="标题 8 字符"/>
    <w:basedOn w:val="62"/>
    <w:link w:val="12"/>
    <w:autoRedefine/>
    <w:qFormat/>
    <w:uiPriority w:val="0"/>
    <w:rPr>
      <w:rFonts w:ascii="Arial" w:hAnsi="Arial" w:eastAsia="黑体"/>
      <w:sz w:val="24"/>
      <w:szCs w:val="24"/>
    </w:rPr>
  </w:style>
  <w:style w:type="character" w:customStyle="1" w:styleId="429">
    <w:name w:val="标题 9 字符"/>
    <w:basedOn w:val="62"/>
    <w:link w:val="13"/>
    <w:autoRedefine/>
    <w:qFormat/>
    <w:uiPriority w:val="0"/>
    <w:rPr>
      <w:rFonts w:ascii="Arial" w:hAnsi="Arial" w:eastAsia="黑体"/>
      <w:sz w:val="21"/>
      <w:szCs w:val="21"/>
    </w:rPr>
  </w:style>
  <w:style w:type="character" w:customStyle="1" w:styleId="430">
    <w:name w:val="称呼 字符"/>
    <w:link w:val="25"/>
    <w:autoRedefine/>
    <w:qFormat/>
    <w:uiPriority w:val="0"/>
    <w:rPr>
      <w:rFonts w:ascii="Times New Roman" w:hAnsi="Times New Roman" w:eastAsia="宋体" w:cs="Times New Roman"/>
      <w:szCs w:val="24"/>
    </w:rPr>
  </w:style>
  <w:style w:type="character" w:customStyle="1" w:styleId="431">
    <w:name w:val="正文缩进 字符"/>
    <w:basedOn w:val="62"/>
    <w:link w:val="19"/>
    <w:autoRedefine/>
    <w:qFormat/>
    <w:uiPriority w:val="0"/>
  </w:style>
  <w:style w:type="character" w:customStyle="1" w:styleId="432">
    <w:name w:val="纯文本 Char1"/>
    <w:autoRedefine/>
    <w:qFormat/>
    <w:uiPriority w:val="0"/>
    <w:rPr>
      <w:rFonts w:ascii="宋体" w:hAnsi="Courier New" w:eastAsia="宋体" w:cs="Courier New"/>
      <w:szCs w:val="21"/>
    </w:rPr>
  </w:style>
  <w:style w:type="character" w:customStyle="1" w:styleId="433">
    <w:name w:val="页脚 字符"/>
    <w:link w:val="40"/>
    <w:autoRedefine/>
    <w:qFormat/>
    <w:uiPriority w:val="0"/>
    <w:rPr>
      <w:sz w:val="18"/>
      <w:szCs w:val="18"/>
    </w:rPr>
  </w:style>
  <w:style w:type="character" w:customStyle="1" w:styleId="434">
    <w:name w:val="HTML 预设格式 字符"/>
    <w:link w:val="53"/>
    <w:autoRedefine/>
    <w:qFormat/>
    <w:uiPriority w:val="99"/>
    <w:rPr>
      <w:rFonts w:ascii="宋体" w:hAnsi="宋体" w:eastAsia="宋体" w:cs="宋体"/>
      <w:kern w:val="0"/>
      <w:sz w:val="24"/>
      <w:szCs w:val="24"/>
    </w:rPr>
  </w:style>
  <w:style w:type="character" w:customStyle="1" w:styleId="435">
    <w:name w:val="正文文本 字符"/>
    <w:link w:val="29"/>
    <w:autoRedefine/>
    <w:qFormat/>
    <w:uiPriority w:val="0"/>
    <w:rPr>
      <w:rFonts w:ascii="Times New Roman" w:hAnsi="Times New Roman" w:eastAsia="宋体" w:cs="Times New Roman"/>
      <w:kern w:val="0"/>
      <w:sz w:val="24"/>
      <w:szCs w:val="20"/>
    </w:rPr>
  </w:style>
  <w:style w:type="character" w:customStyle="1" w:styleId="436">
    <w:name w:val="日期 Char"/>
    <w:autoRedefine/>
    <w:qFormat/>
    <w:uiPriority w:val="0"/>
    <w:rPr>
      <w:rFonts w:ascii="仿宋体" w:eastAsia="仿宋体"/>
      <w:kern w:val="2"/>
      <w:sz w:val="24"/>
      <w:szCs w:val="24"/>
    </w:rPr>
  </w:style>
  <w:style w:type="character" w:customStyle="1" w:styleId="437">
    <w:name w:val="正文文本缩进 Char1"/>
    <w:autoRedefine/>
    <w:qFormat/>
    <w:uiPriority w:val="0"/>
    <w:rPr>
      <w:rFonts w:ascii="Times New Roman" w:hAnsi="Times New Roman" w:eastAsia="宋体" w:cs="Times New Roman"/>
      <w:szCs w:val="24"/>
    </w:rPr>
  </w:style>
  <w:style w:type="character" w:customStyle="1" w:styleId="438">
    <w:name w:val="批注框文本 字符"/>
    <w:link w:val="39"/>
    <w:autoRedefine/>
    <w:qFormat/>
    <w:uiPriority w:val="0"/>
    <w:rPr>
      <w:rFonts w:ascii="Times New Roman" w:hAnsi="Times New Roman" w:eastAsia="宋体" w:cs="Times New Roman"/>
      <w:sz w:val="18"/>
      <w:szCs w:val="18"/>
    </w:rPr>
  </w:style>
  <w:style w:type="character" w:customStyle="1" w:styleId="439">
    <w:name w:val="font11"/>
    <w:autoRedefine/>
    <w:qFormat/>
    <w:uiPriority w:val="0"/>
    <w:rPr>
      <w:rFonts w:hint="eastAsia" w:ascii="仿宋_GB2312" w:eastAsia="仿宋_GB2312" w:cs="仿宋_GB2312"/>
      <w:color w:val="000000"/>
      <w:sz w:val="22"/>
      <w:szCs w:val="22"/>
      <w:u w:val="none"/>
    </w:rPr>
  </w:style>
  <w:style w:type="character" w:customStyle="1" w:styleId="440">
    <w:name w:val="批注主题 字符"/>
    <w:link w:val="57"/>
    <w:autoRedefine/>
    <w:qFormat/>
    <w:uiPriority w:val="0"/>
    <w:rPr>
      <w:b/>
      <w:bCs/>
      <w:kern w:val="2"/>
      <w:sz w:val="21"/>
      <w:szCs w:val="24"/>
    </w:rPr>
  </w:style>
  <w:style w:type="character" w:customStyle="1" w:styleId="441">
    <w:name w:val="批注文字 字符"/>
    <w:link w:val="24"/>
    <w:autoRedefine/>
    <w:qFormat/>
    <w:uiPriority w:val="0"/>
    <w:rPr>
      <w:kern w:val="2"/>
      <w:sz w:val="21"/>
      <w:szCs w:val="24"/>
    </w:rPr>
  </w:style>
  <w:style w:type="character" w:customStyle="1" w:styleId="442">
    <w:name w:val="正文缩进 Char1"/>
    <w:autoRedefine/>
    <w:qFormat/>
    <w:uiPriority w:val="0"/>
    <w:rPr>
      <w:rFonts w:eastAsia="宋体"/>
      <w:kern w:val="2"/>
      <w:sz w:val="21"/>
      <w:szCs w:val="24"/>
      <w:lang w:val="en-US" w:eastAsia="zh-CN" w:bidi="ar-SA"/>
    </w:rPr>
  </w:style>
  <w:style w:type="character" w:customStyle="1" w:styleId="443">
    <w:name w:val="p31"/>
    <w:autoRedefine/>
    <w:qFormat/>
    <w:uiPriority w:val="0"/>
    <w:rPr>
      <w:sz w:val="20"/>
      <w:szCs w:val="20"/>
    </w:rPr>
  </w:style>
  <w:style w:type="character" w:customStyle="1" w:styleId="444">
    <w:name w:val="结束语 字符"/>
    <w:link w:val="27"/>
    <w:autoRedefine/>
    <w:qFormat/>
    <w:uiPriority w:val="0"/>
    <w:rPr>
      <w:rFonts w:ascii="Times New Roman" w:hAnsi="Times New Roman" w:eastAsia="宋体" w:cs="Times New Roman"/>
      <w:szCs w:val="24"/>
    </w:rPr>
  </w:style>
  <w:style w:type="character" w:customStyle="1" w:styleId="445">
    <w:name w:val="日期 Char1"/>
    <w:autoRedefine/>
    <w:semiHidden/>
    <w:qFormat/>
    <w:uiPriority w:val="99"/>
    <w:rPr>
      <w:rFonts w:ascii="Times New Roman" w:hAnsi="Times New Roman" w:eastAsia="宋体" w:cs="Times New Roman"/>
      <w:szCs w:val="24"/>
    </w:rPr>
  </w:style>
  <w:style w:type="character" w:customStyle="1" w:styleId="446">
    <w:name w:val="纯文本 字符"/>
    <w:link w:val="34"/>
    <w:autoRedefine/>
    <w:qFormat/>
    <w:uiPriority w:val="0"/>
    <w:rPr>
      <w:rFonts w:ascii="宋体" w:hAnsi="Courier New"/>
    </w:rPr>
  </w:style>
  <w:style w:type="character" w:customStyle="1" w:styleId="447">
    <w:name w:val="apple-converted-space"/>
    <w:autoRedefine/>
    <w:qFormat/>
    <w:uiPriority w:val="0"/>
  </w:style>
  <w:style w:type="character" w:customStyle="1" w:styleId="448">
    <w:name w:val="日期 字符"/>
    <w:link w:val="36"/>
    <w:autoRedefine/>
    <w:qFormat/>
    <w:uiPriority w:val="0"/>
    <w:rPr>
      <w:szCs w:val="24"/>
    </w:rPr>
  </w:style>
  <w:style w:type="character" w:customStyle="1" w:styleId="449">
    <w:name w:val="纯文本 Char"/>
    <w:autoRedefine/>
    <w:qFormat/>
    <w:uiPriority w:val="0"/>
    <w:rPr>
      <w:rFonts w:ascii="宋体" w:hAnsi="Courier New" w:eastAsia="宋体" w:cs="Courier New"/>
      <w:kern w:val="2"/>
      <w:sz w:val="21"/>
      <w:szCs w:val="21"/>
      <w:lang w:val="en-US" w:eastAsia="zh-CN" w:bidi="ar-SA"/>
    </w:rPr>
  </w:style>
  <w:style w:type="character" w:customStyle="1" w:styleId="450">
    <w:name w:val="页眉 字符"/>
    <w:link w:val="41"/>
    <w:autoRedefine/>
    <w:qFormat/>
    <w:uiPriority w:val="99"/>
    <w:rPr>
      <w:sz w:val="18"/>
      <w:szCs w:val="18"/>
    </w:rPr>
  </w:style>
  <w:style w:type="character" w:customStyle="1" w:styleId="451">
    <w:name w:val="hei"/>
    <w:basedOn w:val="62"/>
    <w:qFormat/>
    <w:uiPriority w:val="0"/>
  </w:style>
  <w:style w:type="character" w:customStyle="1" w:styleId="452">
    <w:name w:val="正文文本缩进 2 字符"/>
    <w:link w:val="37"/>
    <w:autoRedefine/>
    <w:qFormat/>
    <w:uiPriority w:val="0"/>
    <w:rPr>
      <w:rFonts w:ascii="Times New Roman" w:hAnsi="Times New Roman" w:eastAsia="宋体" w:cs="Times New Roman"/>
      <w:b/>
      <w:sz w:val="24"/>
      <w:szCs w:val="24"/>
    </w:rPr>
  </w:style>
  <w:style w:type="character" w:customStyle="1" w:styleId="453">
    <w:name w:val="正文文本缩进 字符"/>
    <w:link w:val="3"/>
    <w:qFormat/>
    <w:uiPriority w:val="99"/>
    <w:rPr>
      <w:szCs w:val="24"/>
    </w:rPr>
  </w:style>
  <w:style w:type="character" w:customStyle="1" w:styleId="454">
    <w:name w:val="列出段落 Char"/>
    <w:link w:val="71"/>
    <w:qFormat/>
    <w:locked/>
    <w:uiPriority w:val="34"/>
    <w:rPr>
      <w:kern w:val="2"/>
      <w:sz w:val="21"/>
      <w:szCs w:val="24"/>
    </w:rPr>
  </w:style>
  <w:style w:type="character" w:customStyle="1" w:styleId="455">
    <w:name w:val="普通(网站) 字符"/>
    <w:link w:val="54"/>
    <w:autoRedefine/>
    <w:qFormat/>
    <w:uiPriority w:val="99"/>
    <w:rPr>
      <w:rFonts w:ascii="宋体" w:hAnsi="宋体" w:cs="宋体"/>
      <w:sz w:val="24"/>
      <w:szCs w:val="24"/>
    </w:rPr>
  </w:style>
  <w:style w:type="character" w:customStyle="1" w:styleId="456">
    <w:name w:val="line14pj"/>
    <w:basedOn w:val="62"/>
    <w:qFormat/>
    <w:uiPriority w:val="0"/>
  </w:style>
  <w:style w:type="character" w:customStyle="1" w:styleId="457">
    <w:name w:val="正文文本 2 Char"/>
    <w:autoRedefine/>
    <w:qFormat/>
    <w:uiPriority w:val="0"/>
    <w:rPr>
      <w:rFonts w:ascii="宋体" w:hAnsi="宋体"/>
      <w:kern w:val="2"/>
      <w:sz w:val="24"/>
      <w:szCs w:val="24"/>
    </w:rPr>
  </w:style>
  <w:style w:type="character" w:customStyle="1" w:styleId="458">
    <w:name w:val="正文文本缩进 Char2"/>
    <w:autoRedefine/>
    <w:qFormat/>
    <w:uiPriority w:val="0"/>
    <w:rPr>
      <w:rFonts w:ascii="宋体"/>
      <w:color w:val="000000"/>
      <w:sz w:val="32"/>
      <w:szCs w:val="32"/>
    </w:rPr>
  </w:style>
  <w:style w:type="character" w:customStyle="1" w:styleId="459">
    <w:name w:val="3zw1"/>
    <w:autoRedefine/>
    <w:qFormat/>
    <w:uiPriority w:val="0"/>
    <w:rPr>
      <w:color w:val="000000"/>
      <w:sz w:val="21"/>
      <w:szCs w:val="21"/>
    </w:rPr>
  </w:style>
  <w:style w:type="character" w:customStyle="1" w:styleId="460">
    <w:name w:val="font101"/>
    <w:autoRedefine/>
    <w:qFormat/>
    <w:uiPriority w:val="0"/>
    <w:rPr>
      <w:rFonts w:hint="eastAsia" w:ascii="宋体" w:hAnsi="宋体" w:eastAsia="宋体"/>
      <w:color w:val="000000"/>
      <w:sz w:val="20"/>
      <w:szCs w:val="20"/>
      <w:u w:val="none"/>
    </w:rPr>
  </w:style>
  <w:style w:type="character" w:customStyle="1" w:styleId="461">
    <w:name w:val="批注框文本 Char1"/>
    <w:autoRedefine/>
    <w:qFormat/>
    <w:locked/>
    <w:uiPriority w:val="0"/>
    <w:rPr>
      <w:kern w:val="2"/>
      <w:sz w:val="18"/>
      <w:szCs w:val="18"/>
    </w:rPr>
  </w:style>
  <w:style w:type="character" w:customStyle="1" w:styleId="462">
    <w:name w:val="正文首行缩进 2 Char"/>
    <w:autoRedefine/>
    <w:qFormat/>
    <w:uiPriority w:val="0"/>
    <w:rPr>
      <w:rFonts w:ascii="仿宋_GB2312" w:eastAsia="仿宋_GB2312"/>
      <w:color w:val="000000"/>
      <w:sz w:val="24"/>
      <w:szCs w:val="24"/>
    </w:rPr>
  </w:style>
  <w:style w:type="character" w:customStyle="1" w:styleId="463">
    <w:name w:val="hang1"/>
    <w:basedOn w:val="62"/>
    <w:autoRedefine/>
    <w:qFormat/>
    <w:uiPriority w:val="0"/>
  </w:style>
  <w:style w:type="character" w:customStyle="1" w:styleId="464">
    <w:name w:val="param-name"/>
    <w:autoRedefine/>
    <w:qFormat/>
    <w:uiPriority w:val="0"/>
  </w:style>
  <w:style w:type="character" w:customStyle="1" w:styleId="465">
    <w:name w:val="font21"/>
    <w:autoRedefine/>
    <w:qFormat/>
    <w:uiPriority w:val="0"/>
    <w:rPr>
      <w:rFonts w:hint="eastAsia" w:ascii="宋体" w:hAnsi="宋体" w:eastAsia="宋体" w:cs="宋体"/>
      <w:color w:val="000000"/>
      <w:sz w:val="24"/>
      <w:szCs w:val="24"/>
      <w:u w:val="none"/>
    </w:rPr>
  </w:style>
  <w:style w:type="character" w:customStyle="1" w:styleId="466">
    <w:name w:val="正文文本 Char2"/>
    <w:autoRedefine/>
    <w:qFormat/>
    <w:uiPriority w:val="0"/>
    <w:rPr>
      <w:rFonts w:ascii="宋体"/>
      <w:color w:val="000000"/>
      <w:sz w:val="28"/>
      <w:szCs w:val="32"/>
    </w:rPr>
  </w:style>
  <w:style w:type="character" w:customStyle="1" w:styleId="467">
    <w:name w:val="段 Char"/>
    <w:link w:val="93"/>
    <w:autoRedefine/>
    <w:qFormat/>
    <w:locked/>
    <w:uiPriority w:val="0"/>
    <w:rPr>
      <w:rFonts w:ascii="宋体" w:hAnsi="宋体"/>
      <w:kern w:val="2"/>
      <w:sz w:val="21"/>
      <w:szCs w:val="22"/>
      <w:lang w:val="en-US" w:eastAsia="zh-CN" w:bidi="ar-SA"/>
    </w:rPr>
  </w:style>
  <w:style w:type="character" w:customStyle="1" w:styleId="468">
    <w:name w:val="正文首行缩进 2 Char1"/>
    <w:basedOn w:val="437"/>
    <w:autoRedefine/>
    <w:qFormat/>
    <w:uiPriority w:val="0"/>
    <w:rPr>
      <w:rFonts w:ascii="楷体_GB2312" w:hAnsi="Times New Roman" w:eastAsia="楷体_GB2312" w:cs="Times New Roman"/>
      <w:kern w:val="2"/>
      <w:sz w:val="28"/>
      <w:szCs w:val="31"/>
    </w:rPr>
  </w:style>
  <w:style w:type="character" w:customStyle="1" w:styleId="469">
    <w:name w:val="正文文本 Char1"/>
    <w:autoRedefine/>
    <w:qFormat/>
    <w:uiPriority w:val="0"/>
    <w:rPr>
      <w:rFonts w:ascii="楷体_GB2312" w:eastAsia="楷体_GB2312"/>
      <w:kern w:val="2"/>
      <w:sz w:val="28"/>
    </w:rPr>
  </w:style>
  <w:style w:type="character" w:customStyle="1" w:styleId="470">
    <w:name w:val="contentheaderrev1"/>
    <w:autoRedefine/>
    <w:qFormat/>
    <w:uiPriority w:val="0"/>
    <w:rPr>
      <w:rFonts w:hint="default" w:ascii="Arial" w:hAnsi="Arial" w:cs="Arial"/>
      <w:b/>
      <w:bCs/>
      <w:color w:val="FFFFFF"/>
      <w:sz w:val="18"/>
      <w:szCs w:val="18"/>
      <w:u w:val="none"/>
    </w:rPr>
  </w:style>
  <w:style w:type="character" w:customStyle="1" w:styleId="471">
    <w:name w:val="text_12_black1"/>
    <w:autoRedefine/>
    <w:qFormat/>
    <w:uiPriority w:val="0"/>
    <w:rPr>
      <w:rFonts w:hint="default" w:ascii="ˎ̥" w:hAnsi="ˎ̥"/>
      <w:color w:val="333333"/>
      <w:sz w:val="18"/>
      <w:szCs w:val="18"/>
      <w:u w:val="none"/>
    </w:rPr>
  </w:style>
  <w:style w:type="character" w:customStyle="1" w:styleId="472">
    <w:name w:val="font51"/>
    <w:autoRedefine/>
    <w:qFormat/>
    <w:uiPriority w:val="0"/>
    <w:rPr>
      <w:rFonts w:hint="eastAsia" w:ascii="宋体" w:hAnsi="宋体" w:eastAsia="宋体"/>
      <w:b/>
      <w:bCs/>
      <w:color w:val="000000"/>
      <w:sz w:val="18"/>
      <w:szCs w:val="18"/>
      <w:u w:val="none"/>
    </w:rPr>
  </w:style>
  <w:style w:type="character" w:customStyle="1" w:styleId="473">
    <w:name w:val="副标题 Char1"/>
    <w:autoRedefine/>
    <w:qFormat/>
    <w:uiPriority w:val="11"/>
    <w:rPr>
      <w:rFonts w:ascii="Cambria" w:hAnsi="Cambria" w:cs="Times New Roman"/>
      <w:b/>
      <w:bCs/>
      <w:kern w:val="28"/>
      <w:sz w:val="32"/>
      <w:szCs w:val="32"/>
    </w:rPr>
  </w:style>
  <w:style w:type="character" w:customStyle="1" w:styleId="474">
    <w:name w:val="unnamed11"/>
    <w:autoRedefine/>
    <w:qFormat/>
    <w:uiPriority w:val="0"/>
    <w:rPr>
      <w:sz w:val="20"/>
      <w:szCs w:val="20"/>
    </w:rPr>
  </w:style>
  <w:style w:type="character" w:customStyle="1" w:styleId="475">
    <w:name w:val="ca-131"/>
    <w:autoRedefine/>
    <w:qFormat/>
    <w:uiPriority w:val="0"/>
    <w:rPr>
      <w:rFonts w:hint="default" w:ascii="Times New Roman" w:hAnsi="Times New Roman" w:cs="Times New Roman"/>
      <w:sz w:val="21"/>
      <w:szCs w:val="21"/>
    </w:rPr>
  </w:style>
  <w:style w:type="character" w:customStyle="1" w:styleId="476">
    <w:name w:val="正文文本 3 Char"/>
    <w:autoRedefine/>
    <w:qFormat/>
    <w:uiPriority w:val="0"/>
    <w:rPr>
      <w:sz w:val="16"/>
      <w:szCs w:val="16"/>
    </w:rPr>
  </w:style>
  <w:style w:type="character" w:customStyle="1" w:styleId="477">
    <w:name w:val="z71"/>
    <w:autoRedefine/>
    <w:qFormat/>
    <w:uiPriority w:val="0"/>
    <w:rPr>
      <w:spacing w:val="300"/>
      <w:sz w:val="18"/>
      <w:szCs w:val="18"/>
    </w:rPr>
  </w:style>
  <w:style w:type="character" w:customStyle="1" w:styleId="478">
    <w:name w:val="副标题 Char"/>
    <w:autoRedefine/>
    <w:qFormat/>
    <w:uiPriority w:val="0"/>
    <w:rPr>
      <w:rFonts w:ascii="Cambria" w:hAnsi="Cambria"/>
      <w:b/>
      <w:bCs/>
      <w:kern w:val="28"/>
      <w:sz w:val="32"/>
      <w:szCs w:val="32"/>
    </w:rPr>
  </w:style>
  <w:style w:type="character" w:customStyle="1" w:styleId="479">
    <w:name w:val="ca-231"/>
    <w:autoRedefine/>
    <w:qFormat/>
    <w:uiPriority w:val="0"/>
    <w:rPr>
      <w:rFonts w:hint="eastAsia" w:ascii="宋体" w:hAnsi="宋体" w:eastAsia="宋体"/>
      <w:sz w:val="24"/>
      <w:szCs w:val="24"/>
    </w:rPr>
  </w:style>
  <w:style w:type="character" w:customStyle="1" w:styleId="480">
    <w:name w:val="ca-251"/>
    <w:autoRedefine/>
    <w:qFormat/>
    <w:uiPriority w:val="0"/>
    <w:rPr>
      <w:rFonts w:hint="default" w:ascii="Times New Roman" w:hAnsi="Times New Roman" w:cs="Times New Roman"/>
      <w:sz w:val="24"/>
      <w:szCs w:val="24"/>
    </w:rPr>
  </w:style>
  <w:style w:type="character" w:customStyle="1" w:styleId="481">
    <w:name w:val="正文文本 3 Char1"/>
    <w:autoRedefine/>
    <w:qFormat/>
    <w:uiPriority w:val="0"/>
    <w:rPr>
      <w:kern w:val="2"/>
      <w:sz w:val="16"/>
      <w:szCs w:val="16"/>
    </w:rPr>
  </w:style>
  <w:style w:type="character" w:customStyle="1" w:styleId="482">
    <w:name w:val="标题 3 Char1"/>
    <w:autoRedefine/>
    <w:qFormat/>
    <w:uiPriority w:val="0"/>
    <w:rPr>
      <w:b/>
      <w:bCs/>
      <w:kern w:val="2"/>
      <w:sz w:val="32"/>
      <w:szCs w:val="32"/>
    </w:rPr>
  </w:style>
  <w:style w:type="character" w:customStyle="1" w:styleId="483">
    <w:name w:val="本级3 Char"/>
    <w:link w:val="94"/>
    <w:autoRedefine/>
    <w:qFormat/>
    <w:uiPriority w:val="0"/>
    <w:rPr>
      <w:rFonts w:ascii="仿宋_GB2312" w:hAnsi="仿宋" w:eastAsia="仿宋_GB2312"/>
      <w:b/>
      <w:bCs/>
      <w:kern w:val="2"/>
      <w:sz w:val="32"/>
      <w:szCs w:val="24"/>
    </w:rPr>
  </w:style>
  <w:style w:type="character" w:customStyle="1" w:styleId="484">
    <w:name w:val="正文文本缩进 3 Char"/>
    <w:autoRedefine/>
    <w:qFormat/>
    <w:locked/>
    <w:uiPriority w:val="0"/>
    <w:rPr>
      <w:rFonts w:ascii="幼圆" w:eastAsia="幼圆"/>
      <w:kern w:val="2"/>
      <w:sz w:val="24"/>
      <w:szCs w:val="32"/>
    </w:rPr>
  </w:style>
  <w:style w:type="character" w:customStyle="1" w:styleId="485">
    <w:name w:val="首行缩进 Char Char1"/>
    <w:link w:val="95"/>
    <w:autoRedefine/>
    <w:qFormat/>
    <w:locked/>
    <w:uiPriority w:val="0"/>
    <w:rPr>
      <w:sz w:val="24"/>
      <w:szCs w:val="24"/>
    </w:rPr>
  </w:style>
  <w:style w:type="character" w:customStyle="1" w:styleId="486">
    <w:name w:val="text_12_subject1"/>
    <w:autoRedefine/>
    <w:qFormat/>
    <w:uiPriority w:val="0"/>
    <w:rPr>
      <w:rFonts w:hint="default" w:ascii="ˎ̥" w:hAnsi="ˎ̥"/>
      <w:b/>
      <w:bCs/>
      <w:color w:val="006699"/>
      <w:sz w:val="18"/>
      <w:szCs w:val="18"/>
      <w:u w:val="none"/>
    </w:rPr>
  </w:style>
  <w:style w:type="character" w:customStyle="1" w:styleId="487">
    <w:name w:val="标题 Char1"/>
    <w:autoRedefine/>
    <w:qFormat/>
    <w:uiPriority w:val="10"/>
    <w:rPr>
      <w:rFonts w:ascii="Cambria" w:hAnsi="Cambria" w:cs="Times New Roman"/>
      <w:b/>
      <w:bCs/>
      <w:kern w:val="2"/>
      <w:sz w:val="32"/>
      <w:szCs w:val="32"/>
    </w:rPr>
  </w:style>
  <w:style w:type="character" w:customStyle="1" w:styleId="488">
    <w:name w:val="常规 Char"/>
    <w:link w:val="96"/>
    <w:autoRedefine/>
    <w:qFormat/>
    <w:uiPriority w:val="0"/>
    <w:rPr>
      <w:rFonts w:ascii="Tahoma" w:hAnsi="Tahoma"/>
      <w:color w:val="000000"/>
      <w:kern w:val="2"/>
      <w:sz w:val="28"/>
      <w:szCs w:val="21"/>
    </w:rPr>
  </w:style>
  <w:style w:type="character" w:customStyle="1" w:styleId="489">
    <w:name w:val="文档结构图 Char"/>
    <w:autoRedefine/>
    <w:qFormat/>
    <w:uiPriority w:val="0"/>
    <w:rPr>
      <w:kern w:val="2"/>
      <w:sz w:val="21"/>
      <w:szCs w:val="24"/>
      <w:shd w:val="clear" w:color="auto" w:fill="000080"/>
    </w:rPr>
  </w:style>
  <w:style w:type="character" w:customStyle="1" w:styleId="490">
    <w:name w:val="正文新 Char"/>
    <w:link w:val="97"/>
    <w:autoRedefine/>
    <w:qFormat/>
    <w:uiPriority w:val="0"/>
    <w:rPr>
      <w:rFonts w:ascii="宋体" w:hAnsi="宋体"/>
      <w:sz w:val="28"/>
    </w:rPr>
  </w:style>
  <w:style w:type="character" w:customStyle="1" w:styleId="491">
    <w:name w:val="font41"/>
    <w:autoRedefine/>
    <w:qFormat/>
    <w:uiPriority w:val="0"/>
    <w:rPr>
      <w:rFonts w:hint="eastAsia" w:ascii="宋体" w:hAnsi="宋体" w:eastAsia="宋体"/>
      <w:b/>
      <w:bCs/>
      <w:color w:val="000000"/>
      <w:sz w:val="20"/>
      <w:szCs w:val="20"/>
      <w:u w:val="none"/>
    </w:rPr>
  </w:style>
  <w:style w:type="character" w:customStyle="1" w:styleId="492">
    <w:name w:val="myp1111"/>
    <w:autoRedefine/>
    <w:qFormat/>
    <w:uiPriority w:val="0"/>
    <w:rPr>
      <w:rFonts w:hint="default" w:ascii="ˎ̥" w:hAnsi="ˎ̥"/>
      <w:color w:val="000000"/>
      <w:sz w:val="15"/>
      <w:szCs w:val="15"/>
      <w:u w:val="none"/>
    </w:rPr>
  </w:style>
  <w:style w:type="character" w:customStyle="1" w:styleId="493">
    <w:name w:val="尾注文本 Char1"/>
    <w:autoRedefine/>
    <w:qFormat/>
    <w:uiPriority w:val="99"/>
    <w:rPr>
      <w:kern w:val="2"/>
      <w:sz w:val="21"/>
      <w:szCs w:val="24"/>
    </w:rPr>
  </w:style>
  <w:style w:type="character" w:customStyle="1" w:styleId="494">
    <w:name w:val="尾注文本 Char"/>
    <w:basedOn w:val="62"/>
    <w:autoRedefine/>
    <w:qFormat/>
    <w:uiPriority w:val="0"/>
  </w:style>
  <w:style w:type="character" w:customStyle="1" w:styleId="495">
    <w:name w:val="font01"/>
    <w:autoRedefine/>
    <w:qFormat/>
    <w:uiPriority w:val="0"/>
    <w:rPr>
      <w:rFonts w:hint="eastAsia" w:ascii="宋体" w:hAnsi="宋体" w:eastAsia="宋体" w:cs="宋体"/>
      <w:color w:val="000000"/>
      <w:sz w:val="24"/>
      <w:szCs w:val="24"/>
      <w:u w:val="none"/>
      <w:vertAlign w:val="superscript"/>
    </w:rPr>
  </w:style>
  <w:style w:type="character" w:customStyle="1" w:styleId="496">
    <w:name w:val="font61"/>
    <w:autoRedefine/>
    <w:qFormat/>
    <w:uiPriority w:val="0"/>
    <w:rPr>
      <w:rFonts w:hint="eastAsia" w:ascii="宋体" w:hAnsi="宋体" w:eastAsia="宋体"/>
      <w:b/>
      <w:bCs/>
      <w:color w:val="000000"/>
      <w:sz w:val="20"/>
      <w:szCs w:val="20"/>
      <w:u w:val="none"/>
    </w:rPr>
  </w:style>
  <w:style w:type="character" w:customStyle="1" w:styleId="497">
    <w:name w:val="正文缩进2格 Char"/>
    <w:link w:val="98"/>
    <w:autoRedefine/>
    <w:qFormat/>
    <w:uiPriority w:val="0"/>
    <w:rPr>
      <w:rFonts w:ascii="仿宋_GB2312" w:hAnsi="宋体" w:eastAsia="仿宋_GB2312"/>
      <w:kern w:val="2"/>
      <w:sz w:val="31"/>
    </w:rPr>
  </w:style>
  <w:style w:type="character" w:customStyle="1" w:styleId="498">
    <w:name w:val="word21"/>
    <w:autoRedefine/>
    <w:qFormat/>
    <w:uiPriority w:val="0"/>
    <w:rPr>
      <w:b/>
      <w:bCs/>
      <w:color w:val="194D7C"/>
      <w:spacing w:val="400"/>
      <w:sz w:val="24"/>
      <w:szCs w:val="24"/>
    </w:rPr>
  </w:style>
  <w:style w:type="character" w:customStyle="1" w:styleId="499">
    <w:name w:val="content021"/>
    <w:autoRedefine/>
    <w:qFormat/>
    <w:uiPriority w:val="0"/>
    <w:rPr>
      <w:color w:val="444444"/>
      <w:spacing w:val="330"/>
      <w:sz w:val="21"/>
      <w:szCs w:val="21"/>
      <w:u w:val="none"/>
    </w:rPr>
  </w:style>
  <w:style w:type="character" w:customStyle="1" w:styleId="500">
    <w:name w:val="Char Char5"/>
    <w:autoRedefine/>
    <w:qFormat/>
    <w:uiPriority w:val="0"/>
    <w:rPr>
      <w:rFonts w:ascii="Times New Roman" w:hAnsi="Times New Roman" w:eastAsia="宋体"/>
      <w:sz w:val="18"/>
    </w:rPr>
  </w:style>
  <w:style w:type="character" w:customStyle="1" w:styleId="501">
    <w:name w:val="正文首行缩进 Char"/>
    <w:autoRedefine/>
    <w:qFormat/>
    <w:uiPriority w:val="0"/>
    <w:rPr>
      <w:rFonts w:ascii="宋体"/>
      <w:color w:val="000000"/>
      <w:kern w:val="2"/>
      <w:sz w:val="21"/>
      <w:szCs w:val="32"/>
    </w:rPr>
  </w:style>
  <w:style w:type="character" w:customStyle="1" w:styleId="502">
    <w:name w:val="hei12"/>
    <w:basedOn w:val="62"/>
    <w:autoRedefine/>
    <w:qFormat/>
    <w:uiPriority w:val="0"/>
  </w:style>
  <w:style w:type="character" w:customStyle="1" w:styleId="503">
    <w:name w:val="ca-121"/>
    <w:autoRedefine/>
    <w:qFormat/>
    <w:uiPriority w:val="0"/>
    <w:rPr>
      <w:rFonts w:hint="eastAsia" w:ascii="宋体" w:hAnsi="宋体" w:eastAsia="宋体"/>
      <w:sz w:val="21"/>
      <w:szCs w:val="21"/>
    </w:rPr>
  </w:style>
  <w:style w:type="character" w:customStyle="1" w:styleId="504">
    <w:name w:val="font31"/>
    <w:autoRedefine/>
    <w:qFormat/>
    <w:uiPriority w:val="0"/>
    <w:rPr>
      <w:rFonts w:hint="eastAsia" w:ascii="宋体" w:hAnsi="宋体" w:eastAsia="宋体"/>
      <w:color w:val="000000"/>
      <w:sz w:val="18"/>
      <w:szCs w:val="18"/>
      <w:u w:val="none"/>
    </w:rPr>
  </w:style>
  <w:style w:type="character" w:customStyle="1" w:styleId="505">
    <w:name w:val="z21"/>
    <w:autoRedefine/>
    <w:qFormat/>
    <w:uiPriority w:val="0"/>
    <w:rPr>
      <w:color w:val="000000"/>
      <w:spacing w:val="255"/>
      <w:sz w:val="18"/>
      <w:szCs w:val="18"/>
    </w:rPr>
  </w:style>
  <w:style w:type="character" w:customStyle="1" w:styleId="506">
    <w:name w:val="标题 Char"/>
    <w:autoRedefine/>
    <w:qFormat/>
    <w:uiPriority w:val="99"/>
    <w:rPr>
      <w:rFonts w:ascii="Arial" w:hAnsi="Arial"/>
      <w:b/>
      <w:bCs/>
      <w:sz w:val="32"/>
      <w:szCs w:val="32"/>
    </w:rPr>
  </w:style>
  <w:style w:type="character" w:customStyle="1" w:styleId="507">
    <w:name w:val="样式 目录 2 + 宋体 Char"/>
    <w:link w:val="99"/>
    <w:autoRedefine/>
    <w:qFormat/>
    <w:uiPriority w:val="0"/>
    <w:rPr>
      <w:rFonts w:ascii="宋体" w:hAnsi="宋体"/>
      <w:sz w:val="28"/>
    </w:rPr>
  </w:style>
  <w:style w:type="character" w:customStyle="1" w:styleId="508">
    <w:name w:val="abcde1"/>
    <w:autoRedefine/>
    <w:qFormat/>
    <w:uiPriority w:val="0"/>
    <w:rPr>
      <w:spacing w:val="400"/>
      <w:sz w:val="26"/>
      <w:szCs w:val="26"/>
    </w:rPr>
  </w:style>
  <w:style w:type="character" w:customStyle="1" w:styleId="509">
    <w:name w:val="标题 字符"/>
    <w:basedOn w:val="62"/>
    <w:link w:val="56"/>
    <w:autoRedefine/>
    <w:qFormat/>
    <w:uiPriority w:val="10"/>
    <w:rPr>
      <w:rFonts w:ascii="Cambria" w:hAnsi="Cambria" w:cs="Times New Roman"/>
      <w:b/>
      <w:bCs/>
      <w:kern w:val="2"/>
      <w:sz w:val="32"/>
      <w:szCs w:val="32"/>
    </w:rPr>
  </w:style>
  <w:style w:type="character" w:customStyle="1" w:styleId="510">
    <w:name w:val="正文首行缩进 2 字符"/>
    <w:basedOn w:val="453"/>
    <w:link w:val="2"/>
    <w:autoRedefine/>
    <w:semiHidden/>
    <w:qFormat/>
    <w:uiPriority w:val="0"/>
    <w:rPr>
      <w:kern w:val="2"/>
      <w:sz w:val="21"/>
      <w:szCs w:val="24"/>
    </w:rPr>
  </w:style>
  <w:style w:type="character" w:customStyle="1" w:styleId="511">
    <w:name w:val="正文首行缩进 字符"/>
    <w:basedOn w:val="435"/>
    <w:link w:val="58"/>
    <w:autoRedefine/>
    <w:semiHidden/>
    <w:qFormat/>
    <w:uiPriority w:val="0"/>
    <w:rPr>
      <w:rFonts w:ascii="Times New Roman" w:hAnsi="Times New Roman" w:eastAsia="宋体" w:cs="Times New Roman"/>
      <w:kern w:val="2"/>
      <w:sz w:val="21"/>
      <w:szCs w:val="24"/>
    </w:rPr>
  </w:style>
  <w:style w:type="character" w:customStyle="1" w:styleId="512">
    <w:name w:val="正文文本 2 字符"/>
    <w:basedOn w:val="62"/>
    <w:link w:val="51"/>
    <w:autoRedefine/>
    <w:semiHidden/>
    <w:qFormat/>
    <w:uiPriority w:val="0"/>
    <w:rPr>
      <w:kern w:val="2"/>
      <w:sz w:val="21"/>
      <w:szCs w:val="24"/>
    </w:rPr>
  </w:style>
  <w:style w:type="character" w:customStyle="1" w:styleId="513">
    <w:name w:val="副标题 字符"/>
    <w:basedOn w:val="62"/>
    <w:link w:val="44"/>
    <w:autoRedefine/>
    <w:qFormat/>
    <w:uiPriority w:val="11"/>
    <w:rPr>
      <w:rFonts w:ascii="Cambria" w:hAnsi="Cambria" w:cs="Times New Roman"/>
      <w:b/>
      <w:bCs/>
      <w:kern w:val="28"/>
      <w:sz w:val="32"/>
      <w:szCs w:val="32"/>
    </w:rPr>
  </w:style>
  <w:style w:type="character" w:customStyle="1" w:styleId="514">
    <w:name w:val="尾注文本 字符"/>
    <w:basedOn w:val="62"/>
    <w:link w:val="38"/>
    <w:autoRedefine/>
    <w:semiHidden/>
    <w:qFormat/>
    <w:uiPriority w:val="0"/>
    <w:rPr>
      <w:kern w:val="2"/>
      <w:sz w:val="21"/>
      <w:szCs w:val="24"/>
    </w:rPr>
  </w:style>
  <w:style w:type="character" w:customStyle="1" w:styleId="515">
    <w:name w:val="正文文本缩进 3 字符"/>
    <w:basedOn w:val="62"/>
    <w:link w:val="47"/>
    <w:autoRedefine/>
    <w:semiHidden/>
    <w:qFormat/>
    <w:uiPriority w:val="0"/>
    <w:rPr>
      <w:kern w:val="2"/>
      <w:sz w:val="16"/>
      <w:szCs w:val="16"/>
    </w:rPr>
  </w:style>
  <w:style w:type="character" w:customStyle="1" w:styleId="516">
    <w:name w:val="文档结构图 字符"/>
    <w:basedOn w:val="62"/>
    <w:link w:val="23"/>
    <w:autoRedefine/>
    <w:semiHidden/>
    <w:qFormat/>
    <w:uiPriority w:val="0"/>
    <w:rPr>
      <w:rFonts w:ascii="宋体"/>
      <w:kern w:val="2"/>
      <w:sz w:val="18"/>
      <w:szCs w:val="18"/>
    </w:rPr>
  </w:style>
  <w:style w:type="character" w:customStyle="1" w:styleId="517">
    <w:name w:val="正文文本 3 字符"/>
    <w:basedOn w:val="62"/>
    <w:link w:val="26"/>
    <w:autoRedefine/>
    <w:semiHidden/>
    <w:qFormat/>
    <w:uiPriority w:val="0"/>
    <w:rPr>
      <w:kern w:val="2"/>
      <w:sz w:val="16"/>
      <w:szCs w:val="16"/>
    </w:rPr>
  </w:style>
  <w:style w:type="character" w:customStyle="1" w:styleId="518">
    <w:name w:val="正文3号仿宋 Char"/>
    <w:link w:val="415"/>
    <w:autoRedefine/>
    <w:qFormat/>
    <w:uiPriority w:val="0"/>
    <w:rPr>
      <w:rFonts w:ascii="宋体" w:hAnsi="宋体"/>
      <w:sz w:val="24"/>
      <w:szCs w:val="24"/>
    </w:rPr>
  </w:style>
  <w:style w:type="character" w:customStyle="1" w:styleId="519">
    <w:name w:val="段落小标题 Char"/>
    <w:link w:val="416"/>
    <w:autoRedefine/>
    <w:qFormat/>
    <w:uiPriority w:val="0"/>
    <w:rPr>
      <w:rFonts w:ascii="仿宋" w:hAnsi="仿宋" w:eastAsia="仿宋"/>
      <w:b/>
      <w:sz w:val="32"/>
      <w:szCs w:val="32"/>
    </w:rPr>
  </w:style>
  <w:style w:type="character" w:customStyle="1" w:styleId="520">
    <w:name w:val="正文（缩进） Char"/>
    <w:link w:val="417"/>
    <w:autoRedefine/>
    <w:qFormat/>
    <w:uiPriority w:val="0"/>
    <w:rPr>
      <w:rFonts w:ascii="宋体" w:hAnsi="宋体" w:cs="宋体"/>
      <w:sz w:val="24"/>
      <w:szCs w:val="24"/>
    </w:rPr>
  </w:style>
  <w:style w:type="character" w:customStyle="1" w:styleId="521">
    <w:name w:val="font81"/>
    <w:basedOn w:val="62"/>
    <w:autoRedefine/>
    <w:qFormat/>
    <w:uiPriority w:val="0"/>
    <w:rPr>
      <w:rFonts w:hint="default" w:ascii="楷体" w:hAnsi="楷体" w:eastAsia="楷体" w:cs="楷体"/>
      <w:color w:val="000000"/>
      <w:sz w:val="20"/>
      <w:szCs w:val="20"/>
      <w:u w:val="none"/>
      <w:vertAlign w:val="subscript"/>
    </w:rPr>
  </w:style>
  <w:style w:type="character" w:customStyle="1" w:styleId="522">
    <w:name w:val="font111"/>
    <w:basedOn w:val="62"/>
    <w:autoRedefine/>
    <w:qFormat/>
    <w:uiPriority w:val="0"/>
    <w:rPr>
      <w:rFonts w:hint="default" w:ascii="楷体" w:hAnsi="楷体" w:eastAsia="楷体" w:cs="楷体"/>
      <w:color w:val="000000"/>
      <w:sz w:val="20"/>
      <w:szCs w:val="20"/>
      <w:u w:val="none"/>
    </w:rPr>
  </w:style>
  <w:style w:type="character" w:customStyle="1" w:styleId="523">
    <w:name w:val="font91"/>
    <w:basedOn w:val="62"/>
    <w:autoRedefine/>
    <w:qFormat/>
    <w:uiPriority w:val="0"/>
    <w:rPr>
      <w:rFonts w:hint="eastAsia" w:ascii="宋体" w:hAnsi="宋体" w:eastAsia="宋体" w:cs="宋体"/>
      <w:color w:val="000000"/>
      <w:sz w:val="20"/>
      <w:szCs w:val="20"/>
      <w:u w:val="none"/>
    </w:rPr>
  </w:style>
  <w:style w:type="character" w:customStyle="1" w:styleId="524">
    <w:name w:val="font71"/>
    <w:basedOn w:val="62"/>
    <w:autoRedefine/>
    <w:qFormat/>
    <w:uiPriority w:val="0"/>
    <w:rPr>
      <w:rFonts w:hint="default" w:ascii="楷体" w:hAnsi="楷体" w:eastAsia="楷体" w:cs="楷体"/>
      <w:color w:val="000000"/>
      <w:sz w:val="20"/>
      <w:szCs w:val="20"/>
      <w:u w:val="none"/>
    </w:rPr>
  </w:style>
  <w:style w:type="character" w:customStyle="1" w:styleId="525">
    <w:name w:val="font131"/>
    <w:basedOn w:val="62"/>
    <w:autoRedefine/>
    <w:qFormat/>
    <w:uiPriority w:val="0"/>
    <w:rPr>
      <w:rFonts w:hint="default" w:ascii="楷体" w:hAnsi="楷体" w:eastAsia="楷体" w:cs="楷体"/>
      <w:color w:val="000000"/>
      <w:sz w:val="20"/>
      <w:szCs w:val="20"/>
      <w:u w:val="none"/>
    </w:rPr>
  </w:style>
  <w:style w:type="character" w:customStyle="1" w:styleId="526">
    <w:name w:val="font121"/>
    <w:basedOn w:val="62"/>
    <w:autoRedefine/>
    <w:qFormat/>
    <w:uiPriority w:val="0"/>
    <w:rPr>
      <w:rFonts w:hint="default" w:ascii="楷体" w:hAnsi="楷体" w:eastAsia="楷体" w:cs="楷体"/>
      <w:color w:val="000000"/>
      <w:sz w:val="18"/>
      <w:szCs w:val="18"/>
      <w:u w:val="none"/>
    </w:rPr>
  </w:style>
  <w:style w:type="character" w:customStyle="1" w:styleId="527">
    <w:name w:val="font141"/>
    <w:basedOn w:val="62"/>
    <w:autoRedefine/>
    <w:qFormat/>
    <w:uiPriority w:val="0"/>
    <w:rPr>
      <w:rFonts w:hint="default" w:ascii="楷体" w:hAnsi="楷体" w:eastAsia="楷体" w:cs="楷体"/>
      <w:color w:val="000000"/>
      <w:sz w:val="18"/>
      <w:szCs w:val="18"/>
      <w:u w:val="none"/>
    </w:rPr>
  </w:style>
  <w:style w:type="character" w:customStyle="1" w:styleId="528">
    <w:name w:val="font151"/>
    <w:basedOn w:val="62"/>
    <w:autoRedefine/>
    <w:qFormat/>
    <w:uiPriority w:val="0"/>
    <w:rPr>
      <w:rFonts w:hint="eastAsia" w:ascii="宋体" w:hAnsi="宋体" w:eastAsia="宋体" w:cs="宋体"/>
      <w:color w:val="000000"/>
      <w:sz w:val="20"/>
      <w:szCs w:val="20"/>
      <w:u w:val="none"/>
    </w:rPr>
  </w:style>
  <w:style w:type="paragraph" w:customStyle="1" w:styleId="529">
    <w:name w:val="Body text|1"/>
    <w:basedOn w:val="1"/>
    <w:autoRedefine/>
    <w:qFormat/>
    <w:uiPriority w:val="0"/>
    <w:pPr>
      <w:spacing w:line="42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4100"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43</Pages>
  <Words>21462</Words>
  <Characters>22831</Characters>
  <Lines>188</Lines>
  <Paragraphs>53</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2018-01-31T02:45:00Z</dcterms:created>
  <dc:creator>微软用户</dc:creator>
  <cp:lastModifiedBy>Mr.先森</cp:lastModifiedBy>
  <cp:lastPrinted>2024-01-03T02:52:00Z</cp:lastPrinted>
  <dcterms:modified xsi:type="dcterms:W3CDTF">2024-01-11T08:32:23Z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46ADABF5F7944D1EAEAA3E103328ABDD</vt:lpwstr>
  </property>
</Properties>
</file>