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2018年度原克拉玛依市独山子区地方税务局部门决算公开说明</w:t>
      </w:r>
    </w:p>
    <w:p>
      <w:pPr>
        <w:spacing w:line="580" w:lineRule="exact"/>
        <w:ind w:firstLine="640" w:firstLineChars="200"/>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（二）预算绩效情况的说明</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原克拉玛依市独山子区地方税务局为原克拉玛依市地方税务局的下属单位，负责本地区地方税收管理工作。主要职责是：</w:t>
      </w:r>
    </w:p>
    <w:p>
      <w:pPr>
        <w:spacing w:line="580" w:lineRule="exact"/>
        <w:ind w:firstLine="707" w:firstLineChars="221"/>
        <w:rPr>
          <w:rFonts w:ascii="仿宋_GB2312" w:eastAsia="仿宋_GB2312"/>
          <w:sz w:val="32"/>
          <w:szCs w:val="32"/>
        </w:rPr>
      </w:pPr>
      <w:r>
        <w:rPr>
          <w:rFonts w:hint="eastAsia" w:ascii="仿宋_GB2312" w:eastAsia="仿宋_GB2312"/>
          <w:sz w:val="32"/>
          <w:szCs w:val="32"/>
        </w:rPr>
        <w:t xml:space="preserve">（一）贯彻执行国家和自治区的税收法律法规、规章及规范性文件，并结合本地区实际，研究制定具体的实施办法；              </w:t>
      </w:r>
    </w:p>
    <w:p>
      <w:pPr>
        <w:spacing w:line="580" w:lineRule="exact"/>
        <w:ind w:firstLine="707" w:firstLineChars="221"/>
        <w:rPr>
          <w:rFonts w:ascii="仿宋_GB2312" w:eastAsia="仿宋_GB2312"/>
          <w:sz w:val="32"/>
          <w:szCs w:val="32"/>
        </w:rPr>
      </w:pPr>
      <w:r>
        <w:rPr>
          <w:rFonts w:hint="eastAsia" w:ascii="仿宋_GB2312" w:eastAsia="仿宋_GB2312"/>
          <w:sz w:val="32"/>
          <w:szCs w:val="32"/>
        </w:rPr>
        <w:t>（二）负责组织由地方税务部门征收管理的税收；</w:t>
      </w:r>
    </w:p>
    <w:p>
      <w:pPr>
        <w:spacing w:line="580" w:lineRule="exact"/>
        <w:ind w:firstLine="707" w:firstLineChars="221"/>
        <w:rPr>
          <w:rFonts w:ascii="仿宋_GB2312" w:eastAsia="仿宋_GB2312"/>
          <w:sz w:val="32"/>
          <w:szCs w:val="32"/>
        </w:rPr>
      </w:pPr>
      <w:r>
        <w:rPr>
          <w:rFonts w:hint="eastAsia" w:ascii="仿宋_GB2312" w:eastAsia="仿宋_GB2312"/>
          <w:sz w:val="32"/>
          <w:szCs w:val="32"/>
        </w:rPr>
        <w:t>（三）监督检查本地区地方税收政策的执行情况及征管工作；</w:t>
      </w:r>
    </w:p>
    <w:p>
      <w:pPr>
        <w:spacing w:line="580" w:lineRule="exact"/>
        <w:ind w:firstLine="707" w:firstLineChars="221"/>
        <w:rPr>
          <w:rFonts w:ascii="仿宋_GB2312" w:eastAsia="仿宋_GB2312"/>
          <w:sz w:val="32"/>
          <w:szCs w:val="32"/>
        </w:rPr>
      </w:pPr>
      <w:r>
        <w:rPr>
          <w:rFonts w:hint="eastAsia" w:ascii="仿宋_GB2312" w:eastAsia="仿宋_GB2312"/>
          <w:sz w:val="32"/>
          <w:szCs w:val="32"/>
        </w:rPr>
        <w:t>（四）负责地方教育附加及工会经费的征收工作；</w:t>
      </w:r>
    </w:p>
    <w:p>
      <w:pPr>
        <w:spacing w:line="580" w:lineRule="exact"/>
        <w:ind w:left="701" w:leftChars="334"/>
        <w:rPr>
          <w:rFonts w:ascii="仿宋_GB2312" w:eastAsia="仿宋_GB2312"/>
          <w:sz w:val="32"/>
          <w:szCs w:val="32"/>
        </w:rPr>
      </w:pPr>
      <w:r>
        <w:rPr>
          <w:rFonts w:hint="eastAsia" w:ascii="仿宋_GB2312" w:eastAsia="仿宋_GB2312"/>
          <w:sz w:val="32"/>
          <w:szCs w:val="32"/>
        </w:rPr>
        <w:t>（五）按照地方税收管理权限，办理有关减免税事宜；（六）管理地方税收的计划、统计和会计工作；</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（七）负责地方税务部门的思想政治工作、精神文明建设和基层建设；负责干部的教育培训工作；</w:t>
      </w:r>
    </w:p>
    <w:p>
      <w:pPr>
        <w:spacing w:line="580" w:lineRule="exact"/>
        <w:ind w:left="701" w:leftChars="334"/>
        <w:rPr>
          <w:rFonts w:ascii="仿宋_GB2312" w:eastAsia="仿宋_GB2312"/>
          <w:sz w:val="32"/>
          <w:szCs w:val="32"/>
        </w:rPr>
      </w:pPr>
      <w:r>
        <w:rPr>
          <w:rFonts w:hint="eastAsia" w:ascii="仿宋_GB2312" w:eastAsia="仿宋_GB2312"/>
          <w:sz w:val="32"/>
          <w:szCs w:val="32"/>
        </w:rPr>
        <w:t>（八）负责地方税务部门纪检、监察工作；</w:t>
      </w:r>
    </w:p>
    <w:p>
      <w:pPr>
        <w:spacing w:line="580" w:lineRule="exact"/>
        <w:ind w:left="701" w:leftChars="334"/>
        <w:rPr>
          <w:rFonts w:ascii="仿宋_GB2312" w:eastAsia="仿宋_GB2312"/>
          <w:sz w:val="32"/>
          <w:szCs w:val="32"/>
        </w:rPr>
      </w:pPr>
      <w:r>
        <w:rPr>
          <w:rFonts w:hint="eastAsia" w:ascii="仿宋_GB2312" w:eastAsia="仿宋_GB2312"/>
          <w:sz w:val="32"/>
          <w:szCs w:val="32"/>
        </w:rPr>
        <w:t>（九）负责地方税务部门的信息化建设和管理工作；</w:t>
      </w:r>
    </w:p>
    <w:p>
      <w:pPr>
        <w:spacing w:line="580" w:lineRule="exact"/>
        <w:ind w:left="141" w:leftChars="67" w:firstLine="556" w:firstLineChars="174"/>
        <w:rPr>
          <w:rFonts w:ascii="仿宋_GB2312" w:eastAsia="仿宋_GB2312"/>
          <w:sz w:val="32"/>
          <w:szCs w:val="32"/>
        </w:rPr>
      </w:pPr>
      <w:r>
        <w:rPr>
          <w:rFonts w:hint="eastAsia" w:ascii="仿宋_GB2312" w:eastAsia="仿宋_GB2312"/>
          <w:sz w:val="32"/>
          <w:szCs w:val="32"/>
        </w:rPr>
        <w:t>（十）负责分析税收信息，掌握税收动态，组织税法宣传工作；</w:t>
      </w:r>
    </w:p>
    <w:p>
      <w:pPr>
        <w:spacing w:line="580" w:lineRule="exact"/>
        <w:ind w:left="141" w:leftChars="67" w:firstLine="566" w:firstLineChars="177"/>
        <w:rPr>
          <w:rFonts w:ascii="仿宋_GB2312" w:eastAsia="仿宋_GB2312"/>
          <w:sz w:val="32"/>
          <w:szCs w:val="32"/>
        </w:rPr>
      </w:pPr>
      <w:r>
        <w:rPr>
          <w:rFonts w:hint="eastAsia" w:ascii="仿宋_GB2312" w:eastAsia="仿宋_GB2312"/>
          <w:sz w:val="32"/>
          <w:szCs w:val="32"/>
        </w:rPr>
        <w:t>（十一）承担克拉玛依市地方税务局和独山子区人民政府交办的其他工作。</w:t>
      </w:r>
      <w:r>
        <w:rPr>
          <w:rFonts w:hint="eastAsia" w:ascii="仿宋_GB2312" w:hAnsi="宋体" w:eastAsia="仿宋_GB2312" w:cs="宋体"/>
          <w:bCs/>
          <w:kern w:val="0"/>
          <w:sz w:val="32"/>
          <w:szCs w:val="32"/>
        </w:rPr>
        <w:t xml:space="preserve"> </w:t>
      </w:r>
      <w:r>
        <w:rPr>
          <w:rFonts w:hint="eastAsia" w:ascii="仿宋_GB2312" w:eastAsia="仿宋_GB2312"/>
          <w:sz w:val="32"/>
          <w:szCs w:val="32"/>
        </w:rPr>
        <w:t xml:space="preserve">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从决算单位构成看，克拉玛依市独山子区地方税务局部门决算包括：克拉玛依市独山子区地方税务局部门本级决算、所属单位决算等。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纳入克拉玛依市独山子区地方税务局2018年部门决算编制范围的单位名单见下表</w:t>
      </w:r>
      <w:r>
        <w:rPr>
          <w:rFonts w:hint="eastAsia" w:ascii="仿宋_GB2312" w:eastAsia="仿宋_GB2312"/>
          <w:spacing w:val="-6"/>
          <w:sz w:val="32"/>
          <w:szCs w:val="32"/>
        </w:rPr>
        <w:t>：</w:t>
      </w:r>
    </w:p>
    <w:p>
      <w:pPr>
        <w:spacing w:line="500" w:lineRule="exact"/>
        <w:ind w:firstLine="616" w:firstLineChars="200"/>
        <w:rPr>
          <w:rFonts w:ascii="仿宋_GB2312" w:eastAsia="仿宋_GB2312"/>
          <w:spacing w:val="-6"/>
          <w:sz w:val="32"/>
          <w:szCs w:val="32"/>
        </w:rPr>
      </w:pPr>
    </w:p>
    <w:tbl>
      <w:tblPr>
        <w:tblStyle w:val="5"/>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5459"/>
        <w:gridCol w:w="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5459"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968" w:type="dxa"/>
            <w:vAlign w:val="center"/>
          </w:tcPr>
          <w:p>
            <w:pPr>
              <w:spacing w:line="500" w:lineRule="exact"/>
              <w:ind w:firstLine="1280" w:firstLineChars="4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1</w:t>
            </w:r>
          </w:p>
        </w:tc>
        <w:tc>
          <w:tcPr>
            <w:tcW w:w="5459" w:type="dxa"/>
            <w:vAlign w:val="center"/>
          </w:tcPr>
          <w:p>
            <w:pPr>
              <w:spacing w:line="500" w:lineRule="exact"/>
              <w:rPr>
                <w:rFonts w:ascii="仿宋_GB2312" w:eastAsia="仿宋_GB2312"/>
                <w:sz w:val="32"/>
                <w:szCs w:val="32"/>
              </w:rPr>
            </w:pPr>
            <w:r>
              <w:rPr>
                <w:rFonts w:hint="eastAsia" w:ascii="仿宋_GB2312" w:eastAsia="仿宋_GB2312"/>
                <w:sz w:val="32"/>
                <w:szCs w:val="32"/>
              </w:rPr>
              <w:t>克拉玛依市独山子区地方税务局</w:t>
            </w:r>
          </w:p>
        </w:tc>
        <w:tc>
          <w:tcPr>
            <w:tcW w:w="968"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p>
        </w:tc>
        <w:tc>
          <w:tcPr>
            <w:tcW w:w="5459" w:type="dxa"/>
            <w:vAlign w:val="center"/>
          </w:tcPr>
          <w:p>
            <w:pPr>
              <w:spacing w:line="500" w:lineRule="exact"/>
              <w:ind w:firstLine="640" w:firstLineChars="200"/>
              <w:rPr>
                <w:rFonts w:ascii="仿宋_GB2312" w:eastAsia="仿宋_GB2312"/>
                <w:sz w:val="32"/>
                <w:szCs w:val="32"/>
              </w:rPr>
            </w:pPr>
          </w:p>
        </w:tc>
        <w:tc>
          <w:tcPr>
            <w:tcW w:w="968"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p>
        </w:tc>
        <w:tc>
          <w:tcPr>
            <w:tcW w:w="5459" w:type="dxa"/>
            <w:vAlign w:val="center"/>
          </w:tcPr>
          <w:p>
            <w:pPr>
              <w:spacing w:line="500" w:lineRule="exact"/>
              <w:ind w:firstLine="640" w:firstLineChars="200"/>
              <w:rPr>
                <w:rFonts w:ascii="仿宋_GB2312" w:eastAsia="仿宋_GB2312"/>
                <w:sz w:val="32"/>
                <w:szCs w:val="32"/>
              </w:rPr>
            </w:pPr>
          </w:p>
        </w:tc>
        <w:tc>
          <w:tcPr>
            <w:tcW w:w="968"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p>
        </w:tc>
        <w:tc>
          <w:tcPr>
            <w:tcW w:w="5459" w:type="dxa"/>
            <w:vAlign w:val="center"/>
          </w:tcPr>
          <w:p>
            <w:pPr>
              <w:spacing w:line="500" w:lineRule="exact"/>
              <w:ind w:firstLine="640" w:firstLineChars="200"/>
              <w:rPr>
                <w:rFonts w:ascii="仿宋_GB2312" w:eastAsia="仿宋_GB2312"/>
                <w:sz w:val="32"/>
                <w:szCs w:val="32"/>
              </w:rPr>
            </w:pPr>
          </w:p>
        </w:tc>
        <w:tc>
          <w:tcPr>
            <w:tcW w:w="968" w:type="dxa"/>
            <w:vAlign w:val="center"/>
          </w:tcPr>
          <w:p>
            <w:pPr>
              <w:spacing w:line="500" w:lineRule="exact"/>
              <w:ind w:firstLine="640" w:firstLineChars="200"/>
              <w:rPr>
                <w:rFonts w:ascii="仿宋_GB2312" w:eastAsia="仿宋_GB2312"/>
                <w:sz w:val="32"/>
                <w:szCs w:val="32"/>
              </w:rPr>
            </w:pPr>
          </w:p>
        </w:tc>
      </w:tr>
    </w:tbl>
    <w:p>
      <w:pPr>
        <w:spacing w:line="500" w:lineRule="exact"/>
        <w:ind w:firstLine="627"/>
        <w:jc w:val="center"/>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ind w:firstLine="480"/>
        <w:rPr>
          <w:rFonts w:ascii="仿宋_GB2312" w:hAnsi="Calibri" w:eastAsia="仿宋_GB2312"/>
          <w:sz w:val="32"/>
          <w:szCs w:val="32"/>
          <w:lang w:val="en-GB"/>
        </w:rPr>
      </w:pPr>
      <w:r>
        <w:rPr>
          <w:rFonts w:hint="eastAsia" w:ascii="仿宋_GB2312" w:eastAsia="仿宋_GB2312"/>
          <w:sz w:val="32"/>
          <w:szCs w:val="32"/>
        </w:rPr>
        <w:t>2018年度收入1094.78万元,与上年相比，增加71.22万元，增长6.96%，增减变化主要原因是：增减变化的主要原因是：新招录公务员工资及调资、三代手续费款</w:t>
      </w:r>
      <w:r>
        <w:rPr>
          <w:rFonts w:hint="eastAsia" w:ascii="仿宋_GB2312" w:hAnsi="仿宋" w:eastAsia="仿宋_GB2312" w:cs="仿宋"/>
          <w:sz w:val="32"/>
          <w:szCs w:val="32"/>
        </w:rPr>
        <w:t>。</w:t>
      </w:r>
      <w:r>
        <w:rPr>
          <w:rFonts w:hint="eastAsia" w:ascii="仿宋_GB2312" w:eastAsia="仿宋_GB2312"/>
          <w:sz w:val="32"/>
          <w:szCs w:val="32"/>
        </w:rPr>
        <w:t>支出1095.26万元,与上年相比，增加73.4万元，增长6.95%，增减变化主要原因是：新招录公务员工资及调资、</w:t>
      </w:r>
      <w:r>
        <w:rPr>
          <w:rFonts w:hint="eastAsia" w:ascii="仿宋_GB2312" w:hAnsi="仿宋" w:eastAsia="仿宋_GB2312" w:cs="仿宋"/>
          <w:sz w:val="32"/>
          <w:szCs w:val="32"/>
        </w:rPr>
        <w:t>维稳设施及劳务费增加</w:t>
      </w:r>
      <w:r>
        <w:rPr>
          <w:rFonts w:hint="eastAsia" w:ascii="仿宋_GB2312" w:eastAsia="仿宋_GB2312"/>
          <w:sz w:val="32"/>
          <w:szCs w:val="32"/>
        </w:rPr>
        <w:t>；结余1万元，与上年相比，减少0.47万元，降低31.97%。增减变化主要原因是：质保金满一年后退还供应商保证金。</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ind w:firstLine="480"/>
        <w:rPr>
          <w:rFonts w:ascii="仿宋_GB2312" w:eastAsia="仿宋_GB2312"/>
          <w:sz w:val="32"/>
          <w:szCs w:val="32"/>
        </w:rPr>
      </w:pPr>
      <w:r>
        <w:rPr>
          <w:rFonts w:hint="eastAsia" w:ascii="仿宋_GB2312" w:eastAsia="仿宋_GB2312"/>
          <w:sz w:val="32"/>
          <w:szCs w:val="32"/>
        </w:rPr>
        <w:t>本年收入合计1094.78万元，其中：财政拨款收入746.33万元，占68.17%；上级补助收入0万元，占0%；事业收入0万元，占0%；经营收入0万元，占0%；附属单位缴款0万元，占0%；其他收入348.46万元，占31.83%。</w:t>
      </w:r>
    </w:p>
    <w:p>
      <w:pPr>
        <w:ind w:firstLine="480"/>
        <w:rPr>
          <w:rFonts w:ascii="仿宋_GB2312" w:eastAsia="仿宋_GB2312"/>
          <w:sz w:val="32"/>
          <w:szCs w:val="32"/>
        </w:rPr>
      </w:pPr>
      <w:r>
        <w:rPr>
          <w:rFonts w:hint="eastAsia" w:ascii="仿宋_GB2312" w:eastAsia="仿宋_GB2312"/>
          <w:sz w:val="32"/>
          <w:szCs w:val="32"/>
        </w:rPr>
        <w:t>与年初预算数相比情况：本年收入年初预</w:t>
      </w:r>
      <w:r>
        <w:rPr>
          <w:rFonts w:hint="eastAsia" w:ascii="仿宋_GB2312" w:eastAsia="仿宋_GB2312"/>
          <w:color w:val="000000" w:themeColor="text1"/>
          <w:sz w:val="32"/>
          <w:szCs w:val="32"/>
        </w:rPr>
        <w:t>算数893.71万</w:t>
      </w:r>
      <w:r>
        <w:rPr>
          <w:rFonts w:hint="eastAsia" w:ascii="仿宋_GB2312" w:eastAsia="仿宋_GB2312"/>
          <w:sz w:val="32"/>
          <w:szCs w:val="32"/>
        </w:rPr>
        <w:t>元</w:t>
      </w:r>
      <w:r>
        <w:rPr>
          <w:rFonts w:hint="eastAsia" w:ascii="仿宋_GB2312" w:eastAsia="仿宋_GB2312"/>
          <w:color w:val="000000" w:themeColor="text1"/>
          <w:sz w:val="32"/>
          <w:szCs w:val="32"/>
        </w:rPr>
        <w:t>，决算数1094.78万元，</w:t>
      </w:r>
      <w:r>
        <w:rPr>
          <w:rFonts w:hint="eastAsia" w:ascii="仿宋_GB2312" w:eastAsia="仿宋_GB2312"/>
          <w:sz w:val="32"/>
          <w:szCs w:val="32"/>
        </w:rPr>
        <w:t>预决算差异率</w:t>
      </w:r>
      <w:r>
        <w:rPr>
          <w:rFonts w:hint="eastAsia" w:ascii="仿宋_GB2312" w:eastAsia="仿宋_GB2312"/>
          <w:sz w:val="32"/>
          <w:szCs w:val="32"/>
          <w:lang w:val="en-US" w:eastAsia="zh-CN"/>
        </w:rPr>
        <w:t>22.5</w:t>
      </w:r>
      <w:r>
        <w:rPr>
          <w:rFonts w:hint="eastAsia" w:ascii="仿宋_GB2312" w:eastAsia="仿宋_GB2312"/>
          <w:sz w:val="32"/>
          <w:szCs w:val="32"/>
        </w:rPr>
        <w:t>%，差异主要原因由于维稳费设施及劳务费增加。</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ind w:firstLine="480"/>
        <w:rPr>
          <w:rFonts w:ascii="仿宋_GB2312" w:eastAsia="仿宋_GB2312"/>
          <w:sz w:val="32"/>
          <w:szCs w:val="32"/>
        </w:rPr>
      </w:pPr>
      <w:r>
        <w:rPr>
          <w:rFonts w:hint="eastAsia" w:ascii="仿宋_GB2312" w:eastAsia="仿宋_GB2312"/>
          <w:sz w:val="32"/>
          <w:szCs w:val="32"/>
        </w:rPr>
        <w:t>本年支出合计1095.26万元，其中：基本支出640.41万元，占58.74%；项目支出454.85万元，占41.53%；上缴上级支出0万元，占0%；经营支出0万元，占0%；对附属单位补助支出0万元，占0%</w:t>
      </w:r>
    </w:p>
    <w:p>
      <w:pPr>
        <w:ind w:firstLine="48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与年初预算数相比情况：本年支出年初预算数893.71万元，决算数1095.26万元，预决算差异率22.5</w:t>
      </w:r>
      <w:r>
        <w:rPr>
          <w:rFonts w:hint="eastAsia" w:ascii="仿宋_GB2312" w:eastAsia="仿宋_GB2312"/>
          <w:color w:val="000000" w:themeColor="text1"/>
          <w:sz w:val="32"/>
          <w:szCs w:val="32"/>
          <w:lang w:val="en-US" w:eastAsia="zh-CN"/>
        </w:rPr>
        <w:t>5</w:t>
      </w:r>
      <w:r>
        <w:rPr>
          <w:rFonts w:hint="eastAsia" w:ascii="仿宋_GB2312" w:eastAsia="仿宋_GB2312"/>
          <w:color w:val="000000" w:themeColor="text1"/>
          <w:sz w:val="32"/>
          <w:szCs w:val="32"/>
        </w:rPr>
        <w:t>%，差异主要原因由于人员经费增加、维稳费设施及劳务费增加。</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ind w:firstLine="480"/>
        <w:rPr>
          <w:rFonts w:ascii="仿宋_GB2312" w:eastAsia="仿宋_GB2312"/>
          <w:color w:val="000000" w:themeColor="text1"/>
          <w:sz w:val="32"/>
          <w:szCs w:val="32"/>
        </w:rPr>
      </w:pPr>
      <w:r>
        <w:rPr>
          <w:rFonts w:hint="eastAsia" w:ascii="仿宋_GB2312" w:eastAsia="仿宋_GB2312"/>
          <w:color w:val="000000" w:themeColor="text1"/>
          <w:sz w:val="32"/>
          <w:szCs w:val="32"/>
        </w:rPr>
        <w:t>2018年度财政拨款收入746.33万元，与上年相比，增加</w:t>
      </w:r>
      <w:r>
        <w:rPr>
          <w:rFonts w:hint="eastAsia" w:ascii="仿宋_GB2312" w:eastAsia="仿宋_GB2312"/>
          <w:sz w:val="32"/>
          <w:szCs w:val="32"/>
        </w:rPr>
        <w:t>160.7万元，增长</w:t>
      </w:r>
      <w:r>
        <w:rPr>
          <w:rFonts w:hint="eastAsia" w:ascii="仿宋_GB2312" w:eastAsia="仿宋_GB2312"/>
          <w:sz w:val="32"/>
          <w:szCs w:val="32"/>
          <w:lang w:val="en-US" w:eastAsia="zh-CN"/>
        </w:rPr>
        <w:t>27.44</w:t>
      </w:r>
      <w:r>
        <w:rPr>
          <w:rFonts w:hint="eastAsia" w:ascii="仿宋_GB2312" w:eastAsia="仿宋_GB2312"/>
          <w:sz w:val="32"/>
          <w:szCs w:val="32"/>
        </w:rPr>
        <w:t>%。增减变化的主要原因是：增减变化的主要原因是：新招录公务员工资及调资、三代手续</w:t>
      </w:r>
      <w:r>
        <w:rPr>
          <w:rFonts w:hint="eastAsia" w:ascii="仿宋_GB2312" w:eastAsia="仿宋_GB2312"/>
          <w:color w:val="000000" w:themeColor="text1"/>
          <w:sz w:val="32"/>
          <w:szCs w:val="32"/>
        </w:rPr>
        <w:t>费款。</w:t>
      </w:r>
    </w:p>
    <w:p>
      <w:pPr>
        <w:ind w:firstLine="480"/>
        <w:rPr>
          <w:rFonts w:ascii="仿宋_GB2312" w:eastAsia="仿宋_GB2312"/>
          <w:color w:val="000000" w:themeColor="text1"/>
          <w:sz w:val="32"/>
          <w:szCs w:val="32"/>
        </w:rPr>
      </w:pPr>
      <w:r>
        <w:rPr>
          <w:rFonts w:hint="eastAsia" w:ascii="仿宋_GB2312" w:eastAsia="仿宋_GB2312"/>
          <w:color w:val="000000" w:themeColor="text1"/>
          <w:sz w:val="32"/>
          <w:szCs w:val="32"/>
        </w:rPr>
        <w:t>财政拨款支出746.33元，与上年相比，增加160.7万元，增长</w:t>
      </w:r>
      <w:r>
        <w:rPr>
          <w:rFonts w:hint="eastAsia" w:ascii="仿宋_GB2312" w:eastAsia="仿宋_GB2312"/>
          <w:color w:val="000000" w:themeColor="text1"/>
          <w:sz w:val="32"/>
          <w:szCs w:val="32"/>
          <w:lang w:val="en-US" w:eastAsia="zh-CN"/>
        </w:rPr>
        <w:t>27.44</w:t>
      </w:r>
      <w:r>
        <w:rPr>
          <w:rFonts w:hint="eastAsia" w:ascii="仿宋_GB2312" w:eastAsia="仿宋_GB2312"/>
          <w:color w:val="000000" w:themeColor="text1"/>
          <w:sz w:val="32"/>
          <w:szCs w:val="32"/>
        </w:rPr>
        <w:t>%，增减变化的主要原因是：新招录公务员工资及调资、维稳设施及劳务费增加。其中：基本支出640.41万元，项目支出105.92万元。财政拨款结转结余0万元，与上年相比，基本支出增加115.59万以，项目支出增加45.11万元。增减变化的主要原因是：相关办公经费等费用增加，三代手续费款。</w:t>
      </w:r>
    </w:p>
    <w:p>
      <w:pPr>
        <w:ind w:firstLine="480"/>
        <w:rPr>
          <w:rFonts w:ascii="仿宋_GB2312" w:hAnsi="仿宋" w:eastAsia="仿宋_GB2312" w:cs="仿宋"/>
          <w:sz w:val="32"/>
          <w:szCs w:val="32"/>
        </w:rPr>
      </w:pPr>
      <w:r>
        <w:rPr>
          <w:rFonts w:hint="eastAsia" w:ascii="仿宋_GB2312" w:eastAsia="仿宋_GB2312"/>
          <w:color w:val="000000" w:themeColor="text1"/>
          <w:sz w:val="32"/>
          <w:szCs w:val="32"/>
        </w:rPr>
        <w:t>与年初预算数相比情况：财政拨款收入年初预算数628.71万元，决算数746.33万元，预决算差异率</w:t>
      </w:r>
      <w:r>
        <w:rPr>
          <w:rFonts w:hint="eastAsia" w:ascii="仿宋_GB2312" w:eastAsia="仿宋_GB2312"/>
          <w:color w:val="000000" w:themeColor="text1"/>
          <w:sz w:val="32"/>
          <w:szCs w:val="32"/>
          <w:lang w:val="en-US" w:eastAsia="zh-CN"/>
        </w:rPr>
        <w:t>18.71</w:t>
      </w:r>
      <w:r>
        <w:rPr>
          <w:rFonts w:hint="eastAsia" w:ascii="仿宋_GB2312" w:eastAsia="仿宋_GB2312"/>
          <w:color w:val="000000" w:themeColor="text1"/>
          <w:sz w:val="32"/>
          <w:szCs w:val="32"/>
        </w:rPr>
        <w:t>%，差异主要原因三代手续费增加。财政拨款支出年初预算数</w:t>
      </w:r>
      <w:r>
        <w:rPr>
          <w:rFonts w:hint="eastAsia" w:ascii="仿宋_GB2312" w:eastAsia="仿宋_GB2312"/>
          <w:sz w:val="32"/>
          <w:szCs w:val="32"/>
        </w:rPr>
        <w:t>628.71万元</w:t>
      </w:r>
      <w:r>
        <w:rPr>
          <w:rFonts w:hint="eastAsia" w:ascii="仿宋_GB2312" w:eastAsia="仿宋_GB2312"/>
          <w:color w:val="000000" w:themeColor="text1"/>
          <w:sz w:val="32"/>
          <w:szCs w:val="32"/>
        </w:rPr>
        <w:t>，决算数746.33万元，预决算差异率</w:t>
      </w:r>
      <w:r>
        <w:rPr>
          <w:rFonts w:hint="eastAsia" w:ascii="仿宋_GB2312" w:eastAsia="仿宋_GB2312"/>
          <w:color w:val="000000" w:themeColor="text1"/>
          <w:sz w:val="32"/>
          <w:szCs w:val="32"/>
          <w:lang w:val="en-US" w:eastAsia="zh-CN"/>
        </w:rPr>
        <w:t>18.71</w:t>
      </w:r>
      <w:r>
        <w:rPr>
          <w:rFonts w:hint="eastAsia" w:ascii="仿宋_GB2312" w:eastAsia="仿宋_GB2312"/>
          <w:color w:val="000000" w:themeColor="text1"/>
          <w:sz w:val="32"/>
          <w:szCs w:val="32"/>
        </w:rPr>
        <w:t>%，差异主要原因主要是由于人员所需经费增加、维稳设施及劳务费增加。</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ind w:firstLine="480"/>
        <w:rPr>
          <w:rFonts w:ascii="仿宋_GB2312" w:eastAsia="仿宋_GB2312"/>
          <w:sz w:val="32"/>
          <w:szCs w:val="32"/>
        </w:rPr>
      </w:pPr>
      <w:r>
        <w:rPr>
          <w:rFonts w:hint="eastAsia" w:ascii="仿宋_GB2312" w:eastAsia="仿宋_GB2312"/>
          <w:sz w:val="32"/>
          <w:szCs w:val="32"/>
        </w:rPr>
        <w:t>2018年度一般公共预算财政拨款收入746.33万元。与上年相比，增加160.7万元，增长</w:t>
      </w:r>
      <w:r>
        <w:rPr>
          <w:rFonts w:hint="eastAsia" w:ascii="仿宋_GB2312" w:eastAsia="仿宋_GB2312"/>
          <w:sz w:val="32"/>
          <w:szCs w:val="32"/>
          <w:lang w:val="en-US" w:eastAsia="zh-CN"/>
        </w:rPr>
        <w:t>27.44</w:t>
      </w:r>
      <w:r>
        <w:rPr>
          <w:rFonts w:hint="eastAsia" w:ascii="仿宋_GB2312" w:eastAsia="仿宋_GB2312"/>
          <w:sz w:val="32"/>
          <w:szCs w:val="32"/>
        </w:rPr>
        <w:t>%。增减变化的主要原因是：相关办公经费等费用、人员所需经费增加、维稳设施及劳务费增加。一般公共预算财政拨款支出746.33万元</w:t>
      </w:r>
      <w:r>
        <w:rPr>
          <w:rFonts w:hint="eastAsia" w:ascii="仿宋_GB2312" w:eastAsia="仿宋_GB2312"/>
          <w:color w:val="000000" w:themeColor="text1"/>
          <w:sz w:val="32"/>
          <w:szCs w:val="32"/>
        </w:rPr>
        <w:t>。</w:t>
      </w:r>
      <w:r>
        <w:rPr>
          <w:rFonts w:hint="eastAsia" w:ascii="仿宋_GB2312" w:eastAsia="仿宋_GB2312"/>
          <w:sz w:val="32"/>
          <w:szCs w:val="32"/>
        </w:rPr>
        <w:t>与上年相比，增加160.7万元，增长</w:t>
      </w:r>
      <w:r>
        <w:rPr>
          <w:rFonts w:hint="eastAsia" w:ascii="仿宋_GB2312" w:eastAsia="仿宋_GB2312"/>
          <w:sz w:val="32"/>
          <w:szCs w:val="32"/>
          <w:lang w:val="en-US" w:eastAsia="zh-CN"/>
        </w:rPr>
        <w:t>27.44</w:t>
      </w:r>
      <w:r>
        <w:rPr>
          <w:rFonts w:hint="eastAsia" w:ascii="仿宋_GB2312" w:eastAsia="仿宋_GB2312"/>
          <w:sz w:val="32"/>
          <w:szCs w:val="32"/>
        </w:rPr>
        <w:t>%。增减变化的主要原因是：相关办公经费等费用、人员所需经费增加、维稳设施及劳务费增加。其中：按功能分类科目（按类级科目公开），一般公共服务支出662.34万元，社会保障和就业服务支出83.99万元。</w:t>
      </w:r>
    </w:p>
    <w:p>
      <w:pPr>
        <w:ind w:firstLine="480"/>
        <w:rPr>
          <w:rFonts w:ascii="仿宋_GB2312" w:eastAsia="仿宋_GB2312"/>
          <w:sz w:val="32"/>
          <w:szCs w:val="32"/>
        </w:rPr>
      </w:pPr>
      <w:r>
        <w:rPr>
          <w:rFonts w:hint="eastAsia" w:ascii="仿宋_GB2312" w:eastAsia="仿宋_GB2312"/>
          <w:sz w:val="32"/>
          <w:szCs w:val="32"/>
        </w:rPr>
        <w:t>与年初预算数相比情况：一般公共预算财政拨款收入年初预算数628.71万元，决算数746.33万元，预决算差异率</w:t>
      </w:r>
      <w:r>
        <w:rPr>
          <w:rFonts w:hint="eastAsia" w:ascii="仿宋_GB2312" w:eastAsia="仿宋_GB2312"/>
          <w:sz w:val="32"/>
          <w:szCs w:val="32"/>
          <w:lang w:val="en-US" w:eastAsia="zh-CN"/>
        </w:rPr>
        <w:t>18.71</w:t>
      </w:r>
      <w:r>
        <w:rPr>
          <w:rFonts w:hint="eastAsia" w:ascii="仿宋_GB2312" w:eastAsia="仿宋_GB2312"/>
          <w:sz w:val="32"/>
          <w:szCs w:val="32"/>
        </w:rPr>
        <w:t>%，差异主要原因差异主要原因2018年追加绩效和工资补助经费。一般公共预算财政拨款支出年初预算数628.71万元，决算数746.33万元，预决算差异率</w:t>
      </w:r>
      <w:r>
        <w:rPr>
          <w:rFonts w:hint="eastAsia" w:ascii="仿宋_GB2312" w:eastAsia="仿宋_GB2312"/>
          <w:sz w:val="32"/>
          <w:szCs w:val="32"/>
          <w:lang w:val="en-US" w:eastAsia="zh-CN"/>
        </w:rPr>
        <w:t>18.71</w:t>
      </w:r>
      <w:r>
        <w:rPr>
          <w:rFonts w:hint="eastAsia" w:ascii="仿宋_GB2312" w:eastAsia="仿宋_GB2312"/>
          <w:sz w:val="32"/>
          <w:szCs w:val="32"/>
        </w:rPr>
        <w:t>%，差异主要原因主要原因2018年追加绩效和工资补助经费。</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ind w:firstLine="480"/>
        <w:rPr>
          <w:rFonts w:ascii="仿宋_GB2312" w:eastAsia="仿宋_GB2312"/>
          <w:sz w:val="32"/>
          <w:szCs w:val="32"/>
        </w:rPr>
      </w:pPr>
      <w:r>
        <w:rPr>
          <w:rFonts w:hint="eastAsia" w:ascii="仿宋_GB2312" w:eastAsia="仿宋_GB2312"/>
          <w:sz w:val="32"/>
          <w:szCs w:val="32"/>
        </w:rPr>
        <w:t>2018年度政府性基金预算财政拨款收入0万元，与上年相比，增加（减少）0万元，增长（降低）0%。政府性基金预算支出0万元。与上年相比，增加（减少）0万元，增长（降低）0%。其中：按功能分类科目（按类级科目公开），0支出0万元，0支出0万元。按经济分类科目（按类级科目公开），0支出0万元，0支出0万元。</w:t>
      </w:r>
    </w:p>
    <w:p>
      <w:pPr>
        <w:ind w:firstLine="480"/>
        <w:rPr>
          <w:rFonts w:ascii="仿宋_GB2312" w:eastAsia="仿宋_GB2312"/>
          <w:sz w:val="32"/>
          <w:szCs w:val="32"/>
        </w:rPr>
      </w:pPr>
      <w:r>
        <w:rPr>
          <w:rFonts w:hint="eastAsia" w:ascii="仿宋_GB2312" w:eastAsia="仿宋_GB2312"/>
          <w:sz w:val="32"/>
          <w:szCs w:val="32"/>
        </w:rPr>
        <w:t>与年初预算数相比情况：政府性基金预算财政拨款收入年初预算数0万元，决算数0万元，预决算差异率0%。政府性基金预算财政拨款支出年初预算数0万元，决算数0万元，预决算差异率0%。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年末结转结余1万元。与上年相比，减少0.47万元，降低31.97%。</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其中财政拨款结转结余0万元。与上年相比，增加（减少）0万元，增长（降低）0%。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ind w:firstLine="480"/>
        <w:rPr>
          <w:rFonts w:ascii="仿宋_GB2312" w:eastAsia="仿宋_GB2312"/>
          <w:sz w:val="32"/>
          <w:szCs w:val="32"/>
        </w:rPr>
      </w:pPr>
      <w:r>
        <w:rPr>
          <w:rFonts w:hint="eastAsia" w:ascii="仿宋_GB2312" w:eastAsia="仿宋_GB2312"/>
          <w:sz w:val="32"/>
          <w:szCs w:val="32"/>
        </w:rPr>
        <w:t>2018年度一般公共预算“三公”经费支出决算16.67万元，比上年减少0.2万元，降低0.01%，减少原因是即行节约严格控制接待费用。其中，因公出国（境）费支出0万元，占0%，比上年增加（减少）0万元，增长（降低）0%；公务用车购置及运行维护费支出16.25万元，占97.48%，比上年增加（减少）0万元，增长（降低）0%，增加（减少）原因是主要原因一是我局继续大力倡导厉行节约，狠抓公车使用管理，开展公务用车治理工作，压缩公务用车运行维护费支出；公务接待费支出0.42万元，占2.52%，比上年减少0.19万元，降低31.15%，减少原因是在公务接待上继续推行各项举措压缩支出，实行公务接待事前审批登记制度，明确规定接待标准、限定陪同人数，禁止接待中的铺张浪费，严格控制公务接待费用支出。具体情况如下：</w:t>
      </w:r>
    </w:p>
    <w:p>
      <w:pPr>
        <w:ind w:firstLine="480"/>
        <w:rPr>
          <w:rFonts w:ascii="仿宋_GB2312" w:eastAsia="仿宋_GB2312"/>
          <w:sz w:val="32"/>
          <w:szCs w:val="32"/>
        </w:rPr>
      </w:pPr>
      <w:r>
        <w:rPr>
          <w:rFonts w:hint="eastAsia" w:ascii="仿宋_GB2312" w:eastAsia="仿宋_GB2312"/>
          <w:sz w:val="32"/>
          <w:szCs w:val="32"/>
        </w:rPr>
        <w:t>因公出国（境）费支出0万元。克拉玛依市独山子区地方税务局全年使用一般公共预算财政拨款安排的出国（境）团组0个，累计0人次。开支内容包括：……。</w:t>
      </w:r>
    </w:p>
    <w:p>
      <w:pPr>
        <w:ind w:firstLine="480"/>
        <w:rPr>
          <w:rFonts w:ascii="仿宋_GB2312" w:eastAsia="仿宋_GB2312"/>
          <w:sz w:val="32"/>
          <w:szCs w:val="32"/>
        </w:rPr>
      </w:pPr>
      <w:r>
        <w:rPr>
          <w:rFonts w:hint="eastAsia" w:ascii="仿宋_GB2312" w:eastAsia="仿宋_GB2312"/>
          <w:sz w:val="32"/>
          <w:szCs w:val="32"/>
        </w:rPr>
        <w:t>公务用车购置及运行维护费16.25万元,其中，公务用车购置0万元，公务用车运行维护费16.25万元。主要用于日常维修、油料以及保险等相关费用支出。单位一般公共财政拨款安排的公务用车购置量0辆，保有量为10辆。</w:t>
      </w:r>
    </w:p>
    <w:p>
      <w:pPr>
        <w:ind w:firstLine="480"/>
        <w:rPr>
          <w:rFonts w:ascii="仿宋_GB2312" w:eastAsia="仿宋_GB2312"/>
          <w:sz w:val="32"/>
          <w:szCs w:val="32"/>
        </w:rPr>
      </w:pPr>
      <w:r>
        <w:rPr>
          <w:rFonts w:hint="eastAsia" w:ascii="仿宋_GB2312" w:eastAsia="仿宋_GB2312"/>
          <w:sz w:val="32"/>
          <w:szCs w:val="32"/>
        </w:rPr>
        <w:t>公务接待费0.42万元。具体是：国内公务接待支出0.42万元，主要是接待检查指导工作。克拉玛依市独山子区地方税务局国内公务接待8批次，83人次。</w:t>
      </w:r>
    </w:p>
    <w:p>
      <w:pPr>
        <w:ind w:firstLine="480"/>
        <w:rPr>
          <w:rFonts w:ascii="仿宋_GB2312" w:hAnsi="宋体" w:eastAsia="仿宋_GB2312" w:cs="宋体"/>
          <w:kern w:val="0"/>
          <w:sz w:val="32"/>
          <w:szCs w:val="32"/>
        </w:rPr>
      </w:pPr>
      <w:r>
        <w:rPr>
          <w:rFonts w:hint="eastAsia" w:ascii="仿宋_GB2312" w:eastAsia="仿宋_GB2312"/>
          <w:sz w:val="32"/>
          <w:szCs w:val="32"/>
        </w:rPr>
        <w:t>与年初预算数相比情况：一般公共预算“三公”经费支出年初预算数16.86万元，决算数16.67万元，预决算差异率0.01%，差异主要原因即行节约严格控制接待费用。其中：因公出国（境）费预算数0万元，决算数0万元，预决算差异率0%；公务用车购置预算数0万元，决算数0万元，预决算差异率0%；公务用车运行费预算数16.25万元，决算数16.25万元，预决算差异率0%，差异主要原因预算执行情况较好；公务接待费预算数0.61万元，决算数0.42万元，预决算</w:t>
      </w:r>
      <w:r>
        <w:rPr>
          <w:rFonts w:hint="eastAsia" w:ascii="仿宋_GB2312" w:eastAsia="仿宋_GB2312"/>
          <w:color w:val="000000" w:themeColor="text1"/>
          <w:sz w:val="32"/>
          <w:szCs w:val="32"/>
        </w:rPr>
        <w:t>差异率31.15%，</w:t>
      </w:r>
      <w:r>
        <w:rPr>
          <w:rFonts w:hint="eastAsia" w:ascii="仿宋_GB2312" w:eastAsia="仿宋_GB2312"/>
          <w:sz w:val="32"/>
          <w:szCs w:val="32"/>
        </w:rPr>
        <w:t>差异主要原因即行节约严格控制接待费用。</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ind w:firstLine="480"/>
        <w:rPr>
          <w:rFonts w:ascii="仿宋_GB2312" w:eastAsia="仿宋_GB2312"/>
          <w:sz w:val="32"/>
          <w:szCs w:val="32"/>
        </w:rPr>
      </w:pPr>
      <w:r>
        <w:rPr>
          <w:rFonts w:hint="eastAsia" w:ascii="仿宋_GB2312" w:eastAsia="仿宋_GB2312"/>
          <w:sz w:val="32"/>
          <w:szCs w:val="32"/>
        </w:rPr>
        <w:t>2018年度克拉玛依市独山子区地方税务局机关运行经费支出</w:t>
      </w:r>
      <w:r>
        <w:rPr>
          <w:rFonts w:hint="eastAsia" w:ascii="仿宋_GB2312" w:eastAsia="仿宋_GB2312"/>
          <w:color w:val="000000" w:themeColor="text1"/>
          <w:sz w:val="32"/>
          <w:szCs w:val="32"/>
        </w:rPr>
        <w:t>41.96万元，比上</w:t>
      </w:r>
      <w:r>
        <w:rPr>
          <w:rFonts w:hint="eastAsia" w:ascii="仿宋_GB2312" w:eastAsia="仿宋_GB2312"/>
          <w:sz w:val="32"/>
          <w:szCs w:val="32"/>
        </w:rPr>
        <w:t>年减少1.84万元，减少4.2%，主要原因是人员经费支出增加。</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六、政府采购情况</w:t>
      </w:r>
    </w:p>
    <w:p>
      <w:pPr>
        <w:ind w:firstLine="480"/>
        <w:rPr>
          <w:rFonts w:ascii="仿宋_GB2312" w:eastAsia="仿宋_GB2312"/>
          <w:sz w:val="32"/>
          <w:szCs w:val="32"/>
        </w:rPr>
      </w:pPr>
      <w:r>
        <w:rPr>
          <w:rFonts w:hint="eastAsia" w:ascii="仿宋_GB2312" w:eastAsia="仿宋_GB2312"/>
          <w:sz w:val="32"/>
          <w:szCs w:val="32"/>
        </w:rPr>
        <w:t>2018年度政府采购支出总额23.08万元，其中：政府采购货物支出17.47万元、政府采购工程支出0万元、政府采购服务支出5.61万元。</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七、其他重要事项的情况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（一）国有资产占用情况说明</w:t>
      </w:r>
    </w:p>
    <w:p>
      <w:pPr>
        <w:ind w:firstLine="480"/>
        <w:rPr>
          <w:rFonts w:ascii="仿宋_GB2312" w:eastAsia="仿宋_GB2312"/>
          <w:sz w:val="32"/>
          <w:szCs w:val="32"/>
        </w:rPr>
      </w:pPr>
      <w:r>
        <w:rPr>
          <w:rFonts w:hint="eastAsia" w:ascii="仿宋_GB2312" w:eastAsia="仿宋_GB2312"/>
          <w:sz w:val="32"/>
          <w:szCs w:val="32"/>
        </w:rPr>
        <w:t>截至2018年12月31日，单位共有车辆10辆，价值208.69万元，其中：部级领导干部用车0辆、主要领导干部用车0辆、机要通信用车0辆、应急保障用车0辆、执法执勤用车10辆、特种专业技术用车0辆、离退休干部用车0辆、其他用车0辆；单位价值50万元以上通用设备0台（套）、单位价值100万元以上专用设备0台（套）。</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ind w:firstLine="480"/>
        <w:rPr>
          <w:rFonts w:ascii="仿宋_GB2312" w:eastAsia="仿宋_GB2312"/>
          <w:sz w:val="32"/>
          <w:szCs w:val="32"/>
        </w:rPr>
      </w:pPr>
      <w:r>
        <w:rPr>
          <w:rFonts w:hint="eastAsia" w:ascii="仿宋_GB2312" w:eastAsia="仿宋_GB2312"/>
          <w:sz w:val="32"/>
          <w:szCs w:val="32"/>
        </w:rPr>
        <w:t>2018年度，本部门单位预算绩效自评情况：自述有关预算绩效管理和绩效自评开展情况。</w:t>
      </w:r>
    </w:p>
    <w:p>
      <w:pPr>
        <w:ind w:firstLine="480"/>
        <w:rPr>
          <w:rFonts w:ascii="仿宋_GB2312" w:eastAsia="仿宋_GB2312"/>
          <w:sz w:val="32"/>
          <w:szCs w:val="32"/>
        </w:rPr>
      </w:pPr>
      <w:r>
        <w:rPr>
          <w:rFonts w:hint="eastAsia" w:ascii="仿宋_GB2312" w:eastAsia="仿宋_GB2312"/>
          <w:sz w:val="32"/>
          <w:szCs w:val="32"/>
        </w:rPr>
        <w:t>3项目绩效自评综述：根据年初设定的绩效目标，3项目绩效自评得分为100分。</w:t>
      </w:r>
      <w:r>
        <w:rPr>
          <w:rFonts w:hint="eastAsia" w:ascii="仿宋_GB2312" w:eastAsia="仿宋_GB2312"/>
          <w:color w:val="000000" w:themeColor="text1"/>
          <w:sz w:val="32"/>
          <w:szCs w:val="32"/>
        </w:rPr>
        <w:t>项目全年预算数为97.88万元，执行数为97.88万元，完成预算的100%。主要产出和效果</w:t>
      </w:r>
      <w:r>
        <w:rPr>
          <w:rFonts w:hint="eastAsia" w:ascii="仿宋_GB2312" w:eastAsia="仿宋_GB2312"/>
          <w:sz w:val="32"/>
          <w:szCs w:val="32"/>
        </w:rPr>
        <w:t>：主要产出和效果：本部门单位实行绩效管理的项目4个：</w:t>
      </w:r>
    </w:p>
    <w:p>
      <w:pPr>
        <w:ind w:firstLine="480"/>
        <w:rPr>
          <w:rFonts w:ascii="仿宋_GB2312" w:eastAsia="仿宋_GB2312"/>
          <w:sz w:val="32"/>
          <w:szCs w:val="32"/>
        </w:rPr>
      </w:pPr>
      <w:r>
        <w:rPr>
          <w:rFonts w:hint="eastAsia" w:ascii="仿宋_GB2312" w:eastAsia="仿宋_GB2312"/>
          <w:sz w:val="32"/>
          <w:szCs w:val="32"/>
        </w:rPr>
        <w:t>1.税务宣传支出10万元，用于纳税服务宣传方面的支出。</w:t>
      </w:r>
    </w:p>
    <w:p>
      <w:pPr>
        <w:ind w:firstLine="480"/>
        <w:rPr>
          <w:rFonts w:ascii="仿宋_GB2312" w:eastAsia="仿宋_GB2312"/>
          <w:sz w:val="32"/>
          <w:szCs w:val="32"/>
        </w:rPr>
      </w:pPr>
      <w:r>
        <w:rPr>
          <w:rFonts w:hint="eastAsia" w:ascii="仿宋_GB2312" w:eastAsia="仿宋_GB2312"/>
          <w:sz w:val="32"/>
          <w:szCs w:val="32"/>
        </w:rPr>
        <w:t>2.其他税收事务支出33.88万元，主要用于为完成税收征收管理工作和完成地税事业发展目标而发生的项目支出。</w:t>
      </w:r>
    </w:p>
    <w:p>
      <w:pPr>
        <w:ind w:firstLine="480"/>
        <w:rPr>
          <w:rFonts w:ascii="仿宋_GB2312" w:eastAsia="仿宋_GB2312"/>
          <w:sz w:val="32"/>
          <w:szCs w:val="32"/>
        </w:rPr>
      </w:pPr>
      <w:r>
        <w:rPr>
          <w:rFonts w:hint="eastAsia" w:ascii="仿宋_GB2312" w:eastAsia="仿宋_GB2312"/>
          <w:sz w:val="32"/>
          <w:szCs w:val="32"/>
        </w:rPr>
        <w:t>3.代征代扣手续费54万元，主要用于支付代征单位三代手续费。</w:t>
      </w:r>
    </w:p>
    <w:p>
      <w:pPr>
        <w:ind w:firstLine="480"/>
        <w:rPr>
          <w:rFonts w:ascii="仿宋_GB2312" w:eastAsia="仿宋_GB2312"/>
          <w:sz w:val="32"/>
          <w:szCs w:val="32"/>
        </w:rPr>
      </w:pPr>
      <w:r>
        <w:rPr>
          <w:rFonts w:hint="eastAsia" w:ascii="仿宋_GB2312" w:eastAsia="仿宋_GB2312"/>
          <w:sz w:val="32"/>
          <w:szCs w:val="32"/>
        </w:rPr>
        <w:t>2018年克拉玛依市独山子区地方税务局资金预算编制符合国家法律、法规的要求，充分体现自治区党委和人民政府的决策意图和政策规定，根据我局实际工作需要，按照控制总数，在不考虑追加预算的情况下，量力而行。收入预算编制合法合规，支出安排稳妥可靠，量入为出。严格落实自治区本级基本支出和项目支出预算管理暂行办法，支出在保证公共需求的基础上，按照标准化、制度化的要求考虑一定的特殊性，按机构、人员实施统一标准、定额补助，缺口部分进行个别微调。在保证人员和工作正常运转的基础上，将厉行节约与部门预算紧密结合，严格控制“三公”经费预算规模，做到只减不增。坚持工作导向，区分轻重缓急，重点解决税收征管、纳税环境、改善基层生活性保障设施等方面的资金需求。</w:t>
      </w:r>
    </w:p>
    <w:p>
      <w:pPr>
        <w:ind w:firstLine="480"/>
        <w:rPr>
          <w:rFonts w:ascii="仿宋_GB2312" w:eastAsia="仿宋_GB2312"/>
          <w:sz w:val="32"/>
          <w:szCs w:val="32"/>
        </w:rPr>
      </w:pPr>
      <w:r>
        <w:rPr>
          <w:rFonts w:hint="eastAsia" w:ascii="仿宋_GB2312" w:eastAsia="仿宋_GB2312"/>
          <w:sz w:val="32"/>
          <w:szCs w:val="32"/>
        </w:rPr>
        <w:t>我局严格执行已确定的项目支出预算，坚决杜绝没有预算的支出和超预算、超标准的支出；保证了各项经费专款专用，没有发生专项资金被挤占和挪作他用的现象。同时，按照上级部门要求接受财政专项资金绩效考评。对年初预算安排的专项资金及追加的专项资金，定期提交绩效评价报告，为下一年度资金预算的安排提供了重要的依据。</w:t>
      </w:r>
    </w:p>
    <w:p>
      <w:pPr>
        <w:ind w:firstLine="480"/>
        <w:rPr>
          <w:rFonts w:ascii="仿宋_GB2312" w:eastAsia="仿宋_GB2312"/>
          <w:sz w:val="32"/>
          <w:szCs w:val="32"/>
        </w:rPr>
      </w:pPr>
      <w:r>
        <w:rPr>
          <w:rFonts w:hint="eastAsia" w:ascii="仿宋_GB2312" w:eastAsia="仿宋_GB2312"/>
          <w:sz w:val="32"/>
          <w:szCs w:val="32"/>
        </w:rPr>
        <w:t>下一步改进工作的意见及建议：进一步加强财务管理工作，资金支出严格按照各项相关规定要求使用，使资金支出达到预期绩效目标，严把监督审核关，建立健全财务审批制度，做到财务会计资料披露信息真实、及时、完整，项目资金使用安全规范。建议项目资金拨付及时，以便能按照预期计划实现绩效目标。</w:t>
      </w:r>
    </w:p>
    <w:p>
      <w:pPr>
        <w:spacing w:line="540" w:lineRule="exact"/>
        <w:jc w:val="center"/>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201（类）07（款）01（项）：指行政运行；</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201（类）07（款）02（项）：指一般行政管理事务；</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201（类）07（款）03（项）：指机关服务；</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201（类）07（款）04（项）：指税务办案；</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201（类）07（款）06（项）：指“三代”税款手续费；</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201（类）07（款）07（项）：指税务宣传；</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201（类）07（款）99（项）：指其他税收事务支出；</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208（类）05（款）04（项）：指未归口管理的行政单位离退休；</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208（类）05（款）05（项）：指机关事业单位基本养老保险缴费支出；</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208（类）05（款）06（项）：指机关事业单位职业年金缴费支出；</w:t>
      </w:r>
    </w:p>
    <w:p>
      <w:pPr>
        <w:adjustRightInd w:val="0"/>
        <w:snapToGrid w:val="0"/>
        <w:spacing w:line="580" w:lineRule="exact"/>
        <w:ind w:firstLine="640" w:firstLineChars="200"/>
        <w:rPr>
          <w:rFonts w:ascii="仿宋_GB2312" w:eastAsia="仿宋_GB2312"/>
          <w:sz w:val="32"/>
          <w:szCs w:val="32"/>
        </w:rPr>
      </w:pPr>
      <w:r>
        <w:rPr>
          <w:rFonts w:hint="eastAsia" w:ascii="仿宋_GB2312" w:eastAsia="仿宋_GB2312"/>
          <w:sz w:val="32"/>
          <w:szCs w:val="32"/>
        </w:rPr>
        <w:t>208（类）05（款）99（项）：指其他行政事业单位离退休支出。</w:t>
      </w:r>
    </w:p>
    <w:p>
      <w:pPr>
        <w:spacing w:line="540" w:lineRule="exact"/>
        <w:ind w:firstLine="640" w:firstLineChars="200"/>
        <w:rPr>
          <w:rFonts w:ascii="仿宋_GB2312" w:hAnsi="Calibri" w:eastAsia="仿宋_GB2312"/>
          <w:sz w:val="32"/>
          <w:szCs w:val="32"/>
          <w:lang w:val="en-GB"/>
        </w:rPr>
      </w:pPr>
      <w:bookmarkStart w:id="0" w:name="_GoBack"/>
      <w:bookmarkEnd w:id="0"/>
      <w:r>
        <w:rPr>
          <w:rFonts w:hint="eastAsia" w:ascii="仿宋_GB2312" w:eastAsia="仿宋_GB2312"/>
          <w:sz w:val="32"/>
          <w:szCs w:val="32"/>
        </w:rPr>
        <w:t>其他有关说明内容</w:t>
      </w:r>
      <w:r>
        <w:rPr>
          <w:rFonts w:hint="eastAsia" w:ascii="仿宋_GB2312" w:hAnsi="Calibri" w:eastAsia="仿宋_GB2312"/>
          <w:sz w:val="32"/>
          <w:szCs w:val="32"/>
          <w:lang w:val="en-GB"/>
        </w:rPr>
        <w:t>：无</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B553B"/>
    <w:rsid w:val="00031714"/>
    <w:rsid w:val="00060398"/>
    <w:rsid w:val="00071A60"/>
    <w:rsid w:val="000A1DFB"/>
    <w:rsid w:val="0010560C"/>
    <w:rsid w:val="00117587"/>
    <w:rsid w:val="001632F2"/>
    <w:rsid w:val="0016631F"/>
    <w:rsid w:val="001C7B8D"/>
    <w:rsid w:val="00205A1D"/>
    <w:rsid w:val="00230C73"/>
    <w:rsid w:val="00281E99"/>
    <w:rsid w:val="00291BCB"/>
    <w:rsid w:val="002A010D"/>
    <w:rsid w:val="002B3AF4"/>
    <w:rsid w:val="002D72B7"/>
    <w:rsid w:val="003168BF"/>
    <w:rsid w:val="003E64E4"/>
    <w:rsid w:val="003F2700"/>
    <w:rsid w:val="00412522"/>
    <w:rsid w:val="0043071B"/>
    <w:rsid w:val="00460417"/>
    <w:rsid w:val="00467A57"/>
    <w:rsid w:val="004B5E0C"/>
    <w:rsid w:val="004D19A3"/>
    <w:rsid w:val="00575666"/>
    <w:rsid w:val="00581F3F"/>
    <w:rsid w:val="005A4064"/>
    <w:rsid w:val="005D5608"/>
    <w:rsid w:val="005F03FE"/>
    <w:rsid w:val="006078B2"/>
    <w:rsid w:val="00675D33"/>
    <w:rsid w:val="006870EC"/>
    <w:rsid w:val="0073088D"/>
    <w:rsid w:val="007A50A5"/>
    <w:rsid w:val="007D5A33"/>
    <w:rsid w:val="007F3BFD"/>
    <w:rsid w:val="0081555E"/>
    <w:rsid w:val="008431E1"/>
    <w:rsid w:val="00882930"/>
    <w:rsid w:val="008D5608"/>
    <w:rsid w:val="009750B2"/>
    <w:rsid w:val="009B553B"/>
    <w:rsid w:val="009C277A"/>
    <w:rsid w:val="009C2EB0"/>
    <w:rsid w:val="009F6B10"/>
    <w:rsid w:val="00A27A13"/>
    <w:rsid w:val="00A45745"/>
    <w:rsid w:val="00A517F1"/>
    <w:rsid w:val="00A9191F"/>
    <w:rsid w:val="00AA6508"/>
    <w:rsid w:val="00AC172A"/>
    <w:rsid w:val="00AD023C"/>
    <w:rsid w:val="00B11D03"/>
    <w:rsid w:val="00B26D81"/>
    <w:rsid w:val="00B4773B"/>
    <w:rsid w:val="00B53E6A"/>
    <w:rsid w:val="00B666A6"/>
    <w:rsid w:val="00B82824"/>
    <w:rsid w:val="00BC6ED4"/>
    <w:rsid w:val="00C76B3C"/>
    <w:rsid w:val="00D026DA"/>
    <w:rsid w:val="00D122C0"/>
    <w:rsid w:val="00D316AA"/>
    <w:rsid w:val="00D43437"/>
    <w:rsid w:val="00D72272"/>
    <w:rsid w:val="00E077DE"/>
    <w:rsid w:val="00E66BB7"/>
    <w:rsid w:val="00EE3748"/>
    <w:rsid w:val="00EE5263"/>
    <w:rsid w:val="00EF2D26"/>
    <w:rsid w:val="00FC0C82"/>
    <w:rsid w:val="00FD0ED4"/>
    <w:rsid w:val="040442F0"/>
    <w:rsid w:val="04382C8C"/>
    <w:rsid w:val="09D73C3A"/>
    <w:rsid w:val="0EF734DE"/>
    <w:rsid w:val="1C021E10"/>
    <w:rsid w:val="1C5710E3"/>
    <w:rsid w:val="1C634E1D"/>
    <w:rsid w:val="218E75E3"/>
    <w:rsid w:val="26EF3D58"/>
    <w:rsid w:val="2930629A"/>
    <w:rsid w:val="29D4316C"/>
    <w:rsid w:val="2AAB4669"/>
    <w:rsid w:val="2C887325"/>
    <w:rsid w:val="316A6739"/>
    <w:rsid w:val="366E6B5E"/>
    <w:rsid w:val="42E10212"/>
    <w:rsid w:val="43244DBE"/>
    <w:rsid w:val="488C66EA"/>
    <w:rsid w:val="491A662E"/>
    <w:rsid w:val="4B715D43"/>
    <w:rsid w:val="4DB31FF6"/>
    <w:rsid w:val="508639CA"/>
    <w:rsid w:val="536C1B31"/>
    <w:rsid w:val="55810009"/>
    <w:rsid w:val="596148ED"/>
    <w:rsid w:val="5F2307E6"/>
    <w:rsid w:val="63157190"/>
    <w:rsid w:val="68382D7F"/>
    <w:rsid w:val="6B733F9F"/>
    <w:rsid w:val="6D182F56"/>
    <w:rsid w:val="6D6C7E10"/>
    <w:rsid w:val="6D7243DC"/>
    <w:rsid w:val="701B3953"/>
    <w:rsid w:val="7D2343DA"/>
    <w:rsid w:val="7DDA0CF8"/>
    <w:rsid w:val="7EC911C4"/>
    <w:rsid w:val="7F394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kern w:val="2"/>
      <w:sz w:val="18"/>
      <w:szCs w:val="18"/>
    </w:rPr>
  </w:style>
  <w:style w:type="character" w:customStyle="1" w:styleId="7">
    <w:name w:val="页脚 Char"/>
    <w:basedOn w:val="4"/>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14</Pages>
  <Words>959</Words>
  <Characters>5469</Characters>
  <Lines>45</Lines>
  <Paragraphs>12</Paragraphs>
  <TotalTime>0</TotalTime>
  <ScaleCrop>false</ScaleCrop>
  <LinksUpToDate>false</LinksUpToDate>
  <CharactersWithSpaces>6416</CharactersWithSpaces>
  <Application>WPS Office_10.8.2.6870_F1E327BC-269C-435d-A152-05C5408002CA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2019-08-28T02:44:00Z</dcterms:created>
  <dc:creator>GXR</dc:creator>
  <cp:lastModifiedBy> </cp:lastModifiedBy>
  <dcterms:modified xsi:type="dcterms:W3CDTF">2019-08-29T10:51:29Z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2052-10.8.2.6870</vt:lpwstr>
  </property>
</Properties>
</file>