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pPr>
    </w:p>
    <w:p>
      <w:pPr>
        <w:adjustRightInd w:val="0"/>
        <w:snapToGrid w:val="0"/>
        <w:spacing w:line="600" w:lineRule="exact"/>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宋体" w:hAnsi="宋体" w:cs="宋体"/>
          <w:b/>
          <w:bCs/>
          <w:kern w:val="0"/>
          <w:sz w:val="44"/>
          <w:szCs w:val="44"/>
        </w:rPr>
      </w:pPr>
    </w:p>
    <w:p>
      <w:pPr>
        <w:widowControl/>
        <w:adjustRightInd w:val="0"/>
        <w:snapToGrid w:val="0"/>
        <w:spacing w:before="100" w:beforeAutospacing="1" w:after="100" w:afterAutospacing="1" w:line="600" w:lineRule="exact"/>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国家税务总局克拉玛依市税务局机关</w:t>
      </w:r>
    </w:p>
    <w:p>
      <w:pPr>
        <w:widowControl/>
        <w:adjustRightInd w:val="0"/>
        <w:snapToGrid w:val="0"/>
        <w:spacing w:before="100" w:beforeAutospacing="1" w:after="100" w:afterAutospacing="1" w:line="600" w:lineRule="exact"/>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spacing w:line="6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600" w:lineRule="exact"/>
        <w:jc w:val="center"/>
        <w:outlineLvl w:val="1"/>
        <w:rPr>
          <w:rFonts w:ascii="宋体" w:hAnsi="宋体"/>
          <w:b/>
          <w:kern w:val="0"/>
          <w:sz w:val="44"/>
          <w:szCs w:val="44"/>
        </w:rPr>
      </w:pPr>
    </w:p>
    <w:p>
      <w:pPr>
        <w:widowControl/>
        <w:spacing w:line="600" w:lineRule="exact"/>
        <w:outlineLvl w:val="1"/>
        <w:rPr>
          <w:rFonts w:ascii="宋体" w:hAnsi="宋体"/>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国家税务总局克拉玛依市</w:t>
      </w:r>
      <w:r>
        <w:rPr>
          <w:rFonts w:hint="eastAsia" w:ascii="仿宋_GB2312" w:hAnsi="宋体" w:eastAsia="仿宋_GB2312"/>
          <w:b/>
          <w:kern w:val="0"/>
          <w:sz w:val="32"/>
          <w:szCs w:val="32"/>
        </w:rPr>
        <w:t>税务局</w:t>
      </w:r>
      <w:r>
        <w:rPr>
          <w:rFonts w:hint="eastAsia" w:ascii="仿宋_GB2312" w:hAnsi="宋体" w:eastAsia="仿宋_GB2312"/>
          <w:b/>
          <w:kern w:val="0"/>
          <w:sz w:val="32"/>
          <w:szCs w:val="32"/>
          <w:lang w:eastAsia="zh-CN"/>
        </w:rPr>
        <w:t>机关</w:t>
      </w:r>
      <w:r>
        <w:rPr>
          <w:rFonts w:hint="eastAsia" w:ascii="仿宋_GB2312" w:hAnsi="宋体" w:eastAsia="仿宋_GB2312"/>
          <w:b/>
          <w:kern w:val="0"/>
          <w:sz w:val="32"/>
          <w:szCs w:val="32"/>
        </w:rPr>
        <w:t>概况</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国家税务总局克拉玛依市税务局机关</w:t>
      </w:r>
      <w:r>
        <w:rPr>
          <w:rFonts w:hint="eastAsia" w:ascii="仿宋_GB2312" w:hAnsi="宋体" w:eastAsia="仿宋_GB2312"/>
          <w:kern w:val="0"/>
          <w:sz w:val="32"/>
          <w:szCs w:val="32"/>
        </w:rPr>
        <w:t>2019年收支预算情况的总体说明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2019年收入预算情况说明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2019年支出预算情况说明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2019年财政拨款收支预算情况的总体说明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2019年一般公共预算当年拨款情况说明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2019年一般公共预算基本支出情况说明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2019年项目支出情况说明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2019年一般公共预算“三公”经费预算情况说明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国家税务总局克拉玛依市税务机关</w:t>
      </w:r>
      <w:r>
        <w:rPr>
          <w:rFonts w:hint="eastAsia" w:ascii="仿宋_GB2312" w:hAnsi="宋体" w:eastAsia="仿宋_GB2312"/>
          <w:kern w:val="0"/>
          <w:sz w:val="32"/>
          <w:szCs w:val="32"/>
        </w:rPr>
        <w:t>2019年政府性基金预算拨款情况说明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ind w:firstLine="643" w:firstLineChars="200"/>
        <w:jc w:val="both"/>
        <w:outlineLvl w:val="1"/>
        <w:rPr>
          <w:rFonts w:hint="eastAsia" w:ascii="黑体" w:hAnsi="黑体" w:eastAsia="黑体"/>
          <w:b/>
          <w:kern w:val="0"/>
          <w:sz w:val="32"/>
          <w:szCs w:val="32"/>
        </w:rPr>
      </w:pPr>
    </w:p>
    <w:p>
      <w:pPr>
        <w:widowControl/>
        <w:adjustRightInd w:val="0"/>
        <w:snapToGrid w:val="0"/>
        <w:spacing w:line="600" w:lineRule="exact"/>
        <w:ind w:firstLine="643" w:firstLineChars="200"/>
        <w:jc w:val="both"/>
        <w:outlineLvl w:val="1"/>
        <w:rPr>
          <w:rFonts w:hint="eastAsia" w:ascii="黑体" w:hAnsi="黑体" w:eastAsia="黑体"/>
          <w:b/>
          <w:kern w:val="0"/>
          <w:sz w:val="32"/>
          <w:szCs w:val="32"/>
        </w:rPr>
      </w:pPr>
    </w:p>
    <w:p>
      <w:pPr>
        <w:widowControl/>
        <w:adjustRightInd w:val="0"/>
        <w:snapToGrid w:val="0"/>
        <w:spacing w:line="600" w:lineRule="exact"/>
        <w:ind w:firstLine="643" w:firstLineChars="200"/>
        <w:jc w:val="both"/>
        <w:outlineLvl w:val="1"/>
        <w:rPr>
          <w:rFonts w:ascii="黑体" w:hAnsi="黑体" w:eastAsia="黑体"/>
          <w:b/>
          <w:kern w:val="0"/>
          <w:sz w:val="32"/>
          <w:szCs w:val="32"/>
        </w:rPr>
      </w:pPr>
      <w:r>
        <w:rPr>
          <w:rFonts w:hint="eastAsia" w:ascii="黑体" w:hAnsi="黑体" w:eastAsia="黑体"/>
          <w:b/>
          <w:kern w:val="0"/>
          <w:sz w:val="32"/>
          <w:szCs w:val="32"/>
        </w:rPr>
        <w:t xml:space="preserve">第一部分  </w:t>
      </w:r>
      <w:r>
        <w:rPr>
          <w:rFonts w:hint="eastAsia" w:ascii="黑体" w:hAnsi="黑体" w:eastAsia="黑体"/>
          <w:b/>
          <w:kern w:val="0"/>
          <w:sz w:val="32"/>
          <w:szCs w:val="32"/>
          <w:lang w:eastAsia="zh-CN"/>
        </w:rPr>
        <w:t>国家税务总局克拉玛依市</w:t>
      </w:r>
      <w:r>
        <w:rPr>
          <w:rFonts w:hint="eastAsia" w:ascii="黑体" w:hAnsi="黑体" w:eastAsia="黑体"/>
          <w:b/>
          <w:kern w:val="0"/>
          <w:sz w:val="32"/>
          <w:szCs w:val="32"/>
        </w:rPr>
        <w:t>税务局</w:t>
      </w:r>
      <w:r>
        <w:rPr>
          <w:rFonts w:hint="eastAsia" w:ascii="黑体" w:hAnsi="黑体" w:eastAsia="黑体"/>
          <w:b/>
          <w:kern w:val="0"/>
          <w:sz w:val="32"/>
          <w:szCs w:val="32"/>
          <w:lang w:eastAsia="zh-CN"/>
        </w:rPr>
        <w:t>机关</w:t>
      </w:r>
      <w:r>
        <w:rPr>
          <w:rFonts w:hint="eastAsia" w:ascii="黑体" w:hAnsi="黑体" w:eastAsia="黑体"/>
          <w:b/>
          <w:kern w:val="0"/>
          <w:sz w:val="32"/>
          <w:szCs w:val="32"/>
        </w:rPr>
        <w:t>概况</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一、主要职能</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负责贯彻执行党的路线、方针、政策，加强党的全面领导，履行全面从严治党责任，负责党的建设和思想政治建设工作。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负责贯彻执行税收、保社会保险费和有关非税收入法律、法规、规章和规范性文件，研究制定具体实施办法。组织落实国家规定的税收优惠政策。</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研究拟定本系统税收、社会保险费和有关非税收入中长期规划，参与拟定税收、社会保险费和有关非税收入预算目标并依法组织实施。负责本系统税收、社会保险费和有关非税收入的会统核算工作。组织开展收入分析预测。</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负责开展税收经济分析和税收政策效应分析，为国家税务总局和自治区党委、政府提供决策参考。</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负责所辖区域内各项税收、社会保险费和有关非税收入征收管理。组织实施税（费）源监控和风险管理，加强大企业和自然人税收管理。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本系统税收、社会保险费和有关非税收入服务体系建设。组织开展纳税服务、税收宣传工作，保护纳税人、缴费人合法权益。承担涉及税收、社会保险费和有关非税收入的行政处罚听证、行政复议和行政诉讼事项。</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负责所辖区域内国际税收和进出口税收管理工作，组织反避税调查和出口退税事项办理。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负责组织实施所辖区域内税务稽查和社会保险费、有关非税收入检查工作。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负责增值税专用发票、普通发票和其他各类发票管理。负责税收、社会保险费和有关非税收入票证管理。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负责组织实施本系统各项税收、社会保险费和有关非税收入征管信息化建设和数据治理工作。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负责本系统内部控制机制建设工作，开展对本系统贯彻执行党中央、国务院重大决策及上级工作部署情况的督查督办，组织实施税收执行法督察。</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负责本系统基层建设和队伍建设工作，加强领导班子和后备干部队伍建设，承担税务人才培养和干部教育培训工作。负责本系统绩效管理和干部考核工作。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负责本系统机构、编制、经费和资产管理工作。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完成国家税务总局</w:t>
      </w:r>
      <w:r>
        <w:rPr>
          <w:rFonts w:hint="eastAsia" w:ascii="仿宋_GB2312" w:hAnsi="宋体" w:eastAsia="仿宋_GB2312"/>
          <w:kern w:val="0"/>
          <w:sz w:val="32"/>
          <w:szCs w:val="32"/>
          <w:lang w:eastAsia="zh-CN"/>
        </w:rPr>
        <w:t>新疆维吾尔自治区税务局</w:t>
      </w:r>
      <w:r>
        <w:rPr>
          <w:rFonts w:hint="eastAsia" w:ascii="仿宋_GB2312" w:hAnsi="宋体" w:eastAsia="仿宋_GB2312"/>
          <w:kern w:val="0"/>
          <w:sz w:val="32"/>
          <w:szCs w:val="32"/>
        </w:rPr>
        <w:t>和</w:t>
      </w:r>
      <w:r>
        <w:rPr>
          <w:rFonts w:hint="eastAsia" w:ascii="仿宋_GB2312" w:hAnsi="宋体" w:eastAsia="仿宋_GB2312"/>
          <w:kern w:val="0"/>
          <w:sz w:val="32"/>
          <w:szCs w:val="32"/>
          <w:lang w:eastAsia="zh-CN"/>
        </w:rPr>
        <w:t>地方</w:t>
      </w:r>
      <w:r>
        <w:rPr>
          <w:rFonts w:hint="eastAsia" w:ascii="仿宋_GB2312" w:hAnsi="宋体" w:eastAsia="仿宋_GB2312"/>
          <w:kern w:val="0"/>
          <w:sz w:val="32"/>
          <w:szCs w:val="32"/>
        </w:rPr>
        <w:t>党委、政府交办的其他工作。</w:t>
      </w:r>
    </w:p>
    <w:p>
      <w:pPr>
        <w:widowControl/>
        <w:adjustRightInd w:val="0"/>
        <w:snapToGrid w:val="0"/>
        <w:spacing w:line="600" w:lineRule="exact"/>
        <w:outlineLvl w:val="1"/>
        <w:rPr>
          <w:rFonts w:ascii="黑体" w:hAnsi="黑体" w:eastAsia="黑体"/>
          <w:kern w:val="0"/>
          <w:sz w:val="32"/>
          <w:szCs w:val="32"/>
        </w:rPr>
      </w:pPr>
      <w:r>
        <w:rPr>
          <w:rFonts w:hint="eastAsia" w:ascii="仿宋_GB2312" w:hAnsi="宋体" w:eastAsia="仿宋_GB2312"/>
          <w:kern w:val="0"/>
          <w:sz w:val="32"/>
          <w:szCs w:val="32"/>
        </w:rPr>
        <w:t xml:space="preserve"> </w:t>
      </w:r>
      <w:r>
        <w:rPr>
          <w:rFonts w:hint="eastAsia" w:ascii="黑体" w:hAnsi="黑体" w:eastAsia="黑体"/>
          <w:kern w:val="0"/>
          <w:sz w:val="32"/>
          <w:szCs w:val="32"/>
        </w:rPr>
        <w:t xml:space="preserve">   二、机构及人员情况</w:t>
      </w:r>
    </w:p>
    <w:p>
      <w:pPr>
        <w:pStyle w:val="4"/>
        <w:snapToGrid w:val="0"/>
        <w:spacing w:line="600" w:lineRule="exact"/>
        <w:ind w:firstLine="640" w:firstLineChars="200"/>
        <w:rPr>
          <w:sz w:val="32"/>
          <w:szCs w:val="32"/>
        </w:rPr>
      </w:pPr>
      <w:r>
        <w:rPr>
          <w:rFonts w:hint="eastAsia"/>
          <w:sz w:val="32"/>
          <w:szCs w:val="32"/>
          <w:lang w:eastAsia="zh-CN"/>
        </w:rPr>
        <w:t>国家税务总局克拉玛依市税务局机关</w:t>
      </w:r>
      <w:r>
        <w:rPr>
          <w:rFonts w:hint="eastAsia"/>
          <w:sz w:val="32"/>
          <w:szCs w:val="32"/>
        </w:rPr>
        <w:t>，设</w:t>
      </w:r>
      <w:r>
        <w:rPr>
          <w:rFonts w:hint="eastAsia"/>
          <w:sz w:val="32"/>
          <w:szCs w:val="32"/>
          <w:lang w:val="en-US" w:eastAsia="zh-CN"/>
        </w:rPr>
        <w:t>15</w:t>
      </w:r>
      <w:r>
        <w:rPr>
          <w:rFonts w:hint="eastAsia"/>
          <w:sz w:val="32"/>
          <w:szCs w:val="32"/>
        </w:rPr>
        <w:t>个内设机构、</w:t>
      </w:r>
      <w:r>
        <w:rPr>
          <w:rFonts w:hint="eastAsia"/>
          <w:sz w:val="32"/>
          <w:szCs w:val="32"/>
          <w:lang w:val="en-US" w:eastAsia="zh-CN"/>
        </w:rPr>
        <w:t>3</w:t>
      </w:r>
      <w:r>
        <w:rPr>
          <w:rFonts w:hint="eastAsia"/>
          <w:sz w:val="32"/>
          <w:szCs w:val="32"/>
        </w:rPr>
        <w:t>个派出机构、</w:t>
      </w:r>
      <w:r>
        <w:rPr>
          <w:rFonts w:hint="eastAsia"/>
          <w:sz w:val="32"/>
          <w:szCs w:val="32"/>
          <w:lang w:val="en-US" w:eastAsia="zh-CN"/>
        </w:rPr>
        <w:t>3</w:t>
      </w:r>
      <w:r>
        <w:rPr>
          <w:rFonts w:hint="eastAsia"/>
          <w:sz w:val="32"/>
          <w:szCs w:val="32"/>
        </w:rPr>
        <w:t>个事业单位，级别均为正</w:t>
      </w:r>
      <w:r>
        <w:rPr>
          <w:rFonts w:hint="eastAsia"/>
          <w:sz w:val="32"/>
          <w:szCs w:val="32"/>
          <w:lang w:eastAsia="zh-CN"/>
        </w:rPr>
        <w:t>科</w:t>
      </w:r>
      <w:r>
        <w:rPr>
          <w:rFonts w:hint="eastAsia"/>
          <w:sz w:val="32"/>
          <w:szCs w:val="32"/>
        </w:rPr>
        <w:t>级。</w:t>
      </w:r>
    </w:p>
    <w:p>
      <w:pPr>
        <w:pStyle w:val="4"/>
        <w:snapToGrid w:val="0"/>
        <w:spacing w:line="600" w:lineRule="exact"/>
        <w:ind w:firstLine="643" w:firstLineChars="200"/>
        <w:rPr>
          <w:sz w:val="32"/>
          <w:szCs w:val="32"/>
        </w:rPr>
      </w:pPr>
      <w:r>
        <w:rPr>
          <w:rFonts w:hint="eastAsia"/>
          <w:b/>
          <w:sz w:val="32"/>
          <w:szCs w:val="32"/>
        </w:rPr>
        <w:t>（一）内设机构</w:t>
      </w:r>
      <w:r>
        <w:rPr>
          <w:rFonts w:hint="eastAsia"/>
          <w:sz w:val="32"/>
          <w:szCs w:val="32"/>
        </w:rPr>
        <w:t>：办公室、</w:t>
      </w:r>
      <w:r>
        <w:rPr>
          <w:rFonts w:hint="eastAsia"/>
          <w:sz w:val="32"/>
          <w:szCs w:val="32"/>
          <w:lang w:eastAsia="zh-CN"/>
        </w:rPr>
        <w:t>法制科</w:t>
      </w:r>
      <w:r>
        <w:rPr>
          <w:rFonts w:hint="eastAsia"/>
          <w:sz w:val="32"/>
          <w:szCs w:val="32"/>
        </w:rPr>
        <w:t>、货物和劳务税</w:t>
      </w:r>
      <w:r>
        <w:rPr>
          <w:rFonts w:hint="eastAsia"/>
          <w:sz w:val="32"/>
          <w:szCs w:val="32"/>
          <w:lang w:eastAsia="zh-CN"/>
        </w:rPr>
        <w:t>科</w:t>
      </w:r>
      <w:r>
        <w:rPr>
          <w:rFonts w:hint="eastAsia"/>
          <w:sz w:val="32"/>
          <w:szCs w:val="32"/>
        </w:rPr>
        <w:t>、企业所得税</w:t>
      </w:r>
      <w:r>
        <w:rPr>
          <w:rFonts w:hint="eastAsia"/>
          <w:sz w:val="32"/>
          <w:szCs w:val="32"/>
          <w:lang w:eastAsia="zh-CN"/>
        </w:rPr>
        <w:t>科</w:t>
      </w:r>
      <w:r>
        <w:rPr>
          <w:rFonts w:hint="eastAsia"/>
          <w:sz w:val="32"/>
          <w:szCs w:val="32"/>
        </w:rPr>
        <w:t>、个人所得税</w:t>
      </w:r>
      <w:r>
        <w:rPr>
          <w:rFonts w:hint="eastAsia"/>
          <w:sz w:val="32"/>
          <w:szCs w:val="32"/>
          <w:lang w:eastAsia="zh-CN"/>
        </w:rPr>
        <w:t>科</w:t>
      </w:r>
      <w:r>
        <w:rPr>
          <w:rFonts w:hint="eastAsia"/>
          <w:sz w:val="32"/>
          <w:szCs w:val="32"/>
        </w:rPr>
        <w:t>、财产和行为税</w:t>
      </w:r>
      <w:r>
        <w:rPr>
          <w:rFonts w:hint="eastAsia"/>
          <w:sz w:val="32"/>
          <w:szCs w:val="32"/>
          <w:lang w:eastAsia="zh-CN"/>
        </w:rPr>
        <w:t>科</w:t>
      </w:r>
      <w:r>
        <w:rPr>
          <w:rFonts w:hint="eastAsia"/>
          <w:sz w:val="32"/>
          <w:szCs w:val="32"/>
        </w:rPr>
        <w:t>、</w:t>
      </w:r>
      <w:r>
        <w:rPr>
          <w:rFonts w:hint="eastAsia"/>
          <w:sz w:val="32"/>
          <w:szCs w:val="32"/>
          <w:lang w:eastAsia="zh-CN"/>
        </w:rPr>
        <w:t>社会保险费和非税收入科</w:t>
      </w:r>
      <w:r>
        <w:rPr>
          <w:rFonts w:hint="eastAsia"/>
          <w:sz w:val="32"/>
          <w:szCs w:val="32"/>
        </w:rPr>
        <w:t>、收入核算</w:t>
      </w:r>
      <w:r>
        <w:rPr>
          <w:rFonts w:hint="eastAsia"/>
          <w:sz w:val="32"/>
          <w:szCs w:val="32"/>
          <w:lang w:eastAsia="zh-CN"/>
        </w:rPr>
        <w:t>科</w:t>
      </w:r>
      <w:r>
        <w:rPr>
          <w:rFonts w:hint="eastAsia"/>
          <w:sz w:val="32"/>
          <w:szCs w:val="32"/>
        </w:rPr>
        <w:t>、纳税服务</w:t>
      </w:r>
      <w:r>
        <w:rPr>
          <w:rFonts w:hint="eastAsia"/>
          <w:sz w:val="32"/>
          <w:szCs w:val="32"/>
          <w:lang w:eastAsia="zh-CN"/>
        </w:rPr>
        <w:t>科</w:t>
      </w:r>
      <w:r>
        <w:rPr>
          <w:rFonts w:hint="eastAsia"/>
          <w:sz w:val="32"/>
          <w:szCs w:val="32"/>
        </w:rPr>
        <w:t>、征管</w:t>
      </w:r>
      <w:r>
        <w:rPr>
          <w:rFonts w:hint="eastAsia"/>
          <w:sz w:val="32"/>
          <w:szCs w:val="32"/>
          <w:lang w:eastAsia="zh-CN"/>
        </w:rPr>
        <w:t>管理科</w:t>
      </w:r>
      <w:r>
        <w:rPr>
          <w:rFonts w:hint="eastAsia"/>
          <w:sz w:val="32"/>
          <w:szCs w:val="32"/>
        </w:rPr>
        <w:t>、税收经济分析</w:t>
      </w:r>
      <w:r>
        <w:rPr>
          <w:rFonts w:hint="eastAsia"/>
          <w:sz w:val="32"/>
          <w:szCs w:val="32"/>
          <w:lang w:eastAsia="zh-CN"/>
        </w:rPr>
        <w:t>科</w:t>
      </w:r>
      <w:r>
        <w:rPr>
          <w:rFonts w:hint="eastAsia"/>
          <w:sz w:val="32"/>
          <w:szCs w:val="32"/>
        </w:rPr>
        <w:t>、税收风险管理局、财务管理</w:t>
      </w:r>
      <w:r>
        <w:rPr>
          <w:rFonts w:hint="eastAsia"/>
          <w:sz w:val="32"/>
          <w:szCs w:val="32"/>
          <w:lang w:eastAsia="zh-CN"/>
        </w:rPr>
        <w:t>科</w:t>
      </w:r>
      <w:r>
        <w:rPr>
          <w:rFonts w:hint="eastAsia"/>
          <w:sz w:val="32"/>
          <w:szCs w:val="32"/>
        </w:rPr>
        <w:t>、人事</w:t>
      </w:r>
      <w:r>
        <w:rPr>
          <w:rFonts w:hint="eastAsia"/>
          <w:sz w:val="32"/>
          <w:szCs w:val="32"/>
          <w:lang w:eastAsia="zh-CN"/>
        </w:rPr>
        <w:t>教育科</w:t>
      </w:r>
      <w:r>
        <w:rPr>
          <w:rFonts w:hint="eastAsia"/>
          <w:sz w:val="32"/>
          <w:szCs w:val="32"/>
        </w:rPr>
        <w:t>、考核考评</w:t>
      </w:r>
      <w:r>
        <w:rPr>
          <w:rFonts w:hint="eastAsia"/>
          <w:sz w:val="32"/>
          <w:szCs w:val="32"/>
          <w:lang w:eastAsia="zh-CN"/>
        </w:rPr>
        <w:t>科</w:t>
      </w:r>
      <w:r>
        <w:rPr>
          <w:rFonts w:hint="eastAsia"/>
          <w:sz w:val="32"/>
          <w:szCs w:val="32"/>
        </w:rPr>
        <w:t>、</w:t>
      </w:r>
      <w:r>
        <w:rPr>
          <w:rFonts w:hint="eastAsia"/>
          <w:sz w:val="32"/>
          <w:szCs w:val="32"/>
          <w:lang w:eastAsia="zh-CN"/>
        </w:rPr>
        <w:t>机关党委、老干部科</w:t>
      </w:r>
      <w:r>
        <w:rPr>
          <w:rFonts w:hint="eastAsia"/>
          <w:sz w:val="32"/>
          <w:szCs w:val="32"/>
        </w:rPr>
        <w:t>。</w:t>
      </w:r>
    </w:p>
    <w:p>
      <w:pPr>
        <w:pStyle w:val="4"/>
        <w:snapToGrid w:val="0"/>
        <w:spacing w:line="600" w:lineRule="exact"/>
        <w:ind w:firstLine="643" w:firstLineChars="200"/>
        <w:rPr>
          <w:sz w:val="32"/>
          <w:szCs w:val="32"/>
        </w:rPr>
      </w:pPr>
      <w:r>
        <w:rPr>
          <w:rFonts w:hint="eastAsia"/>
          <w:b/>
          <w:sz w:val="32"/>
          <w:szCs w:val="32"/>
        </w:rPr>
        <w:t>（二）派出机构</w:t>
      </w:r>
      <w:r>
        <w:rPr>
          <w:rFonts w:hint="eastAsia"/>
          <w:sz w:val="32"/>
          <w:szCs w:val="32"/>
        </w:rPr>
        <w:t>：第一税务分局（</w:t>
      </w:r>
      <w:r>
        <w:rPr>
          <w:rFonts w:hint="eastAsia"/>
          <w:sz w:val="32"/>
          <w:szCs w:val="32"/>
          <w:lang w:eastAsia="zh-CN"/>
        </w:rPr>
        <w:t>重点税源企业税收服务和管理局</w:t>
      </w:r>
      <w:r>
        <w:rPr>
          <w:rFonts w:hint="eastAsia"/>
          <w:sz w:val="32"/>
          <w:szCs w:val="32"/>
        </w:rPr>
        <w:t>）、稽查局</w:t>
      </w:r>
      <w:r>
        <w:rPr>
          <w:rFonts w:hint="eastAsia"/>
          <w:sz w:val="32"/>
          <w:szCs w:val="32"/>
          <w:lang w:eastAsia="zh-CN"/>
        </w:rPr>
        <w:t>、第一稽查局</w:t>
      </w:r>
      <w:r>
        <w:rPr>
          <w:rFonts w:hint="eastAsia"/>
          <w:sz w:val="32"/>
          <w:szCs w:val="32"/>
        </w:rPr>
        <w:t>。</w:t>
      </w:r>
    </w:p>
    <w:p>
      <w:pPr>
        <w:pStyle w:val="4"/>
        <w:snapToGrid w:val="0"/>
        <w:spacing w:line="600" w:lineRule="exact"/>
        <w:ind w:firstLine="643" w:firstLineChars="200"/>
        <w:rPr>
          <w:sz w:val="32"/>
          <w:szCs w:val="32"/>
        </w:rPr>
      </w:pPr>
      <w:r>
        <w:rPr>
          <w:rFonts w:hint="eastAsia"/>
          <w:b/>
          <w:sz w:val="32"/>
          <w:szCs w:val="32"/>
        </w:rPr>
        <w:t>（三）事业单位</w:t>
      </w:r>
      <w:r>
        <w:rPr>
          <w:rFonts w:hint="eastAsia"/>
          <w:sz w:val="32"/>
          <w:szCs w:val="32"/>
        </w:rPr>
        <w:t>：纳税服务中心（税收宣传中心）、信息中心、机关服务中心。</w:t>
      </w:r>
    </w:p>
    <w:p>
      <w:pPr>
        <w:pStyle w:val="4"/>
        <w:snapToGrid w:val="0"/>
        <w:spacing w:line="600" w:lineRule="exact"/>
        <w:ind w:firstLine="643" w:firstLineChars="200"/>
        <w:rPr>
          <w:b/>
          <w:sz w:val="32"/>
          <w:szCs w:val="32"/>
        </w:rPr>
      </w:pPr>
      <w:r>
        <w:rPr>
          <w:rFonts w:hint="eastAsia"/>
          <w:b/>
          <w:sz w:val="32"/>
          <w:szCs w:val="32"/>
        </w:rPr>
        <w:t>（四）所属机构</w:t>
      </w:r>
    </w:p>
    <w:p>
      <w:pPr>
        <w:adjustRightInd w:val="0"/>
        <w:snapToGrid w:val="0"/>
        <w:spacing w:line="600" w:lineRule="exact"/>
        <w:ind w:firstLine="640" w:firstLineChars="200"/>
        <w:rPr>
          <w:rFonts w:ascii="仿宋_GB2312" w:eastAsia="仿宋_GB2312" w:cs="仿宋_GB2312" w:hAnsiTheme="minorHAnsi"/>
          <w:color w:val="000000"/>
          <w:kern w:val="0"/>
          <w:sz w:val="32"/>
          <w:szCs w:val="32"/>
        </w:rPr>
      </w:pPr>
      <w:r>
        <w:rPr>
          <w:rFonts w:hint="eastAsia" w:ascii="仿宋_GB2312" w:eastAsia="仿宋_GB2312" w:cs="仿宋_GB2312" w:hAnsiTheme="minorHAnsi"/>
          <w:color w:val="000000"/>
          <w:kern w:val="0"/>
          <w:sz w:val="32"/>
          <w:szCs w:val="32"/>
          <w:lang w:val="en-US" w:eastAsia="zh-CN" w:bidi="ar-SA"/>
        </w:rPr>
        <w:t>国家税务总局克拉玛依市税务局机关人员编制与实有人数均按合并后规模统计。实有编制数230人，其中：行政215人，事业15人。实有人数298</w:t>
      </w:r>
      <w:r>
        <w:rPr>
          <w:rFonts w:hint="eastAsia" w:ascii="仿宋_GB2312" w:eastAsia="仿宋_GB2312" w:cs="仿宋_GB2312" w:hAnsiTheme="minorHAnsi"/>
          <w:color w:val="000000"/>
          <w:kern w:val="0"/>
          <w:sz w:val="32"/>
          <w:szCs w:val="32"/>
        </w:rPr>
        <w:t>人，其中：在职</w:t>
      </w:r>
      <w:r>
        <w:rPr>
          <w:rFonts w:hint="eastAsia" w:ascii="仿宋_GB2312" w:eastAsia="仿宋_GB2312" w:cs="仿宋_GB2312" w:hAnsiTheme="minorHAnsi"/>
          <w:color w:val="000000"/>
          <w:kern w:val="0"/>
          <w:sz w:val="32"/>
          <w:szCs w:val="32"/>
          <w:lang w:val="en-US" w:eastAsia="zh-CN"/>
        </w:rPr>
        <w:t>202</w:t>
      </w:r>
      <w:r>
        <w:rPr>
          <w:rFonts w:hint="eastAsia" w:ascii="仿宋_GB2312" w:eastAsia="仿宋_GB2312" w:cs="仿宋_GB2312" w:hAnsiTheme="minorHAnsi"/>
          <w:color w:val="000000"/>
          <w:kern w:val="0"/>
          <w:sz w:val="32"/>
          <w:szCs w:val="32"/>
        </w:rPr>
        <w:t>人，退休</w:t>
      </w:r>
      <w:r>
        <w:rPr>
          <w:rFonts w:hint="eastAsia" w:ascii="仿宋_GB2312" w:eastAsia="仿宋_GB2312" w:cs="仿宋_GB2312" w:hAnsiTheme="minorHAnsi"/>
          <w:color w:val="000000"/>
          <w:kern w:val="0"/>
          <w:sz w:val="32"/>
          <w:szCs w:val="32"/>
          <w:lang w:val="en-US" w:eastAsia="zh-CN"/>
        </w:rPr>
        <w:t>96</w:t>
      </w:r>
      <w:r>
        <w:rPr>
          <w:rFonts w:hint="eastAsia" w:ascii="仿宋_GB2312" w:eastAsia="仿宋_GB2312" w:cs="仿宋_GB2312" w:hAnsiTheme="minorHAnsi"/>
          <w:color w:val="000000"/>
          <w:kern w:val="0"/>
          <w:sz w:val="32"/>
          <w:szCs w:val="32"/>
        </w:rPr>
        <w:t>人。实有人数增加</w:t>
      </w:r>
      <w:r>
        <w:rPr>
          <w:rFonts w:hint="eastAsia" w:ascii="仿宋_GB2312" w:eastAsia="仿宋_GB2312" w:cs="仿宋_GB2312" w:hAnsiTheme="minorHAnsi"/>
          <w:color w:val="000000"/>
          <w:kern w:val="0"/>
          <w:sz w:val="32"/>
          <w:szCs w:val="32"/>
          <w:lang w:val="en-US" w:eastAsia="zh-CN"/>
        </w:rPr>
        <w:t>214</w:t>
      </w:r>
      <w:r>
        <w:rPr>
          <w:rFonts w:hint="eastAsia" w:ascii="仿宋_GB2312" w:eastAsia="仿宋_GB2312" w:cs="仿宋_GB2312" w:hAnsiTheme="minorHAnsi"/>
          <w:color w:val="000000"/>
          <w:kern w:val="0"/>
          <w:sz w:val="32"/>
          <w:szCs w:val="32"/>
        </w:rPr>
        <w:t>人，其中在职</w:t>
      </w:r>
      <w:r>
        <w:rPr>
          <w:rFonts w:hint="eastAsia" w:ascii="仿宋_GB2312" w:eastAsia="仿宋_GB2312" w:cs="仿宋_GB2312" w:hAnsiTheme="minorHAnsi"/>
          <w:color w:val="000000"/>
          <w:kern w:val="0"/>
          <w:sz w:val="32"/>
          <w:szCs w:val="32"/>
          <w:lang w:val="en-US" w:eastAsia="zh-CN"/>
        </w:rPr>
        <w:t>148</w:t>
      </w:r>
      <w:r>
        <w:rPr>
          <w:rFonts w:hint="eastAsia" w:ascii="仿宋_GB2312" w:eastAsia="仿宋_GB2312" w:cs="仿宋_GB2312" w:hAnsiTheme="minorHAnsi"/>
          <w:color w:val="000000"/>
          <w:kern w:val="0"/>
          <w:sz w:val="32"/>
          <w:szCs w:val="32"/>
        </w:rPr>
        <w:t>人，退休</w:t>
      </w:r>
      <w:r>
        <w:rPr>
          <w:rFonts w:hint="eastAsia" w:ascii="仿宋_GB2312" w:eastAsia="仿宋_GB2312" w:cs="仿宋_GB2312" w:hAnsiTheme="minorHAnsi"/>
          <w:color w:val="000000"/>
          <w:kern w:val="0"/>
          <w:sz w:val="32"/>
          <w:szCs w:val="32"/>
          <w:lang w:val="en-US" w:eastAsia="zh-CN"/>
        </w:rPr>
        <w:t>66</w:t>
      </w:r>
      <w:r>
        <w:rPr>
          <w:rFonts w:hint="eastAsia" w:ascii="仿宋_GB2312" w:eastAsia="仿宋_GB2312" w:cs="仿宋_GB2312" w:hAnsiTheme="minorHAnsi"/>
          <w:color w:val="000000"/>
          <w:kern w:val="0"/>
          <w:sz w:val="32"/>
          <w:szCs w:val="32"/>
        </w:rPr>
        <w:t>人。</w:t>
      </w:r>
    </w:p>
    <w:p>
      <w:pPr>
        <w:adjustRightInd w:val="0"/>
        <w:snapToGrid w:val="0"/>
        <w:spacing w:line="600" w:lineRule="exact"/>
        <w:ind w:firstLine="640" w:firstLineChars="200"/>
        <w:rPr>
          <w:rFonts w:ascii="仿宋_GB2312" w:eastAsia="仿宋_GB2312" w:cs="仿宋_GB2312" w:hAnsiTheme="minorHAnsi"/>
          <w:color w:val="000000"/>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第二部分  2019年部门预算公开表</w:t>
      </w:r>
    </w:p>
    <w:p>
      <w:pPr>
        <w:widowControl/>
        <w:adjustRightInd w:val="0"/>
        <w:snapToGrid w:val="0"/>
        <w:spacing w:line="60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84"/>
        <w:gridCol w:w="2084"/>
        <w:gridCol w:w="2084"/>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7"/>
                <w:lang w:val="en-US" w:eastAsia="zh-CN" w:bidi="ar"/>
              </w:rPr>
              <w:t>2019年预算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7"/>
                <w:lang w:val="en-US" w:eastAsia="zh-CN" w:bidi="ar"/>
              </w:rPr>
              <w:t>2019年预算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财政拨款（补助）</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 一般公共服务支出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 外交支出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 国防支出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财政专户管理资金（教育收费）</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 公共安全支出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 教育支出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 科学技术支出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 文化旅游体育与传媒支出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 社会保障和就业支出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 社会保险基金支出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 卫生健康支出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 节能环保支出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 城乡社区支出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 农林水支出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 交通运输支出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 资源勘探信息等支出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 商业服务业等支出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 金融支出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 援助其他地区支出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 自然资源海洋气象等支出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 住房保障支出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 粮油物资储备支出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 国有资本经营预算支出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 灾害防治及应急管理支出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 预备费</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 其他支出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债务还本支出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 债务付息支出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 债务发行费支出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20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单位上年结余（不包括国库集中支付额度结余）</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 转移性支出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  总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  合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r>
    </w:tbl>
    <w:p>
      <w:pPr>
        <w:widowControl/>
        <w:adjustRightInd w:val="0"/>
        <w:snapToGrid w:val="0"/>
        <w:spacing w:line="600" w:lineRule="exact"/>
        <w:outlineLvl w:val="1"/>
        <w:rPr>
          <w:rFonts w:hint="eastAsia" w:ascii="仿宋_GB2312" w:hAnsi="宋体" w:eastAsia="仿宋_GB2312"/>
          <w:kern w:val="0"/>
          <w:sz w:val="32"/>
          <w:szCs w:val="32"/>
        </w:rPr>
      </w:pPr>
    </w:p>
    <w:p>
      <w:pPr>
        <w:widowControl/>
        <w:numPr>
          <w:ilvl w:val="0"/>
          <w:numId w:val="1"/>
        </w:numPr>
        <w:adjustRightInd w:val="0"/>
        <w:snapToGrid w:val="0"/>
        <w:spacing w:line="60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部门收入总体情况表</w:t>
      </w:r>
    </w:p>
    <w:tbl>
      <w:tblPr>
        <w:tblStyle w:val="3"/>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6"/>
        <w:gridCol w:w="366"/>
        <w:gridCol w:w="366"/>
        <w:gridCol w:w="1469"/>
        <w:gridCol w:w="857"/>
        <w:gridCol w:w="787"/>
        <w:gridCol w:w="513"/>
        <w:gridCol w:w="601"/>
        <w:gridCol w:w="601"/>
        <w:gridCol w:w="601"/>
        <w:gridCol w:w="600"/>
        <w:gridCol w:w="601"/>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1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46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6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财政专户管理资金（教育收费）</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46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226.39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226.39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131.86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131.86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numPr>
          <w:ilvl w:val="0"/>
          <w:numId w:val="0"/>
        </w:numPr>
        <w:adjustRightInd w:val="0"/>
        <w:snapToGrid w:val="0"/>
        <w:spacing w:line="600" w:lineRule="exact"/>
        <w:outlineLvl w:val="1"/>
        <w:rPr>
          <w:rFonts w:hint="eastAsia" w:ascii="仿宋_GB2312" w:hAnsi="宋体" w:eastAsia="仿宋_GB2312"/>
          <w:kern w:val="0"/>
          <w:sz w:val="32"/>
          <w:szCs w:val="32"/>
        </w:rPr>
      </w:pPr>
    </w:p>
    <w:p>
      <w:pPr>
        <w:widowControl/>
        <w:numPr>
          <w:ilvl w:val="0"/>
          <w:numId w:val="1"/>
        </w:numPr>
        <w:adjustRightInd w:val="0"/>
        <w:snapToGrid w:val="0"/>
        <w:spacing w:line="600" w:lineRule="exact"/>
        <w:ind w:left="0" w:leftChars="0" w:firstLine="0" w:firstLineChars="0"/>
        <w:outlineLvl w:val="1"/>
        <w:rPr>
          <w:rFonts w:hint="eastAsia" w:ascii="仿宋_GB2312" w:hAnsi="宋体" w:eastAsia="仿宋_GB2312"/>
          <w:kern w:val="0"/>
          <w:sz w:val="32"/>
          <w:szCs w:val="32"/>
        </w:rPr>
      </w:pPr>
      <w:r>
        <w:rPr>
          <w:rFonts w:hint="eastAsia" w:ascii="仿宋_GB2312" w:hAnsi="宋体" w:eastAsia="仿宋_GB2312"/>
          <w:kern w:val="0"/>
          <w:sz w:val="32"/>
          <w:szCs w:val="32"/>
        </w:rPr>
        <w:t>部门支出总体情况表</w:t>
      </w:r>
    </w:p>
    <w:tbl>
      <w:tblPr>
        <w:tblStyle w:val="3"/>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9"/>
        <w:gridCol w:w="389"/>
        <w:gridCol w:w="389"/>
        <w:gridCol w:w="2221"/>
        <w:gridCol w:w="1789"/>
        <w:gridCol w:w="1673"/>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支出预算</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2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78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2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7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8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numPr>
          <w:ilvl w:val="0"/>
          <w:numId w:val="0"/>
        </w:numPr>
        <w:adjustRightInd w:val="0"/>
        <w:snapToGrid w:val="0"/>
        <w:spacing w:line="600" w:lineRule="exact"/>
        <w:ind w:leftChars="0"/>
        <w:outlineLvl w:val="1"/>
        <w:rPr>
          <w:rFonts w:hint="eastAsia"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3"/>
        <w:gridCol w:w="1463"/>
        <w:gridCol w:w="1464"/>
        <w:gridCol w:w="1315"/>
        <w:gridCol w:w="131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            入</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  能  分  类</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合</w:t>
            </w:r>
            <w:r>
              <w:rPr>
                <w:rStyle w:val="6"/>
                <w:rFonts w:eastAsia="宋体"/>
                <w:lang w:val="en-US" w:eastAsia="zh-CN" w:bidi="ar"/>
              </w:rPr>
              <w:t xml:space="preserve">           </w:t>
            </w:r>
            <w:r>
              <w:rPr>
                <w:rStyle w:val="5"/>
                <w:lang w:val="en-US" w:eastAsia="zh-CN" w:bidi="ar"/>
              </w:rPr>
              <w:t>计</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一  般  公  共  预  算</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基</w:t>
            </w:r>
            <w:r>
              <w:rPr>
                <w:rStyle w:val="6"/>
                <w:rFonts w:eastAsia="宋体"/>
                <w:lang w:val="en-US" w:eastAsia="zh-CN" w:bidi="ar"/>
              </w:rPr>
              <w:t xml:space="preserve">   </w:t>
            </w:r>
            <w:r>
              <w:rPr>
                <w:rStyle w:val="5"/>
                <w:lang w:val="en-US" w:eastAsia="zh-CN" w:bidi="ar"/>
              </w:rPr>
              <w:t>金</w:t>
            </w:r>
            <w:r>
              <w:rPr>
                <w:rStyle w:val="6"/>
                <w:rFonts w:eastAsia="宋体"/>
                <w:lang w:val="en-US" w:eastAsia="zh-CN" w:bidi="ar"/>
              </w:rPr>
              <w:t xml:space="preserve">   </w:t>
            </w:r>
            <w:r>
              <w:rPr>
                <w:rStyle w:val="5"/>
                <w:lang w:val="en-US" w:eastAsia="zh-CN" w:bidi="ar"/>
              </w:rPr>
              <w:t>预</w:t>
            </w:r>
            <w:r>
              <w:rPr>
                <w:rStyle w:val="6"/>
                <w:rFonts w:eastAsia="宋体"/>
                <w:lang w:val="en-US" w:eastAsia="zh-CN" w:bidi="ar"/>
              </w:rPr>
              <w:t xml:space="preserve">   </w:t>
            </w:r>
            <w:r>
              <w:rPr>
                <w:rStyle w:val="5"/>
                <w:lang w:val="en-US" w:eastAsia="zh-CN" w:bidi="ar"/>
              </w:rPr>
              <w:t>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财政拨款（补助）</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 一般公共服务支出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 外交支出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 国防支出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 公共安全支出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 教育支出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 科学技术支出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 文化旅游体育与传媒支出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 社会保障和就业支出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 社会保险基金支出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 卫生健康支出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 节能环保支出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 城乡社区支出</w:t>
            </w:r>
          </w:p>
        </w:tc>
        <w:tc>
          <w:tcPr>
            <w:tcW w:w="131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 农林水支出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 交通运输支出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 资源勘探信息等支出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 商业服务业等支出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 金融支出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 援助其他地区支出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 自然资源海洋气象等支出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 住房保障支出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 粮油物资储备支出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223 国有资本经营预算支出</w:t>
            </w:r>
          </w:p>
        </w:tc>
        <w:tc>
          <w:tcPr>
            <w:tcW w:w="13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 灾害防治及应急管理支出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 预备费</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 其他支出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231 债务还本支出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232 债务付息支出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233 债务发行费支出</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4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 转移性支出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FF"/>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  总  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  合  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3"/>
        <w:gridCol w:w="462"/>
        <w:gridCol w:w="417"/>
        <w:gridCol w:w="2854"/>
        <w:gridCol w:w="1468"/>
        <w:gridCol w:w="1341"/>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8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46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8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4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4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9"/>
        <w:gridCol w:w="532"/>
        <w:gridCol w:w="3160"/>
        <w:gridCol w:w="1484"/>
        <w:gridCol w:w="1371"/>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316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经济分类科目名称</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16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84"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2,113.46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2,113.46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1,887.07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1,887.07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1,355.09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1,355.09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tbl>
      <w:tblPr>
        <w:tblStyle w:val="3"/>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1"/>
        <w:gridCol w:w="381"/>
        <w:gridCol w:w="381"/>
        <w:gridCol w:w="1337"/>
        <w:gridCol w:w="1476"/>
        <w:gridCol w:w="413"/>
        <w:gridCol w:w="414"/>
        <w:gridCol w:w="414"/>
        <w:gridCol w:w="413"/>
        <w:gridCol w:w="414"/>
        <w:gridCol w:w="414"/>
        <w:gridCol w:w="413"/>
        <w:gridCol w:w="414"/>
        <w:gridCol w:w="414"/>
        <w:gridCol w:w="413"/>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7" w:hRule="atLeast"/>
        </w:trPr>
        <w:tc>
          <w:tcPr>
            <w:tcW w:w="11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3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项目支出合计</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资本性支出（基本建设）</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对企业补助（基本建设）</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对社会保障基金补助</w:t>
            </w: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3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7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75"/>
        <w:gridCol w:w="1287"/>
        <w:gridCol w:w="929"/>
        <w:gridCol w:w="944"/>
        <w:gridCol w:w="944"/>
        <w:gridCol w:w="943"/>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  位 </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8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公务用车运行费</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
        <w:gridCol w:w="418"/>
        <w:gridCol w:w="392"/>
        <w:gridCol w:w="2759"/>
        <w:gridCol w:w="1622"/>
        <w:gridCol w:w="137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7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62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4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6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7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lang w:eastAsia="zh-CN"/>
        </w:rPr>
        <w:t>国家税务总局克拉玛依市税务局机关</w:t>
      </w:r>
      <w:r>
        <w:rPr>
          <w:rFonts w:hint="eastAsia" w:ascii="仿宋_GB2312" w:hAnsi="宋体" w:eastAsia="仿宋_GB2312"/>
          <w:kern w:val="0"/>
          <w:sz w:val="32"/>
          <w:szCs w:val="32"/>
        </w:rPr>
        <w:t>没有政府性基金，本表为空表</w:t>
      </w:r>
    </w:p>
    <w:p>
      <w:pPr>
        <w:widowControl/>
        <w:adjustRightInd w:val="0"/>
        <w:snapToGrid w:val="0"/>
        <w:spacing w:line="600" w:lineRule="exact"/>
        <w:outlineLvl w:val="1"/>
        <w:rPr>
          <w:rFonts w:ascii="仿宋_GB2312" w:hAnsi="宋体" w:eastAsia="仿宋_GB2312"/>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第三部分  2019年部门预算情况说明</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2019年收支预算情况的总体说明</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lang w:eastAsia="zh-CN"/>
        </w:rPr>
        <w:t>国家税务总局克拉玛依市税务局机关</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所有收入和支出均纳入部门预算管理。收支总预算</w:t>
      </w:r>
      <w:r>
        <w:rPr>
          <w:rFonts w:hint="eastAsia" w:ascii="仿宋_GB2312" w:hAnsi="宋体" w:eastAsia="仿宋_GB2312"/>
          <w:kern w:val="0"/>
          <w:sz w:val="32"/>
          <w:szCs w:val="32"/>
          <w:lang w:val="en-US" w:eastAsia="zh-CN"/>
        </w:rPr>
        <w:t>2139.28</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二、关于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2019年收入预算情况说明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国家税务总局克拉玛依市税务局机关</w:t>
      </w:r>
      <w:r>
        <w:rPr>
          <w:rFonts w:hint="eastAsia" w:ascii="仿宋_GB2312" w:hAnsi="宋体" w:eastAsia="仿宋_GB2312" w:cs="宋体"/>
          <w:kern w:val="0"/>
          <w:sz w:val="32"/>
          <w:szCs w:val="32"/>
        </w:rPr>
        <w:t>收入预算</w:t>
      </w:r>
      <w:r>
        <w:rPr>
          <w:rFonts w:hint="eastAsia" w:ascii="仿宋_GB2312" w:hAnsi="宋体" w:eastAsia="仿宋_GB2312"/>
          <w:kern w:val="0"/>
          <w:sz w:val="32"/>
          <w:szCs w:val="32"/>
          <w:lang w:val="en-US" w:eastAsia="zh-CN"/>
        </w:rPr>
        <w:t>2139.28</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元，其中：</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kern w:val="0"/>
          <w:sz w:val="32"/>
          <w:szCs w:val="32"/>
          <w:lang w:val="en-US" w:eastAsia="zh-CN"/>
        </w:rPr>
        <w:t>2139.28</w:t>
      </w:r>
      <w:r>
        <w:rPr>
          <w:rFonts w:hint="eastAsia" w:ascii="仿宋_GB2312" w:hAnsi="宋体" w:eastAsia="仿宋_GB2312" w:cs="宋体"/>
          <w:kern w:val="0"/>
          <w:sz w:val="32"/>
          <w:szCs w:val="32"/>
        </w:rPr>
        <w:t>万元，占100 %，比上年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920.4</w:t>
      </w:r>
      <w:r>
        <w:rPr>
          <w:rFonts w:hint="eastAsia" w:ascii="仿宋_GB2312" w:hAnsi="宋体" w:eastAsia="仿宋_GB2312" w:cs="宋体"/>
          <w:kern w:val="0"/>
          <w:sz w:val="32"/>
          <w:szCs w:val="32"/>
        </w:rPr>
        <w:t>万元，主要原因是2018年国地税征管改革，原</w:t>
      </w:r>
      <w:r>
        <w:rPr>
          <w:rFonts w:hint="eastAsia" w:ascii="仿宋_GB2312" w:hAnsi="宋体" w:eastAsia="仿宋_GB2312" w:cs="宋体"/>
          <w:kern w:val="0"/>
          <w:sz w:val="32"/>
          <w:szCs w:val="32"/>
          <w:lang w:eastAsia="zh-CN"/>
        </w:rPr>
        <w:t>克拉玛依市</w:t>
      </w:r>
      <w:r>
        <w:rPr>
          <w:rFonts w:hint="eastAsia" w:ascii="仿宋_GB2312" w:hAnsi="宋体" w:eastAsia="仿宋_GB2312"/>
          <w:kern w:val="0"/>
          <w:sz w:val="32"/>
          <w:szCs w:val="32"/>
        </w:rPr>
        <w:t>地方税务局与原</w:t>
      </w:r>
      <w:r>
        <w:rPr>
          <w:rFonts w:hint="eastAsia" w:ascii="仿宋_GB2312" w:hAnsi="宋体" w:eastAsia="仿宋_GB2312"/>
          <w:kern w:val="0"/>
          <w:sz w:val="32"/>
          <w:szCs w:val="32"/>
          <w:lang w:eastAsia="zh-CN"/>
        </w:rPr>
        <w:t>克拉玛依市</w:t>
      </w:r>
      <w:r>
        <w:rPr>
          <w:rFonts w:hint="eastAsia" w:ascii="仿宋_GB2312" w:hAnsi="宋体" w:eastAsia="仿宋_GB2312"/>
          <w:kern w:val="0"/>
          <w:sz w:val="32"/>
          <w:szCs w:val="32"/>
        </w:rPr>
        <w:t>国税局合并为</w:t>
      </w: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 xml:space="preserve">，经费保障体制随之发生变化，自治区财政保障范围为按照国家政策执行属地标准的工资项目，及其涉及的养老保险缴费、医疗保险缴费、住房公积金等单位按照规定缴存部分；按照国家政策执行地方标准的丧葬费、遗属补助等。    </w:t>
      </w:r>
    </w:p>
    <w:p>
      <w:pPr>
        <w:widowControl/>
        <w:adjustRightInd w:val="0"/>
        <w:snapToGrid w:val="0"/>
        <w:spacing w:line="600" w:lineRule="exact"/>
        <w:ind w:firstLine="640"/>
        <w:jc w:val="left"/>
        <w:rPr>
          <w:rFonts w:ascii="仿宋_GB2312" w:hAnsi="宋体" w:eastAsia="仿宋_GB2312"/>
          <w:kern w:val="0"/>
          <w:sz w:val="32"/>
          <w:szCs w:val="32"/>
        </w:rPr>
      </w:pPr>
      <w:r>
        <w:rPr>
          <w:rFonts w:hint="eastAsia" w:ascii="仿宋_GB2312" w:hAnsi="宋体" w:eastAsia="仿宋_GB2312"/>
          <w:kern w:val="0"/>
          <w:sz w:val="32"/>
          <w:szCs w:val="32"/>
        </w:rPr>
        <w:t>政府性基金预算未安排。</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三、关于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2019年支出预算情况说明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支出预算</w:t>
      </w:r>
      <w:r>
        <w:rPr>
          <w:rFonts w:hint="eastAsia" w:ascii="仿宋_GB2312" w:hAnsi="宋体" w:eastAsia="仿宋_GB2312"/>
          <w:kern w:val="0"/>
          <w:sz w:val="32"/>
          <w:szCs w:val="32"/>
          <w:lang w:val="en-US" w:eastAsia="zh-CN"/>
        </w:rPr>
        <w:t>2139.28</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元，其中：</w:t>
      </w:r>
    </w:p>
    <w:p>
      <w:pPr>
        <w:adjustRightInd w:val="0"/>
        <w:snapToGrid w:val="0"/>
        <w:spacing w:line="6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kern w:val="0"/>
          <w:sz w:val="32"/>
          <w:szCs w:val="32"/>
          <w:lang w:val="en-US" w:eastAsia="zh-CN"/>
        </w:rPr>
        <w:t>2139.28</w:t>
      </w:r>
      <w:r>
        <w:rPr>
          <w:rFonts w:hint="eastAsia" w:ascii="仿宋_GB2312" w:hAnsi="宋体" w:eastAsia="仿宋_GB2312" w:cs="宋体"/>
          <w:kern w:val="0"/>
          <w:sz w:val="32"/>
          <w:szCs w:val="32"/>
        </w:rPr>
        <w:t>万元，占100%，比上年增加</w:t>
      </w:r>
      <w:r>
        <w:rPr>
          <w:rFonts w:hint="eastAsia" w:ascii="仿宋_GB2312" w:hAnsi="宋体" w:eastAsia="仿宋_GB2312" w:cs="宋体"/>
          <w:kern w:val="0"/>
          <w:sz w:val="32"/>
          <w:szCs w:val="32"/>
          <w:lang w:val="en-US" w:eastAsia="zh-CN"/>
        </w:rPr>
        <w:t>1011.94</w:t>
      </w:r>
      <w:r>
        <w:rPr>
          <w:rFonts w:hint="eastAsia" w:ascii="仿宋_GB2312" w:hAnsi="宋体" w:eastAsia="仿宋_GB2312" w:cs="宋体"/>
          <w:kern w:val="0"/>
          <w:sz w:val="32"/>
          <w:szCs w:val="32"/>
        </w:rPr>
        <w:t>万元，原因是合并后人员增加</w:t>
      </w:r>
      <w:r>
        <w:rPr>
          <w:rFonts w:hint="eastAsia" w:ascii="仿宋_GB2312" w:hAnsi="宋体" w:eastAsia="仿宋_GB2312" w:cs="宋体"/>
          <w:kern w:val="0"/>
          <w:sz w:val="32"/>
          <w:szCs w:val="32"/>
          <w:lang w:val="en-US" w:eastAsia="zh-CN"/>
        </w:rPr>
        <w:t>214</w:t>
      </w:r>
      <w:r>
        <w:rPr>
          <w:rFonts w:hint="eastAsia" w:ascii="仿宋_GB2312" w:hAnsi="宋体" w:eastAsia="仿宋_GB2312" w:cs="宋体"/>
          <w:kern w:val="0"/>
          <w:sz w:val="32"/>
          <w:szCs w:val="32"/>
        </w:rPr>
        <w:t>人，其中在职增加</w:t>
      </w:r>
      <w:r>
        <w:rPr>
          <w:rFonts w:hint="eastAsia" w:ascii="仿宋_GB2312" w:hAnsi="宋体" w:eastAsia="仿宋_GB2312" w:cs="宋体"/>
          <w:kern w:val="0"/>
          <w:sz w:val="32"/>
          <w:szCs w:val="32"/>
          <w:lang w:val="en-US" w:eastAsia="zh-CN"/>
        </w:rPr>
        <w:t>148</w:t>
      </w:r>
      <w:r>
        <w:rPr>
          <w:rFonts w:hint="eastAsia" w:ascii="仿宋_GB2312" w:hAnsi="宋体" w:eastAsia="仿宋_GB2312" w:cs="宋体"/>
          <w:kern w:val="0"/>
          <w:sz w:val="32"/>
          <w:szCs w:val="32"/>
        </w:rPr>
        <w:t>人，离退休增加</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 xml:space="preserve">人。项目支出预算未安排。   </w:t>
      </w:r>
    </w:p>
    <w:p>
      <w:pPr>
        <w:widowControl/>
        <w:adjustRightInd w:val="0"/>
        <w:snapToGrid w:val="0"/>
        <w:spacing w:line="600" w:lineRule="exact"/>
        <w:ind w:firstLine="640" w:firstLineChars="200"/>
        <w:outlineLvl w:val="1"/>
        <w:rPr>
          <w:rFonts w:ascii="黑体" w:hAnsi="黑体" w:eastAsia="黑体"/>
          <w:bCs/>
          <w:kern w:val="0"/>
          <w:sz w:val="32"/>
          <w:szCs w:val="32"/>
        </w:rPr>
      </w:pPr>
      <w:r>
        <w:rPr>
          <w:rFonts w:hint="eastAsia" w:ascii="黑体" w:hAnsi="黑体" w:eastAsia="黑体"/>
          <w:bCs/>
          <w:kern w:val="0"/>
          <w:sz w:val="32"/>
          <w:szCs w:val="32"/>
        </w:rPr>
        <w:t>四、关于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w:t>
      </w:r>
      <w:r>
        <w:rPr>
          <w:rFonts w:hint="eastAsia" w:ascii="黑体" w:hAnsi="黑体" w:eastAsia="黑体"/>
          <w:bCs/>
          <w:kern w:val="0"/>
          <w:sz w:val="32"/>
          <w:szCs w:val="32"/>
        </w:rPr>
        <w:t>财政拨款收支预算情况的总体说明</w:t>
      </w:r>
    </w:p>
    <w:p>
      <w:pPr>
        <w:adjustRightInd w:val="0"/>
        <w:snapToGrid w:val="0"/>
        <w:spacing w:line="600" w:lineRule="exact"/>
        <w:ind w:firstLine="640"/>
        <w:rPr>
          <w:rFonts w:ascii="仿宋_GB2312" w:hAnsi="宋体" w:eastAsia="仿宋_GB2312"/>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kern w:val="0"/>
          <w:sz w:val="32"/>
          <w:szCs w:val="32"/>
        </w:rPr>
        <w:t>019年财政拨款收支总预算</w:t>
      </w:r>
      <w:r>
        <w:rPr>
          <w:rFonts w:hint="eastAsia" w:ascii="仿宋_GB2312" w:hAnsi="宋体" w:eastAsia="仿宋_GB2312"/>
          <w:kern w:val="0"/>
          <w:sz w:val="32"/>
          <w:szCs w:val="32"/>
          <w:lang w:val="en-US" w:eastAsia="zh-CN"/>
        </w:rPr>
        <w:t>2139.28</w:t>
      </w:r>
      <w:r>
        <w:rPr>
          <w:rFonts w:hint="eastAsia" w:ascii="仿宋_GB2312" w:hAnsi="宋体" w:eastAsia="仿宋_GB2312"/>
          <w:kern w:val="0"/>
          <w:sz w:val="32"/>
          <w:szCs w:val="32"/>
        </w:rPr>
        <w:t>万元，其中2010701行政运行</w:t>
      </w:r>
      <w:r>
        <w:rPr>
          <w:rFonts w:hint="eastAsia" w:ascii="仿宋_GB2312" w:hAnsi="宋体" w:eastAsia="仿宋_GB2312"/>
          <w:kern w:val="0"/>
          <w:sz w:val="32"/>
          <w:szCs w:val="32"/>
          <w:lang w:val="en-US" w:eastAsia="zh-CN"/>
        </w:rPr>
        <w:t>1781.03</w:t>
      </w:r>
      <w:r>
        <w:rPr>
          <w:rFonts w:hint="eastAsia" w:ascii="仿宋_GB2312" w:hAnsi="宋体" w:eastAsia="仿宋_GB2312"/>
          <w:kern w:val="0"/>
          <w:sz w:val="32"/>
          <w:szCs w:val="32"/>
        </w:rPr>
        <w:t>万元，2080504未归口管理的行政单位离退休</w:t>
      </w:r>
      <w:r>
        <w:rPr>
          <w:rFonts w:hint="eastAsia" w:ascii="仿宋_GB2312" w:hAnsi="宋体" w:eastAsia="仿宋_GB2312"/>
          <w:kern w:val="0"/>
          <w:sz w:val="32"/>
          <w:szCs w:val="32"/>
          <w:lang w:val="en-US" w:eastAsia="zh-CN"/>
        </w:rPr>
        <w:t>226.39</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131.86</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收入全部为一般公共预算拨款，无政府性基金预算拨款。</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支出预算包括：一般公共服务支出</w:t>
      </w:r>
      <w:r>
        <w:rPr>
          <w:rFonts w:hint="eastAsia" w:ascii="仿宋_GB2312" w:hAnsi="宋体" w:eastAsia="仿宋_GB2312"/>
          <w:kern w:val="0"/>
          <w:sz w:val="32"/>
          <w:szCs w:val="32"/>
          <w:lang w:val="en-US" w:eastAsia="zh-CN"/>
        </w:rPr>
        <w:t>2139.28</w:t>
      </w:r>
      <w:r>
        <w:rPr>
          <w:rFonts w:hint="eastAsia" w:ascii="仿宋_GB2312" w:hAnsi="宋体" w:eastAsia="仿宋_GB2312"/>
          <w:kern w:val="0"/>
          <w:sz w:val="32"/>
          <w:szCs w:val="32"/>
        </w:rPr>
        <w:t>万元，其中2010701行政运行</w:t>
      </w:r>
      <w:r>
        <w:rPr>
          <w:rFonts w:hint="eastAsia" w:ascii="仿宋_GB2312" w:hAnsi="宋体" w:eastAsia="仿宋_GB2312"/>
          <w:kern w:val="0"/>
          <w:sz w:val="32"/>
          <w:szCs w:val="32"/>
          <w:lang w:val="en-US" w:eastAsia="zh-CN"/>
        </w:rPr>
        <w:t>1781.03</w:t>
      </w:r>
      <w:r>
        <w:rPr>
          <w:rFonts w:hint="eastAsia" w:ascii="仿宋_GB2312" w:hAnsi="宋体" w:eastAsia="仿宋_GB2312"/>
          <w:kern w:val="0"/>
          <w:sz w:val="32"/>
          <w:szCs w:val="32"/>
        </w:rPr>
        <w:t>万元；社会保障与就业支出</w:t>
      </w:r>
      <w:r>
        <w:rPr>
          <w:rFonts w:hint="eastAsia" w:ascii="仿宋_GB2312" w:hAnsi="宋体" w:eastAsia="仿宋_GB2312"/>
          <w:kern w:val="0"/>
          <w:sz w:val="32"/>
          <w:szCs w:val="32"/>
          <w:lang w:val="en-US" w:eastAsia="zh-CN"/>
        </w:rPr>
        <w:t>358.25</w:t>
      </w:r>
      <w:r>
        <w:rPr>
          <w:rFonts w:hint="eastAsia" w:ascii="仿宋_GB2312" w:hAnsi="宋体" w:eastAsia="仿宋_GB2312"/>
          <w:kern w:val="0"/>
          <w:sz w:val="32"/>
          <w:szCs w:val="32"/>
        </w:rPr>
        <w:t>万元，其中2080504未归口管理的行政单位离退休</w:t>
      </w:r>
      <w:r>
        <w:rPr>
          <w:rFonts w:hint="eastAsia" w:ascii="仿宋_GB2312" w:hAnsi="宋体" w:eastAsia="仿宋_GB2312"/>
          <w:kern w:val="0"/>
          <w:sz w:val="32"/>
          <w:szCs w:val="32"/>
          <w:lang w:val="en-US" w:eastAsia="zh-CN"/>
        </w:rPr>
        <w:t>226.39</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131.86</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主要用于发放按照国家政策执行属地标准的工资项目，如规范津贴补贴、奖励性补贴、改革性补贴等，上述工资项目涉及的养老保险缴费、医疗保险缴费、住房公积金等单位按照规定缴存部分；按照国家政策执行地方标准的丧葬费、遗属补助等。</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五、关于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2019年一般公共预算当年拨款情况说明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lang w:eastAsia="zh-CN"/>
        </w:rPr>
        <w:t>国家税务总局克拉玛依市税务局机关</w:t>
      </w:r>
      <w:r>
        <w:rPr>
          <w:rFonts w:hint="eastAsia" w:ascii="仿宋_GB2312" w:hAnsi="宋体" w:eastAsia="仿宋_GB2312"/>
          <w:kern w:val="0"/>
          <w:sz w:val="32"/>
          <w:szCs w:val="32"/>
        </w:rPr>
        <w:t>2019年一般公共预算拨款基本支出</w:t>
      </w:r>
      <w:r>
        <w:rPr>
          <w:rFonts w:hint="eastAsia" w:ascii="仿宋_GB2312" w:hAnsi="宋体" w:eastAsia="仿宋_GB2312"/>
          <w:kern w:val="0"/>
          <w:sz w:val="32"/>
          <w:szCs w:val="32"/>
          <w:lang w:val="en-US" w:eastAsia="zh-CN"/>
        </w:rPr>
        <w:t>2139.28</w:t>
      </w:r>
      <w:r>
        <w:rPr>
          <w:rFonts w:hint="eastAsia" w:ascii="仿宋_GB2312" w:hAnsi="宋体" w:eastAsia="仿宋_GB2312"/>
          <w:kern w:val="0"/>
          <w:sz w:val="32"/>
          <w:szCs w:val="32"/>
        </w:rPr>
        <w:t>万元，比上年执行数增加</w:t>
      </w:r>
      <w:r>
        <w:rPr>
          <w:rFonts w:hint="eastAsia" w:ascii="仿宋_GB2312" w:hAnsi="宋体" w:eastAsia="仿宋_GB2312"/>
          <w:kern w:val="0"/>
          <w:sz w:val="32"/>
          <w:szCs w:val="32"/>
          <w:lang w:val="en-US" w:eastAsia="zh-CN"/>
        </w:rPr>
        <w:t>1011.94</w:t>
      </w:r>
      <w:r>
        <w:rPr>
          <w:rFonts w:hint="eastAsia" w:ascii="仿宋_GB2312" w:hAnsi="宋体" w:eastAsia="仿宋_GB2312"/>
          <w:color w:val="auto"/>
          <w:kern w:val="0"/>
          <w:sz w:val="32"/>
          <w:szCs w:val="32"/>
        </w:rPr>
        <w:t>万元，增长</w:t>
      </w:r>
      <w:r>
        <w:rPr>
          <w:rFonts w:hint="eastAsia" w:ascii="仿宋_GB2312" w:hAnsi="宋体" w:eastAsia="仿宋_GB2312"/>
          <w:color w:val="auto"/>
          <w:kern w:val="0"/>
          <w:sz w:val="32"/>
          <w:szCs w:val="32"/>
          <w:lang w:val="en-US" w:eastAsia="zh-CN"/>
        </w:rPr>
        <w:t>89.76</w:t>
      </w:r>
      <w:r>
        <w:rPr>
          <w:rFonts w:hint="eastAsia" w:ascii="仿宋_GB2312" w:hAnsi="宋体" w:eastAsia="仿宋_GB2312"/>
          <w:color w:val="auto"/>
          <w:kern w:val="0"/>
          <w:sz w:val="32"/>
          <w:szCs w:val="32"/>
        </w:rPr>
        <w:t>%。主要原因一是国地税征管体制改革，经</w:t>
      </w:r>
      <w:r>
        <w:rPr>
          <w:rFonts w:hint="eastAsia" w:ascii="仿宋_GB2312" w:hAnsi="宋体" w:eastAsia="仿宋_GB2312"/>
          <w:kern w:val="0"/>
          <w:sz w:val="32"/>
          <w:szCs w:val="32"/>
        </w:rPr>
        <w:t>费保障模式改变；二是合并后人员增加</w:t>
      </w:r>
      <w:r>
        <w:rPr>
          <w:rFonts w:hint="eastAsia" w:ascii="仿宋_GB2312" w:hAnsi="宋体" w:eastAsia="仿宋_GB2312"/>
          <w:kern w:val="0"/>
          <w:sz w:val="32"/>
          <w:szCs w:val="32"/>
          <w:lang w:val="en-US" w:eastAsia="zh-CN"/>
        </w:rPr>
        <w:t>214</w:t>
      </w:r>
      <w:r>
        <w:rPr>
          <w:rFonts w:hint="eastAsia" w:ascii="仿宋_GB2312" w:hAnsi="宋体" w:eastAsia="仿宋_GB2312"/>
          <w:kern w:val="0"/>
          <w:sz w:val="32"/>
          <w:szCs w:val="32"/>
        </w:rPr>
        <w:t>人，其中在职增加</w:t>
      </w:r>
      <w:r>
        <w:rPr>
          <w:rFonts w:hint="eastAsia" w:ascii="仿宋_GB2312" w:hAnsi="宋体" w:eastAsia="仿宋_GB2312"/>
          <w:kern w:val="0"/>
          <w:sz w:val="32"/>
          <w:szCs w:val="32"/>
          <w:lang w:val="en-US" w:eastAsia="zh-CN"/>
        </w:rPr>
        <w:t>148</w:t>
      </w:r>
      <w:r>
        <w:rPr>
          <w:rFonts w:hint="eastAsia" w:ascii="仿宋_GB2312" w:hAnsi="宋体" w:eastAsia="仿宋_GB2312"/>
          <w:kern w:val="0"/>
          <w:sz w:val="32"/>
          <w:szCs w:val="32"/>
        </w:rPr>
        <w:t>人，离退休增加</w:t>
      </w:r>
      <w:r>
        <w:rPr>
          <w:rFonts w:hint="eastAsia" w:ascii="仿宋_GB2312" w:hAnsi="宋体" w:eastAsia="仿宋_GB2312"/>
          <w:kern w:val="0"/>
          <w:sz w:val="32"/>
          <w:szCs w:val="32"/>
          <w:lang w:val="en-US" w:eastAsia="zh-CN"/>
        </w:rPr>
        <w:t>66</w:t>
      </w:r>
      <w:r>
        <w:rPr>
          <w:rFonts w:hint="eastAsia" w:ascii="仿宋_GB2312" w:hAnsi="宋体" w:eastAsia="仿宋_GB2312"/>
          <w:kern w:val="0"/>
          <w:sz w:val="32"/>
          <w:szCs w:val="32"/>
        </w:rPr>
        <w:t xml:space="preserve">人。  </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1.一般公共服务（类）</w:t>
      </w:r>
      <w:r>
        <w:rPr>
          <w:rFonts w:hint="eastAsia" w:ascii="仿宋_GB2312" w:hAnsi="宋体" w:eastAsia="仿宋_GB2312"/>
          <w:kern w:val="0"/>
          <w:sz w:val="32"/>
          <w:szCs w:val="32"/>
          <w:lang w:val="en-US" w:eastAsia="zh-CN"/>
        </w:rPr>
        <w:t>1781.03</w:t>
      </w:r>
      <w:r>
        <w:rPr>
          <w:rFonts w:hint="eastAsia" w:ascii="仿宋_GB2312" w:hAnsi="宋体" w:eastAsia="仿宋_GB2312"/>
          <w:kern w:val="0"/>
          <w:sz w:val="32"/>
          <w:szCs w:val="32"/>
        </w:rPr>
        <w:t>万元，占</w:t>
      </w:r>
      <w:r>
        <w:rPr>
          <w:rFonts w:hint="eastAsia" w:ascii="仿宋_GB2312" w:hAnsi="宋体" w:eastAsia="仿宋_GB2312"/>
          <w:kern w:val="0"/>
          <w:sz w:val="32"/>
          <w:szCs w:val="32"/>
          <w:lang w:val="en-US" w:eastAsia="zh-CN"/>
        </w:rPr>
        <w:t>83.25</w:t>
      </w:r>
      <w:r>
        <w:rPr>
          <w:rFonts w:hint="eastAsia" w:ascii="仿宋_GB2312" w:hAnsi="宋体" w:eastAsia="仿宋_GB2312"/>
          <w:kern w:val="0"/>
          <w:sz w:val="32"/>
          <w:szCs w:val="32"/>
        </w:rPr>
        <w:t>%。其中2010701行政运行</w:t>
      </w:r>
      <w:r>
        <w:rPr>
          <w:rFonts w:hint="eastAsia" w:ascii="仿宋_GB2312" w:hAnsi="宋体" w:eastAsia="仿宋_GB2312"/>
          <w:kern w:val="0"/>
          <w:sz w:val="32"/>
          <w:szCs w:val="32"/>
          <w:lang w:val="en-US" w:eastAsia="zh-CN"/>
        </w:rPr>
        <w:t>1781.03</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 社会保障与就业支出</w:t>
      </w:r>
      <w:r>
        <w:rPr>
          <w:rFonts w:hint="eastAsia" w:ascii="仿宋_GB2312" w:hAnsi="宋体" w:eastAsia="仿宋_GB2312"/>
          <w:kern w:val="0"/>
          <w:sz w:val="32"/>
          <w:szCs w:val="32"/>
          <w:lang w:val="en-US" w:eastAsia="zh-CN"/>
        </w:rPr>
        <w:t>358.25</w:t>
      </w:r>
      <w:r>
        <w:rPr>
          <w:rFonts w:hint="eastAsia" w:ascii="仿宋_GB2312" w:hAnsi="宋体" w:eastAsia="仿宋_GB2312"/>
          <w:kern w:val="0"/>
          <w:sz w:val="32"/>
          <w:szCs w:val="32"/>
        </w:rPr>
        <w:t>万元，占</w:t>
      </w:r>
      <w:r>
        <w:rPr>
          <w:rFonts w:hint="eastAsia" w:ascii="仿宋_GB2312" w:hAnsi="宋体" w:eastAsia="仿宋_GB2312"/>
          <w:kern w:val="0"/>
          <w:sz w:val="32"/>
          <w:szCs w:val="32"/>
          <w:lang w:val="en-US" w:eastAsia="zh-CN"/>
        </w:rPr>
        <w:t>16.75</w:t>
      </w:r>
      <w:r>
        <w:rPr>
          <w:rFonts w:hint="eastAsia" w:ascii="仿宋_GB2312" w:hAnsi="宋体" w:eastAsia="仿宋_GB2312"/>
          <w:kern w:val="0"/>
          <w:sz w:val="32"/>
          <w:szCs w:val="32"/>
        </w:rPr>
        <w:t>％。其中2080504未归口管理的行政单位离退休</w:t>
      </w:r>
      <w:r>
        <w:rPr>
          <w:rFonts w:hint="eastAsia" w:ascii="仿宋_GB2312" w:hAnsi="宋体" w:eastAsia="仿宋_GB2312"/>
          <w:kern w:val="0"/>
          <w:sz w:val="32"/>
          <w:szCs w:val="32"/>
          <w:lang w:val="en-US" w:eastAsia="zh-CN"/>
        </w:rPr>
        <w:t>226.39</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131.86</w:t>
      </w:r>
      <w:r>
        <w:rPr>
          <w:rFonts w:hint="eastAsia" w:ascii="仿宋_GB2312" w:hAnsi="宋体" w:eastAsia="仿宋_GB2312"/>
          <w:kern w:val="0"/>
          <w:sz w:val="32"/>
          <w:szCs w:val="32"/>
        </w:rPr>
        <w:t>万元。</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07</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kern w:val="0"/>
          <w:sz w:val="32"/>
          <w:szCs w:val="32"/>
          <w:lang w:val="en-US" w:eastAsia="zh-CN"/>
        </w:rPr>
        <w:t>1781.03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862.21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93.84</w:t>
      </w:r>
      <w:r>
        <w:rPr>
          <w:rFonts w:hint="eastAsia" w:ascii="仿宋_GB2312" w:hAnsi="宋体" w:eastAsia="仿宋_GB2312" w:cs="宋体"/>
          <w:kern w:val="0"/>
          <w:sz w:val="32"/>
          <w:szCs w:val="32"/>
        </w:rPr>
        <w:t>%，主要原因是合并后在职人数增幅较大，增加</w:t>
      </w:r>
      <w:r>
        <w:rPr>
          <w:rFonts w:hint="eastAsia" w:ascii="仿宋_GB2312" w:hAnsi="宋体" w:eastAsia="仿宋_GB2312" w:cs="宋体"/>
          <w:kern w:val="0"/>
          <w:sz w:val="32"/>
          <w:szCs w:val="32"/>
          <w:lang w:val="en-US" w:eastAsia="zh-CN"/>
        </w:rPr>
        <w:t>148</w:t>
      </w:r>
      <w:r>
        <w:rPr>
          <w:rFonts w:hint="eastAsia" w:ascii="仿宋_GB2312" w:hAnsi="宋体" w:eastAsia="仿宋_GB2312" w:cs="宋体"/>
          <w:kern w:val="0"/>
          <w:sz w:val="32"/>
          <w:szCs w:val="32"/>
        </w:rPr>
        <w:t>人。</w:t>
      </w:r>
    </w:p>
    <w:p>
      <w:pPr>
        <w:adjustRightInd w:val="0"/>
        <w:snapToGrid w:val="0"/>
        <w:spacing w:line="60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 xml:space="preserve"> 一般公共服务</w:t>
      </w:r>
      <w:r>
        <w:rPr>
          <w:rFonts w:hint="eastAsia" w:ascii="仿宋_GB2312" w:hAnsi="宋体" w:eastAsia="仿宋_GB2312" w:cs="宋体"/>
          <w:color w:val="auto"/>
          <w:kern w:val="0"/>
          <w:sz w:val="32"/>
          <w:szCs w:val="32"/>
        </w:rPr>
        <w:t>208</w:t>
      </w:r>
      <w:r>
        <w:rPr>
          <w:rFonts w:ascii="仿宋_GB2312" w:hAnsi="宋体" w:eastAsia="仿宋_GB2312" w:cs="宋体"/>
          <w:color w:val="auto"/>
          <w:kern w:val="0"/>
          <w:sz w:val="32"/>
          <w:szCs w:val="32"/>
        </w:rPr>
        <w:t>（类）财政事务</w:t>
      </w:r>
      <w:r>
        <w:rPr>
          <w:rFonts w:hint="eastAsia" w:ascii="仿宋_GB2312" w:hAnsi="宋体" w:eastAsia="仿宋_GB2312" w:cs="宋体"/>
          <w:color w:val="auto"/>
          <w:kern w:val="0"/>
          <w:sz w:val="32"/>
          <w:szCs w:val="32"/>
        </w:rPr>
        <w:t>05</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未归口管理的行政单位离退休04（项）：2019年预算数为</w:t>
      </w:r>
      <w:r>
        <w:rPr>
          <w:rFonts w:hint="eastAsia" w:ascii="仿宋_GB2312" w:hAnsi="宋体" w:eastAsia="仿宋_GB2312"/>
          <w:color w:val="auto"/>
          <w:kern w:val="0"/>
          <w:sz w:val="32"/>
          <w:szCs w:val="32"/>
          <w:lang w:val="en-US" w:eastAsia="zh-CN"/>
        </w:rPr>
        <w:t>226.39</w:t>
      </w:r>
      <w:r>
        <w:rPr>
          <w:rFonts w:hint="eastAsia" w:ascii="仿宋_GB2312" w:hAnsi="宋体" w:eastAsia="仿宋_GB2312" w:cs="宋体"/>
          <w:color w:val="auto"/>
          <w:kern w:val="0"/>
          <w:sz w:val="32"/>
          <w:szCs w:val="32"/>
        </w:rPr>
        <w:t>万元，比上年执行数增加</w:t>
      </w:r>
      <w:r>
        <w:rPr>
          <w:rFonts w:hint="eastAsia" w:ascii="仿宋_GB2312" w:hAnsi="宋体" w:eastAsia="仿宋_GB2312" w:cs="宋体"/>
          <w:color w:val="auto"/>
          <w:kern w:val="0"/>
          <w:sz w:val="32"/>
          <w:szCs w:val="32"/>
          <w:lang w:val="en-US" w:eastAsia="zh-CN"/>
        </w:rPr>
        <w:t>129</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132.45</w:t>
      </w:r>
      <w:r>
        <w:rPr>
          <w:rFonts w:hint="eastAsia" w:ascii="仿宋_GB2312" w:hAnsi="宋体" w:eastAsia="仿宋_GB2312" w:cs="宋体"/>
          <w:color w:val="auto"/>
          <w:kern w:val="0"/>
          <w:sz w:val="32"/>
          <w:szCs w:val="32"/>
        </w:rPr>
        <w:t>％。主要原因是退休人数较合并前增加</w:t>
      </w:r>
      <w:r>
        <w:rPr>
          <w:rFonts w:hint="eastAsia" w:ascii="仿宋_GB2312" w:hAnsi="宋体" w:eastAsia="仿宋_GB2312" w:cs="宋体"/>
          <w:color w:val="auto"/>
          <w:kern w:val="0"/>
          <w:sz w:val="32"/>
          <w:szCs w:val="32"/>
          <w:lang w:val="en-US" w:eastAsia="zh-CN"/>
        </w:rPr>
        <w:t>66</w:t>
      </w:r>
      <w:r>
        <w:rPr>
          <w:rFonts w:hint="eastAsia" w:ascii="仿宋_GB2312" w:hAnsi="宋体" w:eastAsia="仿宋_GB2312" w:cs="宋体"/>
          <w:color w:val="auto"/>
          <w:kern w:val="0"/>
          <w:sz w:val="32"/>
          <w:szCs w:val="32"/>
        </w:rPr>
        <w:t>人。</w:t>
      </w:r>
    </w:p>
    <w:p>
      <w:pPr>
        <w:adjustRightInd w:val="0"/>
        <w:snapToGrid w:val="0"/>
        <w:spacing w:line="600" w:lineRule="exact"/>
        <w:ind w:firstLine="640"/>
        <w:rPr>
          <w:rFonts w:ascii="仿宋_GB2312" w:hAnsi="宋体" w:eastAsia="仿宋_GB2312" w:cs="宋体"/>
          <w:kern w:val="0"/>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208</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05</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机关事业单位基本养老保险缴费支出05（项）：2019年预算数为</w:t>
      </w:r>
      <w:r>
        <w:rPr>
          <w:rFonts w:hint="eastAsia" w:ascii="仿宋_GB2312" w:hAnsi="宋体" w:eastAsia="仿宋_GB2312"/>
          <w:kern w:val="0"/>
          <w:sz w:val="32"/>
          <w:szCs w:val="32"/>
          <w:lang w:val="en-US" w:eastAsia="zh-CN"/>
        </w:rPr>
        <w:t>131.86</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20.73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18.65</w:t>
      </w:r>
      <w:r>
        <w:rPr>
          <w:rFonts w:hint="eastAsia" w:ascii="仿宋_GB2312" w:hAnsi="宋体" w:eastAsia="仿宋_GB2312" w:cs="宋体"/>
          <w:kern w:val="0"/>
          <w:sz w:val="32"/>
          <w:szCs w:val="32"/>
        </w:rPr>
        <w:t>％。主要原因是自治区财政经费保障范围变化，养老金提取基数降低。</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六、关于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2019年一般公共预算基本支出情况说明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国家税务总局克拉玛依市税务局机关</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一般公共预算基本支出</w:t>
      </w:r>
      <w:r>
        <w:rPr>
          <w:rFonts w:hint="eastAsia" w:ascii="仿宋_GB2312" w:hAnsi="宋体" w:eastAsia="仿宋_GB2312"/>
          <w:kern w:val="0"/>
          <w:sz w:val="32"/>
          <w:szCs w:val="32"/>
          <w:lang w:val="en-US" w:eastAsia="zh-CN"/>
        </w:rPr>
        <w:t>2139.28</w:t>
      </w:r>
      <w:r>
        <w:rPr>
          <w:rFonts w:hint="eastAsia" w:ascii="仿宋_GB2312" w:hAnsi="宋体" w:eastAsia="仿宋_GB2312" w:cs="宋体"/>
          <w:kern w:val="0"/>
          <w:sz w:val="32"/>
          <w:szCs w:val="32"/>
        </w:rPr>
        <w:t>万元，其中：</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2113.46</w:t>
      </w:r>
      <w:r>
        <w:rPr>
          <w:rFonts w:hint="eastAsia" w:ascii="仿宋_GB2312" w:hAnsi="宋体" w:eastAsia="仿宋_GB2312" w:cs="宋体"/>
          <w:kern w:val="0"/>
          <w:sz w:val="32"/>
          <w:szCs w:val="32"/>
        </w:rPr>
        <w:t>万元，主要包括：津贴补贴、机关事业单位基本养老保险缴费、职业年金缴费、职工基本医疗保险缴费、公务员医疗补助缴费、其他社会保障缴费、住房公积金、医疗费、其他工资福利支出、退休费、医疗费补助、奖励金、其他对个人和家庭的补助等。</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25.82</w:t>
      </w:r>
      <w:r>
        <w:rPr>
          <w:rFonts w:hint="eastAsia" w:ascii="仿宋_GB2312" w:hAnsi="宋体" w:eastAsia="仿宋_GB2312" w:cs="宋体"/>
          <w:kern w:val="0"/>
          <w:sz w:val="32"/>
          <w:szCs w:val="32"/>
        </w:rPr>
        <w:t>万元，是职工取暖补助。</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七、关于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2019年项目支出情况说明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lang w:val="en-US" w:eastAsia="zh-CN"/>
        </w:rPr>
        <w:t>国家税务总局克拉玛依市税务局机关</w:t>
      </w:r>
      <w:r>
        <w:rPr>
          <w:rFonts w:hint="eastAsia" w:ascii="仿宋_GB2312" w:hAnsi="宋体" w:eastAsia="仿宋_GB2312"/>
          <w:kern w:val="0"/>
          <w:sz w:val="32"/>
          <w:szCs w:val="32"/>
        </w:rPr>
        <w:t>2019年未安排项目支出，项目支出情况表为空表。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八、关于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2019年一般公共预算“三公”经费预算情况说明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lang w:val="en-US" w:eastAsia="zh-CN"/>
        </w:rPr>
        <w:t>国家税务总局克拉玛依市税务局机关</w:t>
      </w:r>
      <w:r>
        <w:rPr>
          <w:rFonts w:hint="eastAsia" w:ascii="仿宋_GB2312" w:hAnsi="宋体" w:eastAsia="仿宋_GB2312"/>
          <w:kern w:val="0"/>
          <w:sz w:val="32"/>
          <w:szCs w:val="32"/>
        </w:rPr>
        <w:t>2019年</w:t>
      </w:r>
      <w:r>
        <w:rPr>
          <w:rFonts w:hint="eastAsia" w:ascii="仿宋_GB2312" w:hAnsi="宋体" w:eastAsia="仿宋_GB2312"/>
          <w:kern w:val="0"/>
          <w:sz w:val="32"/>
          <w:szCs w:val="32"/>
          <w:lang w:eastAsia="zh-CN"/>
        </w:rPr>
        <w:t>机关</w:t>
      </w:r>
      <w:r>
        <w:rPr>
          <w:rFonts w:hint="eastAsia" w:ascii="仿宋_GB2312" w:hAnsi="宋体" w:eastAsia="仿宋_GB2312"/>
          <w:kern w:val="0"/>
          <w:sz w:val="32"/>
          <w:szCs w:val="32"/>
        </w:rPr>
        <w:t>未安排“三公”经费预算，一般公共预算“三公”经费支出情况表为空表。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九、关于</w:t>
      </w:r>
      <w:r>
        <w:rPr>
          <w:rFonts w:hint="eastAsia" w:ascii="黑体" w:hAnsi="黑体" w:eastAsia="黑体"/>
          <w:kern w:val="0"/>
          <w:sz w:val="32"/>
          <w:szCs w:val="32"/>
          <w:lang w:eastAsia="zh-CN"/>
        </w:rPr>
        <w:t>国家税务总局克拉玛依市税务局机关</w:t>
      </w:r>
      <w:r>
        <w:rPr>
          <w:rFonts w:hint="eastAsia" w:ascii="黑体" w:hAnsi="黑体" w:eastAsia="黑体"/>
          <w:kern w:val="0"/>
          <w:sz w:val="32"/>
          <w:szCs w:val="32"/>
        </w:rPr>
        <w:t>2019年政府性基金预算拨款情况说明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国家税务总局克拉玛依市税务局机关</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没有使用政府性基金预算拨款安排的支出，政府性基金预算支出情况表为空表。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十、其他重要事项的情况说明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2019年，未安排</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机关运行经费财政拨款预算。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adjustRightInd w:val="0"/>
        <w:snapToGrid w:val="0"/>
        <w:spacing w:line="600" w:lineRule="exact"/>
        <w:ind w:firstLine="642"/>
        <w:jc w:val="left"/>
        <w:rPr>
          <w:rFonts w:ascii="仿宋_GB2312" w:hAnsi="宋体" w:eastAsia="仿宋_GB2312"/>
          <w:kern w:val="0"/>
          <w:sz w:val="32"/>
          <w:szCs w:val="32"/>
        </w:rPr>
      </w:pPr>
      <w:r>
        <w:rPr>
          <w:rFonts w:hint="eastAsia" w:ascii="仿宋_GB2312" w:hAnsi="宋体" w:eastAsia="仿宋_GB2312"/>
          <w:kern w:val="0"/>
          <w:sz w:val="32"/>
          <w:szCs w:val="32"/>
        </w:rPr>
        <w:t>2019年，未安排</w:t>
      </w:r>
      <w:r>
        <w:rPr>
          <w:rFonts w:hint="eastAsia" w:ascii="仿宋_GB2312" w:hAnsi="宋体" w:eastAsia="仿宋_GB2312" w:cs="宋体"/>
          <w:kern w:val="0"/>
          <w:sz w:val="32"/>
          <w:szCs w:val="32"/>
          <w:lang w:val="en-US" w:eastAsia="zh-CN"/>
        </w:rPr>
        <w:t>国家税务总局克拉玛依市税务局机关</w:t>
      </w:r>
      <w:r>
        <w:rPr>
          <w:rFonts w:hint="eastAsia" w:ascii="仿宋_GB2312" w:hAnsi="宋体" w:eastAsia="仿宋_GB2312"/>
          <w:kern w:val="0"/>
          <w:sz w:val="32"/>
          <w:szCs w:val="32"/>
        </w:rPr>
        <w:t>政府采购预算。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cs="宋体"/>
          <w:kern w:val="0"/>
          <w:sz w:val="32"/>
          <w:szCs w:val="32"/>
          <w:lang w:val="en-US" w:eastAsia="zh-CN"/>
        </w:rPr>
        <w:t>国家税务总局克拉玛依市税务局机关</w:t>
      </w:r>
      <w:bookmarkStart w:id="0" w:name="_GoBack"/>
      <w:r>
        <w:rPr>
          <w:rFonts w:hint="eastAsia" w:ascii="仿宋_GB2312" w:hAnsi="宋体" w:eastAsia="仿宋_GB2312" w:cs="宋体"/>
          <w:color w:val="auto"/>
          <w:kern w:val="0"/>
          <w:sz w:val="32"/>
          <w:szCs w:val="32"/>
        </w:rPr>
        <w:t>占用使用国有资产总体情况为</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1.房屋</w:t>
      </w:r>
      <w:r>
        <w:rPr>
          <w:rFonts w:hint="eastAsia" w:ascii="仿宋_GB2312" w:hAnsi="宋体" w:eastAsia="仿宋_GB2312" w:cs="宋体"/>
          <w:color w:val="auto"/>
          <w:kern w:val="0"/>
          <w:sz w:val="32"/>
          <w:szCs w:val="32"/>
          <w:lang w:val="en-US" w:eastAsia="zh-CN"/>
        </w:rPr>
        <w:t>16411.34</w:t>
      </w:r>
      <w:r>
        <w:rPr>
          <w:rFonts w:hint="eastAsia" w:ascii="仿宋_GB2312" w:hAnsi="宋体" w:eastAsia="仿宋_GB2312" w:cs="宋体"/>
          <w:color w:val="auto"/>
          <w:kern w:val="0"/>
          <w:sz w:val="32"/>
          <w:szCs w:val="32"/>
        </w:rPr>
        <w:t>平方米，价值</w:t>
      </w:r>
      <w:r>
        <w:rPr>
          <w:rFonts w:hint="eastAsia" w:ascii="仿宋_GB2312" w:hAnsi="宋体" w:eastAsia="仿宋_GB2312" w:cs="宋体"/>
          <w:color w:val="auto"/>
          <w:kern w:val="0"/>
          <w:sz w:val="32"/>
          <w:szCs w:val="32"/>
          <w:lang w:val="en-US" w:eastAsia="zh-CN"/>
        </w:rPr>
        <w:t>6775.46</w:t>
      </w:r>
      <w:r>
        <w:rPr>
          <w:rFonts w:hint="eastAsia" w:ascii="仿宋_GB2312" w:hAnsi="宋体" w:eastAsia="仿宋_GB2312" w:cs="宋体"/>
          <w:color w:val="auto"/>
          <w:kern w:val="0"/>
          <w:sz w:val="32"/>
          <w:szCs w:val="32"/>
        </w:rPr>
        <w:t>万元。</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2.车辆</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643.86</w:t>
      </w:r>
      <w:r>
        <w:rPr>
          <w:rFonts w:hint="eastAsia" w:ascii="仿宋_GB2312" w:hAnsi="宋体" w:eastAsia="仿宋_GB2312" w:cs="宋体"/>
          <w:color w:val="auto"/>
          <w:kern w:val="0"/>
          <w:sz w:val="32"/>
          <w:szCs w:val="32"/>
        </w:rPr>
        <w:t>万元；其中：执法执勤用车</w:t>
      </w:r>
      <w:r>
        <w:rPr>
          <w:rFonts w:hint="eastAsia" w:ascii="仿宋_GB2312" w:hAnsi="宋体" w:eastAsia="仿宋_GB2312" w:cs="宋体"/>
          <w:color w:val="auto"/>
          <w:kern w:val="0"/>
          <w:sz w:val="32"/>
          <w:szCs w:val="32"/>
          <w:lang w:val="en-US" w:eastAsia="zh-CN"/>
        </w:rPr>
        <w:t>17</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580.37</w:t>
      </w:r>
      <w:r>
        <w:rPr>
          <w:rFonts w:hint="eastAsia" w:ascii="仿宋_GB2312" w:hAnsi="宋体" w:eastAsia="仿宋_GB2312" w:cs="宋体"/>
          <w:color w:val="auto"/>
          <w:kern w:val="0"/>
          <w:sz w:val="32"/>
          <w:szCs w:val="32"/>
        </w:rPr>
        <w:t>万元；其他车辆</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63.49</w:t>
      </w:r>
      <w:r>
        <w:rPr>
          <w:rFonts w:hint="eastAsia" w:ascii="仿宋_GB2312" w:hAnsi="宋体" w:eastAsia="仿宋_GB2312" w:cs="宋体"/>
          <w:color w:val="auto"/>
          <w:kern w:val="0"/>
          <w:sz w:val="32"/>
          <w:szCs w:val="32"/>
        </w:rPr>
        <w:t>万元。</w:t>
      </w:r>
    </w:p>
    <w:p>
      <w:pPr>
        <w:widowControl/>
        <w:adjustRightInd w:val="0"/>
        <w:snapToGrid w:val="0"/>
        <w:spacing w:line="600" w:lineRule="exact"/>
        <w:ind w:firstLine="64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3.办公家具价值</w:t>
      </w:r>
      <w:r>
        <w:rPr>
          <w:rFonts w:hint="eastAsia" w:ascii="仿宋_GB2312" w:hAnsi="宋体" w:eastAsia="仿宋_GB2312" w:cs="宋体"/>
          <w:color w:val="auto"/>
          <w:kern w:val="0"/>
          <w:sz w:val="32"/>
          <w:szCs w:val="32"/>
          <w:lang w:val="en-US" w:eastAsia="zh-CN"/>
        </w:rPr>
        <w:t>250.26</w:t>
      </w:r>
      <w:r>
        <w:rPr>
          <w:rFonts w:hint="eastAsia" w:ascii="仿宋_GB2312" w:hAnsi="宋体" w:eastAsia="仿宋_GB2312" w:cs="宋体"/>
          <w:color w:val="auto"/>
          <w:kern w:val="0"/>
          <w:sz w:val="32"/>
          <w:szCs w:val="32"/>
        </w:rPr>
        <w:t>万元。</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4.其他资产价值</w:t>
      </w:r>
      <w:r>
        <w:rPr>
          <w:rFonts w:hint="eastAsia" w:ascii="仿宋_GB2312" w:hAnsi="宋体" w:eastAsia="仿宋_GB2312" w:cs="宋体"/>
          <w:color w:val="auto"/>
          <w:kern w:val="0"/>
          <w:sz w:val="32"/>
          <w:szCs w:val="32"/>
          <w:lang w:val="en-US" w:eastAsia="zh-CN"/>
        </w:rPr>
        <w:t>723.26</w:t>
      </w:r>
      <w:r>
        <w:rPr>
          <w:rFonts w:hint="eastAsia" w:ascii="仿宋_GB2312" w:hAnsi="宋体" w:eastAsia="仿宋_GB2312" w:cs="宋体"/>
          <w:color w:val="auto"/>
          <w:kern w:val="0"/>
          <w:sz w:val="32"/>
          <w:szCs w:val="32"/>
        </w:rPr>
        <w:t>万元。</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单位价值50万元以上大型设备</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台（套），单位价值100万元以上大型设备无。</w:t>
      </w:r>
    </w:p>
    <w:p>
      <w:pPr>
        <w:widowControl/>
        <w:adjustRightInd w:val="0"/>
        <w:snapToGrid w:val="0"/>
        <w:spacing w:line="60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2019年部门预算未安排购置车辆经费、50万元以上大型设备及单位价值100万元以上大型设备经费。</w:t>
      </w:r>
    </w:p>
    <w:bookmarkEnd w:id="0"/>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rPr>
        <w:t>2019年，未安排</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项目支出预算。</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第四部分  名词解释</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指由一般公共预算安排的财政拨款数。</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指公共财政拨款资金。</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adjustRightInd w:val="0"/>
        <w:snapToGrid w:val="0"/>
        <w:spacing w:line="600" w:lineRule="exact"/>
        <w:ind w:firstLine="642"/>
        <w:rPr>
          <w:rFonts w:ascii="仿宋_GB2312" w:eastAsia="仿宋_GB2312"/>
          <w:sz w:val="32"/>
          <w:szCs w:val="32"/>
        </w:rPr>
      </w:pPr>
    </w:p>
    <w:p>
      <w:pPr>
        <w:adjustRightInd w:val="0"/>
        <w:snapToGrid w:val="0"/>
        <w:spacing w:line="600" w:lineRule="exact"/>
        <w:ind w:firstLine="642"/>
        <w:rPr>
          <w:rFonts w:ascii="仿宋_GB2312" w:eastAsia="仿宋_GB2312"/>
          <w:sz w:val="32"/>
          <w:szCs w:val="32"/>
        </w:rPr>
      </w:pPr>
    </w:p>
    <w:p>
      <w:pPr>
        <w:adjustRightInd w:val="0"/>
        <w:snapToGrid w:val="0"/>
        <w:spacing w:line="600" w:lineRule="exact"/>
        <w:ind w:firstLine="3680" w:firstLineChars="115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国家税务总局</w:t>
      </w:r>
    </w:p>
    <w:p>
      <w:pPr>
        <w:adjustRightInd w:val="0"/>
        <w:snapToGrid w:val="0"/>
        <w:spacing w:line="600" w:lineRule="exact"/>
        <w:ind w:firstLine="3680" w:firstLineChars="1150"/>
        <w:jc w:val="right"/>
        <w:rPr>
          <w:rFonts w:hint="eastAsia" w:ascii="仿宋_GB2312" w:eastAsia="仿宋_GB2312"/>
          <w:sz w:val="32"/>
          <w:szCs w:val="32"/>
          <w:lang w:eastAsia="zh-CN"/>
        </w:rPr>
      </w:pPr>
      <w:r>
        <w:rPr>
          <w:rFonts w:hint="eastAsia" w:ascii="仿宋_GB2312" w:eastAsia="仿宋_GB2312"/>
          <w:sz w:val="32"/>
          <w:szCs w:val="32"/>
          <w:lang w:eastAsia="zh-CN"/>
        </w:rPr>
        <w:t>克拉玛依市税务局机关</w:t>
      </w:r>
    </w:p>
    <w:p>
      <w:pPr>
        <w:adjustRightInd w:val="0"/>
        <w:snapToGrid w:val="0"/>
        <w:spacing w:line="600" w:lineRule="exact"/>
        <w:ind w:firstLine="5600" w:firstLineChars="1750"/>
        <w:rPr>
          <w:rFonts w:ascii="仿宋_GB2312" w:eastAsia="仿宋_GB2312"/>
          <w:sz w:val="32"/>
          <w:szCs w:val="32"/>
        </w:rPr>
      </w:pPr>
      <w:r>
        <w:rPr>
          <w:rFonts w:hint="eastAsia" w:ascii="仿宋_GB2312" w:eastAsia="仿宋_GB2312"/>
          <w:sz w:val="32"/>
          <w:szCs w:val="32"/>
        </w:rPr>
        <w:t>2019年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F292"/>
    <w:multiLevelType w:val="singleLevel"/>
    <w:tmpl w:val="8674F2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0512F"/>
    <w:rsid w:val="01B34A70"/>
    <w:rsid w:val="02F37286"/>
    <w:rsid w:val="032A08A9"/>
    <w:rsid w:val="047C1F22"/>
    <w:rsid w:val="04D27A8F"/>
    <w:rsid w:val="060D2CFC"/>
    <w:rsid w:val="073A17D5"/>
    <w:rsid w:val="086802D6"/>
    <w:rsid w:val="093C7515"/>
    <w:rsid w:val="09C53F4D"/>
    <w:rsid w:val="0ADA3393"/>
    <w:rsid w:val="0B5E0D2C"/>
    <w:rsid w:val="0E284B65"/>
    <w:rsid w:val="0E50512F"/>
    <w:rsid w:val="0EBD4DA9"/>
    <w:rsid w:val="11DC3D08"/>
    <w:rsid w:val="1258703A"/>
    <w:rsid w:val="133548C2"/>
    <w:rsid w:val="15251DC0"/>
    <w:rsid w:val="1566459C"/>
    <w:rsid w:val="171D5726"/>
    <w:rsid w:val="174A73E4"/>
    <w:rsid w:val="17721EFD"/>
    <w:rsid w:val="18B0219A"/>
    <w:rsid w:val="19145446"/>
    <w:rsid w:val="19AE7F1F"/>
    <w:rsid w:val="1BAC22BA"/>
    <w:rsid w:val="1CCC043C"/>
    <w:rsid w:val="1EA12189"/>
    <w:rsid w:val="1EF47484"/>
    <w:rsid w:val="1EFA3FEE"/>
    <w:rsid w:val="1F86243A"/>
    <w:rsid w:val="20375D54"/>
    <w:rsid w:val="223164FE"/>
    <w:rsid w:val="22671838"/>
    <w:rsid w:val="240B3F61"/>
    <w:rsid w:val="24D96B3A"/>
    <w:rsid w:val="26660055"/>
    <w:rsid w:val="275727DB"/>
    <w:rsid w:val="27827ED1"/>
    <w:rsid w:val="280E2929"/>
    <w:rsid w:val="2899223C"/>
    <w:rsid w:val="290F55DF"/>
    <w:rsid w:val="2B0243F5"/>
    <w:rsid w:val="2D627E15"/>
    <w:rsid w:val="2DFF4A93"/>
    <w:rsid w:val="2F57215C"/>
    <w:rsid w:val="306F38EF"/>
    <w:rsid w:val="30FF464F"/>
    <w:rsid w:val="3148636A"/>
    <w:rsid w:val="3157517A"/>
    <w:rsid w:val="332A7FA1"/>
    <w:rsid w:val="33847B2A"/>
    <w:rsid w:val="34775CFD"/>
    <w:rsid w:val="36947C9C"/>
    <w:rsid w:val="369750BD"/>
    <w:rsid w:val="375834B2"/>
    <w:rsid w:val="38455B21"/>
    <w:rsid w:val="38AE530B"/>
    <w:rsid w:val="38C34490"/>
    <w:rsid w:val="3D8F18AF"/>
    <w:rsid w:val="3F3F2893"/>
    <w:rsid w:val="3FFB1D69"/>
    <w:rsid w:val="40226B59"/>
    <w:rsid w:val="403D4763"/>
    <w:rsid w:val="41C30E6E"/>
    <w:rsid w:val="425A5DDC"/>
    <w:rsid w:val="42632EB5"/>
    <w:rsid w:val="440D3B65"/>
    <w:rsid w:val="44A055B9"/>
    <w:rsid w:val="475105C8"/>
    <w:rsid w:val="4793105E"/>
    <w:rsid w:val="497168F0"/>
    <w:rsid w:val="49786A79"/>
    <w:rsid w:val="4A8D20EA"/>
    <w:rsid w:val="4AA90519"/>
    <w:rsid w:val="4B262484"/>
    <w:rsid w:val="4B6175FF"/>
    <w:rsid w:val="4BB914E6"/>
    <w:rsid w:val="4E366D7B"/>
    <w:rsid w:val="4E866436"/>
    <w:rsid w:val="4F4037B5"/>
    <w:rsid w:val="4FEF7D35"/>
    <w:rsid w:val="53751282"/>
    <w:rsid w:val="53BD1437"/>
    <w:rsid w:val="53F91E43"/>
    <w:rsid w:val="55454B05"/>
    <w:rsid w:val="56730968"/>
    <w:rsid w:val="573F6115"/>
    <w:rsid w:val="57B07810"/>
    <w:rsid w:val="57EC081C"/>
    <w:rsid w:val="596468A7"/>
    <w:rsid w:val="59CE1370"/>
    <w:rsid w:val="5A187A6B"/>
    <w:rsid w:val="608F4592"/>
    <w:rsid w:val="60C84562"/>
    <w:rsid w:val="634353AD"/>
    <w:rsid w:val="65021617"/>
    <w:rsid w:val="65A23317"/>
    <w:rsid w:val="65D13CB7"/>
    <w:rsid w:val="66A3452E"/>
    <w:rsid w:val="672C6811"/>
    <w:rsid w:val="697A40D9"/>
    <w:rsid w:val="6B5C42C6"/>
    <w:rsid w:val="6BBF1F84"/>
    <w:rsid w:val="6D695FD0"/>
    <w:rsid w:val="6E030F09"/>
    <w:rsid w:val="71402483"/>
    <w:rsid w:val="7494710A"/>
    <w:rsid w:val="75491FA8"/>
    <w:rsid w:val="75C8586C"/>
    <w:rsid w:val="77C65C12"/>
    <w:rsid w:val="781C1090"/>
    <w:rsid w:val="7921606A"/>
    <w:rsid w:val="7AAD2EBE"/>
    <w:rsid w:val="7AB85CD4"/>
    <w:rsid w:val="7B650DBF"/>
    <w:rsid w:val="7B703E01"/>
    <w:rsid w:val="7C332078"/>
    <w:rsid w:val="7CB1776E"/>
    <w:rsid w:val="7DF17FD9"/>
    <w:rsid w:val="7E98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5">
    <w:name w:val="font51"/>
    <w:basedOn w:val="2"/>
    <w:qFormat/>
    <w:uiPriority w:val="0"/>
    <w:rPr>
      <w:rFonts w:hint="eastAsia" w:ascii="宋体" w:hAnsi="宋体" w:eastAsia="宋体" w:cs="宋体"/>
      <w:color w:val="000000"/>
      <w:sz w:val="18"/>
      <w:szCs w:val="18"/>
      <w:u w:val="none"/>
    </w:rPr>
  </w:style>
  <w:style w:type="character" w:customStyle="1" w:styleId="6">
    <w:name w:val="font01"/>
    <w:basedOn w:val="2"/>
    <w:qFormat/>
    <w:uiPriority w:val="0"/>
    <w:rPr>
      <w:rFonts w:hint="default" w:ascii="Times New Roman" w:hAnsi="Times New Roman" w:cs="Times New Roman"/>
      <w:color w:val="000000"/>
      <w:sz w:val="18"/>
      <w:szCs w:val="18"/>
      <w:u w:val="none"/>
    </w:rPr>
  </w:style>
  <w:style w:type="character" w:customStyle="1" w:styleId="7">
    <w:name w:val="font2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2019-02-18T04:18:00Z</dcterms:created>
  <dc:creator> </dc:creator>
  <cp:lastModifiedBy>朱晓蕾</cp:lastModifiedBy>
  <dcterms:modified xsi:type="dcterms:W3CDTF">2019-02-26T09:32:42Z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