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eastAsia="方正小标宋简体"/>
          <w:sz w:val="44"/>
          <w:szCs w:val="44"/>
        </w:rPr>
      </w:pPr>
      <w:bookmarkStart w:id="0" w:name="_Toc15127550"/>
      <w:bookmarkStart w:id="1" w:name="_Toc4760"/>
      <w:bookmarkStart w:id="2" w:name="_Toc28612215"/>
      <w:bookmarkStart w:id="3" w:name="_Toc14583"/>
      <w:bookmarkStart w:id="4" w:name="_Toc8585"/>
      <w:bookmarkStart w:id="5" w:name="_Toc25561"/>
      <w:bookmarkStart w:id="6" w:name="_Toc14197069"/>
      <w:bookmarkStart w:id="7" w:name="_Toc22073"/>
      <w:bookmarkStart w:id="8" w:name="_Toc29688"/>
      <w:bookmarkStart w:id="9" w:name="_Toc20690"/>
      <w:bookmarkStart w:id="10" w:name="_Toc13356"/>
      <w:bookmarkStart w:id="11" w:name="_Toc22578"/>
      <w:bookmarkStart w:id="12" w:name="_Toc9510"/>
      <w:bookmarkStart w:id="13" w:name="_Toc518659487"/>
      <w:bookmarkStart w:id="14" w:name="_Toc518660040"/>
      <w:bookmarkStart w:id="15" w:name="_Toc520633865"/>
      <w:bookmarkStart w:id="16" w:name="_Toc518659872"/>
      <w:r>
        <w:rPr>
          <w:rFonts w:hint="eastAsia" w:ascii="方正小标宋简体" w:eastAsia="方正小标宋简体"/>
          <w:sz w:val="44"/>
          <w:szCs w:val="44"/>
        </w:rPr>
        <w:t>查账个体户个人所得税经营所得</w:t>
      </w:r>
      <w:bookmarkStart w:id="285" w:name="_GoBack"/>
      <w:r>
        <w:rPr>
          <w:rFonts w:hint="eastAsia" w:ascii="方正小标宋简体" w:eastAsia="方正小标宋简体"/>
          <w:sz w:val="44"/>
          <w:szCs w:val="44"/>
          <w:lang w:val="en-US" w:eastAsia="zh-CN"/>
        </w:rPr>
        <w:t>网上</w:t>
      </w:r>
      <w:bookmarkEnd w:id="285"/>
      <w:r>
        <w:rPr>
          <w:rFonts w:hint="eastAsia" w:ascii="方正小标宋简体" w:eastAsia="方正小标宋简体"/>
          <w:sz w:val="44"/>
          <w:szCs w:val="44"/>
        </w:rPr>
        <w:t>申报</w:t>
      </w:r>
    </w:p>
    <w:p>
      <w:pPr>
        <w:jc w:val="center"/>
        <w:rPr>
          <w:rFonts w:hint="eastAsia" w:ascii="方正小标宋简体" w:eastAsia="方正小标宋简体"/>
          <w:sz w:val="44"/>
          <w:szCs w:val="44"/>
        </w:rPr>
      </w:pPr>
      <w:r>
        <w:rPr>
          <w:rFonts w:hint="eastAsia" w:ascii="方正小标宋简体" w:eastAsia="方正小标宋简体"/>
          <w:sz w:val="44"/>
          <w:szCs w:val="44"/>
        </w:rPr>
        <w:t>操作手册</w:t>
      </w:r>
    </w:p>
    <w:p>
      <w:pPr>
        <w:rPr>
          <w:rFonts w:ascii="方正小标宋简体" w:eastAsia="方正小标宋简体"/>
          <w:b/>
          <w:bCs/>
          <w:sz w:val="36"/>
          <w:szCs w:val="44"/>
        </w:rPr>
      </w:pPr>
    </w:p>
    <w:p>
      <w:pPr>
        <w:rPr>
          <w:rFonts w:ascii="黑体" w:hAnsi="黑体" w:eastAsia="黑体"/>
          <w:b/>
          <w:bCs/>
          <w:sz w:val="32"/>
          <w:szCs w:val="32"/>
        </w:rPr>
      </w:pPr>
      <w:bookmarkStart w:id="17" w:name="_Toc28903518"/>
    </w:p>
    <w:p>
      <w:pPr>
        <w:rPr>
          <w:rFonts w:ascii="黑体" w:hAnsi="黑体" w:eastAsia="黑体"/>
          <w:b/>
          <w:bCs/>
          <w:sz w:val="32"/>
          <w:szCs w:val="32"/>
        </w:rPr>
      </w:pPr>
      <w:r>
        <w:rPr>
          <w:rFonts w:ascii="黑体" w:hAnsi="黑体" w:eastAsia="黑体"/>
          <w:b/>
          <w:bCs/>
          <w:sz w:val="32"/>
          <w:szCs w:val="32"/>
        </w:rPr>
        <w:t>1</w:t>
      </w:r>
      <w:r>
        <w:rPr>
          <w:rFonts w:hint="eastAsia" w:ascii="黑体" w:hAnsi="黑体" w:eastAsia="黑体"/>
          <w:b/>
          <w:bCs/>
          <w:sz w:val="32"/>
          <w:szCs w:val="32"/>
        </w:rPr>
        <w:t>、</w:t>
      </w:r>
      <w:bookmarkEnd w:id="0"/>
      <w:bookmarkEnd w:id="1"/>
      <w:bookmarkEnd w:id="2"/>
      <w:bookmarkEnd w:id="3"/>
      <w:bookmarkEnd w:id="4"/>
      <w:bookmarkEnd w:id="5"/>
      <w:bookmarkEnd w:id="6"/>
      <w:bookmarkEnd w:id="7"/>
      <w:bookmarkEnd w:id="8"/>
      <w:bookmarkEnd w:id="9"/>
      <w:bookmarkEnd w:id="10"/>
      <w:bookmarkEnd w:id="11"/>
      <w:bookmarkEnd w:id="12"/>
      <w:bookmarkEnd w:id="17"/>
      <w:r>
        <w:rPr>
          <w:rFonts w:hint="eastAsia" w:ascii="黑体" w:hAnsi="黑体" w:eastAsia="黑体"/>
          <w:b/>
          <w:bCs/>
          <w:sz w:val="32"/>
          <w:szCs w:val="32"/>
        </w:rPr>
        <w:t>安装个人所得税扣缴客户端</w:t>
      </w:r>
    </w:p>
    <w:p>
      <w:pPr>
        <w:ind w:left="659" w:hanging="659" w:hangingChars="205"/>
        <w:rPr>
          <w:rFonts w:ascii="楷体_GB2312" w:eastAsia="楷体_GB2312"/>
          <w:b/>
          <w:bCs/>
          <w:sz w:val="32"/>
          <w:szCs w:val="32"/>
        </w:rPr>
      </w:pPr>
      <w:bookmarkStart w:id="18" w:name="_Toc4593"/>
      <w:bookmarkStart w:id="19" w:name="_Toc9327"/>
      <w:bookmarkStart w:id="20" w:name="_Toc28612216"/>
      <w:bookmarkStart w:id="21" w:name="_Toc28903519"/>
      <w:bookmarkStart w:id="22" w:name="_Toc11438"/>
      <w:bookmarkStart w:id="23" w:name="_Toc14197070"/>
      <w:bookmarkStart w:id="24" w:name="_Toc19709"/>
      <w:bookmarkStart w:id="25" w:name="_Toc15127551"/>
      <w:bookmarkStart w:id="26" w:name="_Toc14480"/>
      <w:bookmarkStart w:id="27" w:name="_Toc28135"/>
      <w:r>
        <w:rPr>
          <w:rFonts w:hint="eastAsia" w:ascii="楷体_GB2312" w:eastAsia="楷体_GB2312"/>
          <w:b/>
          <w:bCs/>
          <w:sz w:val="32"/>
          <w:szCs w:val="32"/>
        </w:rPr>
        <w:t>1.1运行环境</w:t>
      </w:r>
      <w:bookmarkEnd w:id="13"/>
      <w:bookmarkEnd w:id="14"/>
      <w:bookmarkEnd w:id="15"/>
      <w:bookmarkEnd w:id="16"/>
      <w:bookmarkEnd w:id="18"/>
      <w:bookmarkEnd w:id="19"/>
      <w:bookmarkEnd w:id="20"/>
      <w:bookmarkEnd w:id="21"/>
      <w:bookmarkEnd w:id="22"/>
      <w:bookmarkEnd w:id="23"/>
      <w:bookmarkEnd w:id="24"/>
      <w:bookmarkEnd w:id="25"/>
      <w:bookmarkEnd w:id="26"/>
      <w:bookmarkEnd w:id="27"/>
    </w:p>
    <w:p>
      <w:r>
        <w:rPr>
          <w:rFonts w:hint="eastAsia"/>
        </w:rPr>
        <w:t>操作系统： Windows 7/ Windows 8/ Windows 10 中文操作系统；</w:t>
      </w:r>
    </w:p>
    <w:p>
      <w:r>
        <w:rPr>
          <w:rFonts w:hint="eastAsia"/>
        </w:rPr>
        <w:t>分辨率：推荐1366×768；</w:t>
      </w:r>
    </w:p>
    <w:p>
      <w:r>
        <w:rPr>
          <w:rFonts w:hint="eastAsia"/>
        </w:rPr>
        <w:t>系统日期：必须设置成当天日期；</w:t>
      </w:r>
    </w:p>
    <w:p>
      <w:r>
        <w:rPr>
          <w:rFonts w:hint="eastAsia"/>
        </w:rPr>
        <w:t>日期格式：YYYY-MM-DD（以Windows 7为例：电脑桌面右下角点击日历→更改日期和时间设置→更改日期和时间”中设置）；</w:t>
      </w:r>
    </w:p>
    <w:p>
      <w:r>
        <w:rPr>
          <w:rFonts w:hint="eastAsia"/>
        </w:rPr>
        <w:t>内存：建议 4G及以上；</w:t>
      </w:r>
    </w:p>
    <w:p>
      <w:r>
        <w:rPr>
          <w:rFonts w:hint="eastAsia"/>
        </w:rPr>
        <w:t>硬盘：建议硬盘合计大小500G及以上；</w:t>
      </w:r>
    </w:p>
    <w:p>
      <w:r>
        <w:rPr>
          <w:rFonts w:hint="eastAsia"/>
        </w:rPr>
        <w:t>网络：直接连接网络即可。</w:t>
      </w:r>
    </w:p>
    <w:p>
      <w:pPr>
        <w:ind w:left="659" w:hanging="659" w:hangingChars="205"/>
        <w:rPr>
          <w:rFonts w:ascii="楷体_GB2312" w:eastAsia="楷体_GB2312"/>
          <w:b/>
          <w:bCs/>
          <w:sz w:val="32"/>
          <w:szCs w:val="32"/>
        </w:rPr>
      </w:pPr>
      <w:bookmarkStart w:id="28" w:name="_Toc14197071"/>
      <w:bookmarkStart w:id="29" w:name="_Toc22879"/>
      <w:bookmarkStart w:id="30" w:name="_Toc28612217"/>
      <w:bookmarkStart w:id="31" w:name="_Toc28903520"/>
      <w:bookmarkStart w:id="32" w:name="_Toc14615"/>
      <w:bookmarkStart w:id="33" w:name="_Toc12610"/>
      <w:bookmarkStart w:id="34" w:name="_Toc29348"/>
      <w:bookmarkStart w:id="35" w:name="_Toc15127552"/>
      <w:bookmarkStart w:id="36" w:name="_Toc17502"/>
      <w:bookmarkStart w:id="37" w:name="_Toc2697"/>
      <w:r>
        <w:rPr>
          <w:rFonts w:ascii="楷体_GB2312" w:eastAsia="楷体_GB2312"/>
          <w:b/>
          <w:bCs/>
          <w:sz w:val="32"/>
          <w:szCs w:val="32"/>
        </w:rPr>
        <w:t>1</w:t>
      </w:r>
      <w:r>
        <w:rPr>
          <w:rFonts w:hint="eastAsia" w:ascii="楷体_GB2312" w:eastAsia="楷体_GB2312"/>
          <w:b/>
          <w:bCs/>
          <w:sz w:val="32"/>
          <w:szCs w:val="32"/>
        </w:rPr>
        <w:t>.</w:t>
      </w:r>
      <w:r>
        <w:rPr>
          <w:rFonts w:ascii="楷体_GB2312" w:eastAsia="楷体_GB2312"/>
          <w:b/>
          <w:bCs/>
          <w:sz w:val="32"/>
          <w:szCs w:val="32"/>
        </w:rPr>
        <w:t>2</w:t>
      </w:r>
      <w:r>
        <w:rPr>
          <w:rFonts w:hint="eastAsia" w:ascii="楷体_GB2312" w:eastAsia="楷体_GB2312"/>
          <w:b/>
          <w:bCs/>
          <w:sz w:val="32"/>
          <w:szCs w:val="32"/>
        </w:rPr>
        <w:t>系统安装</w:t>
      </w:r>
      <w:bookmarkEnd w:id="28"/>
      <w:bookmarkEnd w:id="29"/>
      <w:bookmarkEnd w:id="30"/>
      <w:bookmarkEnd w:id="31"/>
      <w:bookmarkEnd w:id="32"/>
      <w:bookmarkEnd w:id="33"/>
      <w:bookmarkEnd w:id="34"/>
      <w:bookmarkEnd w:id="35"/>
      <w:bookmarkEnd w:id="36"/>
      <w:bookmarkEnd w:id="37"/>
    </w:p>
    <w:p>
      <w:r>
        <w:rPr>
          <w:rFonts w:hint="eastAsia"/>
        </w:rPr>
        <w:t>各地在</w:t>
      </w:r>
      <w:r>
        <w:t>自然人电子税务局（扣缴端）</w:t>
      </w:r>
      <w:r>
        <w:rPr>
          <w:rFonts w:hint="eastAsia"/>
        </w:rPr>
        <w:t>上线时，会通过多种方式通知用户下载安装包。可在登录</w:t>
      </w:r>
      <w:r>
        <w:fldChar w:fldCharType="begin"/>
      </w:r>
      <w:r>
        <w:instrText xml:space="preserve"> HYPERLINK "https://etax.xinjiang.chinatax.gov.cn/gzfw/xzfw/rj/ssrj/index.html" </w:instrText>
      </w:r>
      <w:r>
        <w:fldChar w:fldCharType="separate"/>
      </w:r>
      <w:r>
        <w:rPr>
          <w:rStyle w:val="5"/>
        </w:rPr>
        <w:t>https://etax.xinjiang.chinatax.gov.cn/gzfw/xzfw/rj/ssrj/index.html</w:t>
      </w:r>
      <w:r>
        <w:rPr>
          <w:rStyle w:val="5"/>
        </w:rPr>
        <w:fldChar w:fldCharType="end"/>
      </w:r>
      <w:r>
        <w:rPr>
          <w:rFonts w:hint="eastAsia"/>
        </w:rPr>
        <w:t>，鼠标左键点击自然人税收管理系统扣缴客户端（新疆），进行软件下载</w:t>
      </w:r>
    </w:p>
    <w:p>
      <w:r>
        <w:drawing>
          <wp:inline distT="0" distB="0" distL="0" distR="0">
            <wp:extent cx="5274310" cy="2671445"/>
            <wp:effectExtent l="0" t="0" r="2540" b="0"/>
            <wp:docPr id="1" name="图片 1" descr="C:\Users\shan\AppData\Local\Temp\企业微信截图_15779800855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shan\AppData\Local\Temp\企业微信截图_15779800855426.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5274310" cy="2671585"/>
                    </a:xfrm>
                    <a:prstGeom prst="rect">
                      <a:avLst/>
                    </a:prstGeom>
                    <a:noFill/>
                    <a:ln>
                      <a:noFill/>
                    </a:ln>
                  </pic:spPr>
                </pic:pic>
              </a:graphicData>
            </a:graphic>
          </wp:inline>
        </w:drawing>
      </w:r>
    </w:p>
    <w:p/>
    <w:p/>
    <w:p>
      <w:r>
        <w:rPr>
          <w:rFonts w:hint="eastAsia"/>
        </w:rPr>
        <w:t>双击安装包程序，点击【立即安装】，即可安装扣缴端到本地电脑，也可选择自定义安装目录进行安装。</w:t>
      </w:r>
    </w:p>
    <w:p>
      <w:r>
        <w:drawing>
          <wp:inline distT="0" distB="0" distL="0" distR="0">
            <wp:extent cx="5268595" cy="3516630"/>
            <wp:effectExtent l="0" t="0" r="8255" b="762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268595" cy="3516630"/>
                    </a:xfrm>
                    <a:prstGeom prst="rect">
                      <a:avLst/>
                    </a:prstGeom>
                    <a:noFill/>
                    <a:ln>
                      <a:noFill/>
                    </a:ln>
                  </pic:spPr>
                </pic:pic>
              </a:graphicData>
            </a:graphic>
          </wp:inline>
        </w:drawing>
      </w:r>
    </w:p>
    <w:p>
      <w:r>
        <w:rPr>
          <w:rFonts w:hint="eastAsia"/>
          <w:b/>
          <w:bCs/>
        </w:rPr>
        <w:t>注意事项</w:t>
      </w:r>
      <w:r>
        <w:rPr>
          <w:rFonts w:hint="eastAsia"/>
        </w:rPr>
        <w:t>：若已在电脑中安装过扣缴端，双击安装包将提示“修复”或“卸载”。</w:t>
      </w:r>
    </w:p>
    <w:p>
      <w:pPr>
        <w:rPr>
          <w:b/>
          <w:bCs/>
        </w:rPr>
      </w:pPr>
      <w:bookmarkStart w:id="38" w:name="_Toc520633867"/>
      <w:bookmarkStart w:id="39" w:name="_Toc518660042"/>
      <w:bookmarkStart w:id="40" w:name="_Toc518659489"/>
      <w:bookmarkStart w:id="41" w:name="_Toc518659874"/>
      <w:r>
        <w:drawing>
          <wp:inline distT="0" distB="0" distL="0" distR="0">
            <wp:extent cx="5275580" cy="3573145"/>
            <wp:effectExtent l="0" t="0" r="1270" b="8255"/>
            <wp:docPr id="10"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5580" cy="3573145"/>
                    </a:xfrm>
                    <a:prstGeom prst="rect">
                      <a:avLst/>
                    </a:prstGeom>
                    <a:noFill/>
                    <a:ln>
                      <a:noFill/>
                    </a:ln>
                  </pic:spPr>
                </pic:pic>
              </a:graphicData>
            </a:graphic>
          </wp:inline>
        </w:drawing>
      </w:r>
    </w:p>
    <w:p>
      <w:pPr>
        <w:ind w:left="659" w:hanging="659" w:hangingChars="205"/>
        <w:rPr>
          <w:rFonts w:ascii="楷体_GB2312" w:eastAsia="楷体_GB2312"/>
          <w:b/>
          <w:bCs/>
          <w:sz w:val="32"/>
          <w:szCs w:val="32"/>
        </w:rPr>
      </w:pPr>
      <w:bookmarkStart w:id="42" w:name="_Toc920"/>
      <w:bookmarkStart w:id="43" w:name="_Toc14197072"/>
      <w:bookmarkStart w:id="44" w:name="_Toc28612218"/>
      <w:bookmarkStart w:id="45" w:name="_Toc1597"/>
      <w:bookmarkStart w:id="46" w:name="_Toc1495"/>
      <w:bookmarkStart w:id="47" w:name="_Toc15127553"/>
      <w:bookmarkStart w:id="48" w:name="_Toc31059"/>
      <w:bookmarkStart w:id="49" w:name="_Toc20605"/>
      <w:bookmarkStart w:id="50" w:name="_Toc8876"/>
      <w:bookmarkStart w:id="51" w:name="_Toc28903521"/>
      <w:r>
        <w:rPr>
          <w:rFonts w:ascii="楷体_GB2312" w:eastAsia="楷体_GB2312"/>
          <w:b/>
          <w:bCs/>
          <w:sz w:val="32"/>
          <w:szCs w:val="32"/>
        </w:rPr>
        <w:t>1</w:t>
      </w:r>
      <w:r>
        <w:rPr>
          <w:rFonts w:hint="eastAsia" w:ascii="楷体_GB2312" w:eastAsia="楷体_GB2312"/>
          <w:b/>
          <w:bCs/>
          <w:sz w:val="32"/>
          <w:szCs w:val="32"/>
        </w:rPr>
        <w:t>.3系统初始化</w:t>
      </w:r>
      <w:bookmarkEnd w:id="38"/>
      <w:bookmarkEnd w:id="39"/>
      <w:bookmarkEnd w:id="40"/>
      <w:bookmarkEnd w:id="41"/>
      <w:bookmarkEnd w:id="42"/>
      <w:bookmarkEnd w:id="43"/>
      <w:bookmarkEnd w:id="44"/>
      <w:bookmarkEnd w:id="45"/>
      <w:bookmarkEnd w:id="46"/>
      <w:bookmarkEnd w:id="47"/>
      <w:bookmarkEnd w:id="48"/>
      <w:bookmarkEnd w:id="49"/>
      <w:bookmarkEnd w:id="50"/>
      <w:bookmarkEnd w:id="51"/>
    </w:p>
    <w:p>
      <w:r>
        <w:rPr>
          <w:rFonts w:hint="eastAsia"/>
        </w:rPr>
        <w:t>系统安装完成后，需要进行系统初始化注册。初始化注册的过程，即通过纳税人识别号从税务机关系统获取最新的企业信息，保存到本地扣缴端的过程。</w:t>
      </w:r>
    </w:p>
    <w:p>
      <w:r>
        <w:rPr>
          <w:rFonts w:hint="eastAsia"/>
        </w:rPr>
        <w:drawing>
          <wp:inline distT="0" distB="0" distL="0" distR="0">
            <wp:extent cx="5078730" cy="3369310"/>
            <wp:effectExtent l="0" t="0" r="7620" b="2540"/>
            <wp:docPr id="9" name="图片 9"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078730" cy="3369310"/>
                    </a:xfrm>
                    <a:prstGeom prst="rect">
                      <a:avLst/>
                    </a:prstGeom>
                    <a:noFill/>
                    <a:ln>
                      <a:noFill/>
                    </a:ln>
                  </pic:spPr>
                </pic:pic>
              </a:graphicData>
            </a:graphic>
          </wp:inline>
        </w:drawing>
      </w:r>
    </w:p>
    <w:p>
      <w:r>
        <w:rPr>
          <w:rFonts w:hint="eastAsia"/>
        </w:rPr>
        <w:t>点击安装完成界面上的【立即体验】（或点击桌面“</w:t>
      </w:r>
      <w:r>
        <w:t>自然人电子税务局（扣缴端）</w:t>
      </w:r>
      <w:r>
        <w:rPr>
          <w:rFonts w:hint="eastAsia"/>
        </w:rPr>
        <w:t>”快捷方式），进入版本选择界面。除</w:t>
      </w:r>
      <w:r>
        <w:t>了在办税大厅</w:t>
      </w:r>
      <w:r>
        <w:rPr>
          <w:rFonts w:hint="eastAsia"/>
        </w:rPr>
        <w:t>终</w:t>
      </w:r>
      <w:r>
        <w:t>端上部署的客户端选择“</w:t>
      </w:r>
      <w:r>
        <w:rPr>
          <w:rFonts w:hint="eastAsia"/>
        </w:rPr>
        <w:t>办</w:t>
      </w:r>
      <w:r>
        <w:t>税大厅版”</w:t>
      </w:r>
      <w:r>
        <w:rPr>
          <w:rFonts w:hint="eastAsia"/>
        </w:rPr>
        <w:t>外</w:t>
      </w:r>
      <w:r>
        <w:t>，其他均选择默认选项，即“</w:t>
      </w:r>
      <w:r>
        <w:rPr>
          <w:rFonts w:hint="eastAsia"/>
        </w:rPr>
        <w:t>扣</w:t>
      </w:r>
      <w:r>
        <w:t>缴单位版”</w:t>
      </w:r>
      <w:r>
        <w:rPr>
          <w:rFonts w:hint="eastAsia"/>
        </w:rPr>
        <w:t>。</w:t>
      </w:r>
    </w:p>
    <w:p>
      <w:r>
        <w:drawing>
          <wp:inline distT="0" distB="0" distL="0" distR="0">
            <wp:extent cx="5275580" cy="369951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5580" cy="3699510"/>
                    </a:xfrm>
                    <a:prstGeom prst="rect">
                      <a:avLst/>
                    </a:prstGeom>
                    <a:noFill/>
                    <a:ln>
                      <a:noFill/>
                    </a:ln>
                  </pic:spPr>
                </pic:pic>
              </a:graphicData>
            </a:graphic>
          </wp:inline>
        </w:drawing>
      </w:r>
    </w:p>
    <w:p>
      <w:pPr>
        <w:rPr>
          <w:b/>
          <w:bCs/>
        </w:rPr>
      </w:pPr>
      <w:bookmarkStart w:id="52" w:name="_Toc518659875"/>
      <w:bookmarkStart w:id="53" w:name="_Toc518659490"/>
      <w:bookmarkStart w:id="54" w:name="_Toc518660043"/>
      <w:r>
        <w:rPr>
          <w:rFonts w:hint="eastAsia"/>
          <w:b/>
          <w:bCs/>
        </w:rPr>
        <w:t>注册第一步：录入单位信息</w:t>
      </w:r>
      <w:bookmarkEnd w:id="52"/>
      <w:bookmarkEnd w:id="53"/>
      <w:bookmarkEnd w:id="54"/>
    </w:p>
    <w:p>
      <w:r>
        <w:rPr>
          <w:rFonts w:hint="eastAsia"/>
        </w:rPr>
        <w:t>在[纳税人识别号]/[确认纳税人识别号]的位置输入扣缴单位的纳税人识别号，已进行过三证合一的单位则输入统一社会信用代码，点击【下一步】，即可完成注册的第一步。</w:t>
      </w:r>
    </w:p>
    <w:p>
      <w:r>
        <w:drawing>
          <wp:inline distT="0" distB="0" distL="0" distR="0">
            <wp:extent cx="5268595" cy="3228340"/>
            <wp:effectExtent l="0" t="0" r="8255" b="0"/>
            <wp:docPr id="7" name="图片 7"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8595" cy="3228340"/>
                    </a:xfrm>
                    <a:prstGeom prst="rect">
                      <a:avLst/>
                    </a:prstGeom>
                    <a:noFill/>
                    <a:ln>
                      <a:noFill/>
                    </a:ln>
                  </pic:spPr>
                </pic:pic>
              </a:graphicData>
            </a:graphic>
          </wp:inline>
        </w:drawing>
      </w:r>
    </w:p>
    <w:p>
      <w:pPr>
        <w:rPr>
          <w:b/>
          <w:bCs/>
        </w:rPr>
      </w:pPr>
      <w:r>
        <w:rPr>
          <w:rFonts w:hint="eastAsia"/>
          <w:b/>
          <w:bCs/>
        </w:rPr>
        <w:t>注意事项：</w:t>
      </w:r>
    </w:p>
    <w:p>
      <w:pPr>
        <w:numPr>
          <w:ilvl w:val="0"/>
          <w:numId w:val="1"/>
        </w:numPr>
        <w:ind w:firstLine="420" w:firstLineChars="200"/>
      </w:pPr>
      <w:r>
        <w:rPr>
          <w:rFonts w:hint="eastAsia"/>
        </w:rPr>
        <w:t>[纳税人识别号]和[确认纳税人识别号]必须一致；</w:t>
      </w:r>
    </w:p>
    <w:p>
      <w:pPr>
        <w:numPr>
          <w:ilvl w:val="0"/>
          <w:numId w:val="1"/>
        </w:numPr>
        <w:ind w:firstLine="420" w:firstLineChars="200"/>
      </w:pPr>
      <w:r>
        <w:rPr>
          <w:rFonts w:hint="eastAsia"/>
        </w:rPr>
        <w:t>注册时必须确保电脑处于联网状态。</w:t>
      </w:r>
    </w:p>
    <w:p>
      <w:pPr>
        <w:rPr>
          <w:b/>
          <w:bCs/>
        </w:rPr>
      </w:pPr>
      <w:bookmarkStart w:id="55" w:name="_Toc518659876"/>
      <w:bookmarkStart w:id="56" w:name="_Toc518660044"/>
      <w:bookmarkStart w:id="57" w:name="_Toc518659491"/>
      <w:r>
        <w:rPr>
          <w:rFonts w:hint="eastAsia"/>
          <w:b/>
          <w:bCs/>
        </w:rPr>
        <w:t>注册第二步：获取办税信息</w:t>
      </w:r>
      <w:bookmarkEnd w:id="55"/>
      <w:bookmarkEnd w:id="56"/>
      <w:bookmarkEnd w:id="57"/>
    </w:p>
    <w:p>
      <w:r>
        <w:rPr>
          <w:rFonts w:hint="eastAsia"/>
        </w:rPr>
        <w:t>系统自动从税务机关端口获取最新的当地年平均工资、月平均工资以及月公积金减除上限等办税基础信息。</w:t>
      </w:r>
    </w:p>
    <w:p>
      <w:pPr>
        <w:rPr>
          <w:b/>
          <w:bCs/>
        </w:rPr>
      </w:pPr>
      <w:bookmarkStart w:id="58" w:name="_Toc518659492"/>
      <w:bookmarkStart w:id="59" w:name="_Toc518659877"/>
      <w:bookmarkStart w:id="60" w:name="_Toc518660045"/>
      <w:r>
        <w:drawing>
          <wp:inline distT="0" distB="0" distL="0" distR="0">
            <wp:extent cx="5268595" cy="3228340"/>
            <wp:effectExtent l="0" t="0" r="8255" b="0"/>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68595" cy="3228340"/>
                    </a:xfrm>
                    <a:prstGeom prst="rect">
                      <a:avLst/>
                    </a:prstGeom>
                    <a:noFill/>
                    <a:ln>
                      <a:noFill/>
                    </a:ln>
                  </pic:spPr>
                </pic:pic>
              </a:graphicData>
            </a:graphic>
          </wp:inline>
        </w:drawing>
      </w:r>
    </w:p>
    <w:p>
      <w:pPr>
        <w:rPr>
          <w:b/>
          <w:bCs/>
        </w:rPr>
      </w:pPr>
      <w:r>
        <w:rPr>
          <w:rFonts w:hint="eastAsia"/>
          <w:b/>
          <w:bCs/>
        </w:rPr>
        <w:t>注册第三步：备案办税人员信息</w:t>
      </w:r>
      <w:bookmarkEnd w:id="58"/>
      <w:bookmarkEnd w:id="59"/>
      <w:bookmarkEnd w:id="60"/>
    </w:p>
    <w:p>
      <w:r>
        <w:rPr>
          <w:rFonts w:hint="eastAsia"/>
        </w:rPr>
        <w:t>办税人员如实填写姓名、手机号、岗位等信息。</w:t>
      </w:r>
    </w:p>
    <w:p>
      <w:pPr>
        <w:rPr>
          <w:b/>
          <w:bCs/>
        </w:rPr>
      </w:pPr>
      <w:bookmarkStart w:id="61" w:name="_Toc518659493"/>
      <w:bookmarkStart w:id="62" w:name="_Toc518660046"/>
      <w:bookmarkStart w:id="63" w:name="_Toc518659878"/>
      <w:r>
        <w:drawing>
          <wp:inline distT="0" distB="0" distL="0" distR="0">
            <wp:extent cx="5268595" cy="3228340"/>
            <wp:effectExtent l="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68595" cy="3228340"/>
                    </a:xfrm>
                    <a:prstGeom prst="rect">
                      <a:avLst/>
                    </a:prstGeom>
                    <a:noFill/>
                    <a:ln>
                      <a:noFill/>
                    </a:ln>
                  </pic:spPr>
                </pic:pic>
              </a:graphicData>
            </a:graphic>
          </wp:inline>
        </w:drawing>
      </w:r>
    </w:p>
    <w:bookmarkEnd w:id="61"/>
    <w:bookmarkEnd w:id="62"/>
    <w:bookmarkEnd w:id="63"/>
    <w:p>
      <w:pPr>
        <w:rPr>
          <w:b/>
          <w:bCs/>
        </w:rPr>
      </w:pPr>
      <w:bookmarkStart w:id="64" w:name="_Toc518660047"/>
      <w:bookmarkStart w:id="65" w:name="_Toc518659879"/>
      <w:bookmarkStart w:id="66" w:name="_Toc518659494"/>
      <w:r>
        <w:rPr>
          <w:rFonts w:hint="eastAsia"/>
          <w:b/>
          <w:bCs/>
        </w:rPr>
        <w:t>注册第四步：设置数据自动备份</w:t>
      </w:r>
      <w:bookmarkEnd w:id="64"/>
      <w:bookmarkEnd w:id="65"/>
      <w:bookmarkEnd w:id="66"/>
    </w:p>
    <w:p>
      <w:r>
        <w:rPr>
          <w:rFonts w:hint="eastAsia"/>
        </w:rPr>
        <w:t>扣缴端的数据是保存在本地电脑的，为防止重装操作系统或因操作系统损坏而造成数据丢失，建议启用自动备份功能。</w:t>
      </w:r>
    </w:p>
    <w:p>
      <w:r>
        <w:drawing>
          <wp:inline distT="0" distB="0" distL="0" distR="0">
            <wp:extent cx="5268595" cy="3228340"/>
            <wp:effectExtent l="0" t="0" r="8255" b="0"/>
            <wp:docPr id="4" name="图片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68595" cy="3228340"/>
                    </a:xfrm>
                    <a:prstGeom prst="rect">
                      <a:avLst/>
                    </a:prstGeom>
                    <a:noFill/>
                    <a:ln>
                      <a:noFill/>
                    </a:ln>
                  </pic:spPr>
                </pic:pic>
              </a:graphicData>
            </a:graphic>
          </wp:inline>
        </w:drawing>
      </w:r>
    </w:p>
    <w:p>
      <w:pPr>
        <w:rPr>
          <w:b/>
          <w:bCs/>
        </w:rPr>
      </w:pPr>
      <w:r>
        <w:rPr>
          <w:rFonts w:hint="eastAsia"/>
          <w:b/>
          <w:bCs/>
        </w:rPr>
        <w:t>注意事项：</w:t>
      </w:r>
    </w:p>
    <w:p>
      <w:pPr>
        <w:numPr>
          <w:ilvl w:val="0"/>
          <w:numId w:val="2"/>
        </w:numPr>
        <w:ind w:firstLine="420" w:firstLineChars="200"/>
      </w:pPr>
      <w:r>
        <w:rPr>
          <w:rFonts w:hint="eastAsia"/>
        </w:rPr>
        <w:t>勾选“启动自动备份”，每次退出系统时，都会自动备份数据；</w:t>
      </w:r>
    </w:p>
    <w:p>
      <w:pPr>
        <w:numPr>
          <w:ilvl w:val="0"/>
          <w:numId w:val="2"/>
        </w:numPr>
        <w:ind w:firstLine="420" w:firstLineChars="200"/>
      </w:pPr>
      <w:r>
        <w:rPr>
          <w:rFonts w:hint="eastAsia"/>
        </w:rPr>
        <w:t>勾选“自动备份前提醒”，每次退出系统时，都会弹出备份提示；</w:t>
      </w:r>
    </w:p>
    <w:p>
      <w:pPr>
        <w:numPr>
          <w:ilvl w:val="0"/>
          <w:numId w:val="2"/>
        </w:numPr>
        <w:ind w:firstLine="420" w:firstLineChars="200"/>
      </w:pPr>
      <w:r>
        <w:rPr>
          <w:rFonts w:hint="eastAsia"/>
        </w:rPr>
        <w:t>可以自行设置备份路径，建议不要放在电脑系统盘；</w:t>
      </w:r>
    </w:p>
    <w:p>
      <w:pPr>
        <w:numPr>
          <w:ilvl w:val="0"/>
          <w:numId w:val="2"/>
        </w:numPr>
        <w:ind w:firstLine="420" w:firstLineChars="200"/>
      </w:pPr>
      <w:r>
        <w:rPr>
          <w:rFonts w:hint="eastAsia"/>
        </w:rPr>
        <w:t>可以根据电脑硬盘大小，选择保留备份数据的份数。当系统中自动备份的数据份数到达设定份数时，会自动删除早期的备份数据。建议把需要永久保存的数据，转移到电脑其他位置；</w:t>
      </w:r>
    </w:p>
    <w:p>
      <w:pPr>
        <w:numPr>
          <w:ilvl w:val="0"/>
          <w:numId w:val="2"/>
        </w:numPr>
        <w:ind w:firstLine="420" w:firstLineChars="200"/>
      </w:pPr>
      <w:r>
        <w:rPr>
          <w:rFonts w:hint="eastAsia"/>
        </w:rPr>
        <w:t>进入系统后，可点击【系统设置】→【系统管理】→【备份恢复】→【自动备份】修改数据自动备份的相关设置。</w:t>
      </w:r>
    </w:p>
    <w:p>
      <w:pPr>
        <w:ind w:left="659" w:hanging="659" w:hangingChars="205"/>
        <w:rPr>
          <w:rFonts w:ascii="楷体_GB2312" w:eastAsia="楷体_GB2312"/>
          <w:b/>
          <w:bCs/>
          <w:sz w:val="32"/>
          <w:szCs w:val="32"/>
        </w:rPr>
      </w:pPr>
      <w:bookmarkStart w:id="67" w:name="_Toc28903522"/>
      <w:bookmarkStart w:id="68" w:name="_Toc10515"/>
      <w:bookmarkStart w:id="69" w:name="_Toc11901"/>
      <w:bookmarkStart w:id="70" w:name="_Toc29464"/>
      <w:bookmarkStart w:id="71" w:name="_Toc19463"/>
      <w:bookmarkStart w:id="72" w:name="_Toc14197073"/>
      <w:bookmarkStart w:id="73" w:name="_Toc15127554"/>
      <w:bookmarkStart w:id="74" w:name="_Toc28612219"/>
      <w:bookmarkStart w:id="75" w:name="_Toc32566"/>
      <w:bookmarkStart w:id="76" w:name="_Toc17583"/>
      <w:r>
        <w:rPr>
          <w:rFonts w:ascii="楷体_GB2312" w:eastAsia="楷体_GB2312"/>
          <w:b/>
          <w:bCs/>
          <w:sz w:val="32"/>
          <w:szCs w:val="32"/>
        </w:rPr>
        <w:t>1</w:t>
      </w:r>
      <w:r>
        <w:rPr>
          <w:rFonts w:hint="eastAsia" w:ascii="楷体_GB2312" w:eastAsia="楷体_GB2312"/>
          <w:b/>
          <w:bCs/>
          <w:sz w:val="32"/>
          <w:szCs w:val="32"/>
        </w:rPr>
        <w:t>.4系统首页简介</w:t>
      </w:r>
      <w:bookmarkEnd w:id="67"/>
      <w:bookmarkEnd w:id="68"/>
      <w:bookmarkEnd w:id="69"/>
      <w:bookmarkEnd w:id="70"/>
      <w:bookmarkEnd w:id="71"/>
      <w:bookmarkEnd w:id="72"/>
      <w:bookmarkEnd w:id="73"/>
      <w:bookmarkEnd w:id="74"/>
      <w:bookmarkEnd w:id="75"/>
      <w:bookmarkEnd w:id="76"/>
    </w:p>
    <w:p>
      <w:pPr>
        <w:rPr>
          <w:b/>
        </w:rPr>
      </w:pPr>
      <w:r>
        <w:rPr>
          <w:rFonts w:hint="eastAsia"/>
          <w:b/>
          <w:bCs/>
        </w:rPr>
        <w:t>税款所属月份</w:t>
      </w:r>
      <w:r>
        <w:rPr>
          <w:rFonts w:hint="eastAsia"/>
        </w:rPr>
        <w:t>：默认为系统当前时间的上月。例如：当前时间为2019年</w:t>
      </w:r>
      <w:r>
        <w:t>8</w:t>
      </w:r>
      <w:r>
        <w:rPr>
          <w:rFonts w:hint="eastAsia"/>
        </w:rPr>
        <w:t>月1日，则[税款所属月份]为2019年</w:t>
      </w:r>
      <w:r>
        <w:t>7</w:t>
      </w:r>
      <w:r>
        <w:rPr>
          <w:rFonts w:hint="eastAsia"/>
        </w:rPr>
        <w:t>月。可点击下拉键，切换[税款所属月份]。</w:t>
      </w:r>
    </w:p>
    <w:p>
      <w:r>
        <w:rPr>
          <w:rFonts w:hint="eastAsia"/>
          <w:b/>
          <w:bCs/>
        </w:rPr>
        <w:t>左边菜单树：</w:t>
      </w:r>
      <w:r>
        <w:rPr>
          <w:rFonts w:hint="eastAsia"/>
        </w:rPr>
        <w:t>通过点击功能菜单打开对应功能模块。</w:t>
      </w:r>
    </w:p>
    <w:p>
      <w:r>
        <w:rPr>
          <w:rFonts w:hint="eastAsia"/>
          <w:b/>
          <w:bCs/>
        </w:rPr>
        <w:t>常用功能区</w:t>
      </w:r>
      <w:r>
        <w:rPr>
          <w:rFonts w:hint="eastAsia"/>
        </w:rPr>
        <w:t>：系统常用功能统一放在该处，点击快捷按钮进入功能页面。</w:t>
      </w:r>
    </w:p>
    <w:p>
      <w:r>
        <w:rPr>
          <w:rFonts w:hint="eastAsia"/>
          <w:b/>
          <w:bCs/>
        </w:rPr>
        <w:t>待处理事项区</w:t>
      </w:r>
      <w:r>
        <w:rPr>
          <w:rFonts w:hint="eastAsia"/>
        </w:rPr>
        <w:t>：显示消息类型为冒用行为检举且状态是未处理的消息。</w:t>
      </w:r>
    </w:p>
    <w:p>
      <w:r>
        <w:drawing>
          <wp:inline distT="0" distB="0" distL="0" distR="0">
            <wp:extent cx="5268595" cy="2708275"/>
            <wp:effectExtent l="0" t="0" r="825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68595" cy="2708275"/>
                    </a:xfrm>
                    <a:prstGeom prst="rect">
                      <a:avLst/>
                    </a:prstGeom>
                    <a:noFill/>
                    <a:ln>
                      <a:noFill/>
                    </a:ln>
                  </pic:spPr>
                </pic:pic>
              </a:graphicData>
            </a:graphic>
          </wp:inline>
        </w:drawing>
      </w:r>
    </w:p>
    <w:p>
      <w:pPr>
        <w:ind w:left="659" w:hanging="659" w:hangingChars="205"/>
        <w:rPr>
          <w:rFonts w:ascii="楷体_GB2312" w:eastAsia="楷体_GB2312"/>
          <w:b/>
          <w:bCs/>
          <w:sz w:val="32"/>
          <w:szCs w:val="32"/>
        </w:rPr>
      </w:pPr>
      <w:bookmarkStart w:id="77" w:name="_Toc22944"/>
      <w:bookmarkStart w:id="78" w:name="_Toc19991"/>
      <w:bookmarkStart w:id="79" w:name="_Toc14197074"/>
      <w:bookmarkStart w:id="80" w:name="_Toc21959"/>
      <w:bookmarkStart w:id="81" w:name="_Toc15127555"/>
      <w:bookmarkStart w:id="82" w:name="_Toc10377"/>
      <w:bookmarkStart w:id="83" w:name="_Toc11691"/>
      <w:bookmarkStart w:id="84" w:name="_Toc15458"/>
      <w:bookmarkStart w:id="85" w:name="_Toc28903523"/>
      <w:bookmarkStart w:id="86" w:name="_Toc28612220"/>
      <w:r>
        <w:rPr>
          <w:rFonts w:ascii="楷体_GB2312" w:eastAsia="楷体_GB2312"/>
          <w:b/>
          <w:bCs/>
          <w:sz w:val="32"/>
          <w:szCs w:val="32"/>
        </w:rPr>
        <w:t>1</w:t>
      </w:r>
      <w:r>
        <w:rPr>
          <w:rFonts w:hint="eastAsia" w:ascii="楷体_GB2312" w:eastAsia="楷体_GB2312"/>
          <w:b/>
          <w:bCs/>
          <w:sz w:val="32"/>
          <w:szCs w:val="32"/>
        </w:rPr>
        <w:t>.5系统流程简介</w:t>
      </w:r>
      <w:bookmarkEnd w:id="77"/>
      <w:bookmarkEnd w:id="78"/>
      <w:bookmarkEnd w:id="79"/>
      <w:bookmarkEnd w:id="80"/>
      <w:bookmarkEnd w:id="81"/>
      <w:bookmarkEnd w:id="82"/>
      <w:bookmarkEnd w:id="83"/>
      <w:bookmarkEnd w:id="84"/>
      <w:bookmarkEnd w:id="85"/>
      <w:bookmarkEnd w:id="86"/>
    </w:p>
    <w:p>
      <w:r>
        <w:t>自然人电子税务局（扣缴端）</w:t>
      </w:r>
      <w:r>
        <w:rPr>
          <w:rFonts w:hint="eastAsia"/>
        </w:rPr>
        <w:t>用于扣缴义务人为在本单位取得所得的人员（含雇员和非雇员）办理全员全额扣缴申报及代理经营所得纳税申报。</w:t>
      </w:r>
    </w:p>
    <w:p>
      <w:r>
        <w:rPr>
          <w:rFonts w:hint="eastAsia"/>
        </w:rPr>
        <w:t>扣缴申报的主体流程是：</w:t>
      </w:r>
    </w:p>
    <w:p>
      <w:r>
        <w:object>
          <v:shape id="_x0000_i1025" o:spt="75" type="#_x0000_t75" style="height:31.5pt;width:414pt;" o:ole="t" filled="f" o:preferrelative="t" stroked="f" coordsize="21600,21600">
            <v:path/>
            <v:fill on="f" focussize="0,0"/>
            <v:stroke on="f" joinstyle="miter"/>
            <v:imagedata r:id="rId15" o:title=""/>
            <o:lock v:ext="edit" aspectratio="f"/>
            <w10:wrap type="none"/>
            <w10:anchorlock/>
          </v:shape>
          <o:OLEObject Type="Embed" ProgID="Visio.Drawing.15" ShapeID="_x0000_i1025" DrawAspect="Content" ObjectID="_1468075725" r:id="rId14">
            <o:LockedField>false</o:LockedField>
          </o:OLEObject>
        </w:object>
      </w:r>
    </w:p>
    <w:p>
      <w:r>
        <w:rPr>
          <w:rFonts w:hint="eastAsia"/>
        </w:rPr>
        <w:t>代理经营所得申报主体流程是：</w:t>
      </w:r>
    </w:p>
    <w:p>
      <w:pPr>
        <w:rPr>
          <w:b/>
          <w:bCs/>
        </w:rPr>
      </w:pPr>
      <w:r>
        <w:object>
          <v:shape id="_x0000_i1026" o:spt="75" type="#_x0000_t75" style="height:31.5pt;width:300.75pt;" o:ole="t" filled="f" o:preferrelative="t" stroked="f" coordsize="21600,21600">
            <v:path/>
            <v:fill on="f" focussize="0,0"/>
            <v:stroke on="f" joinstyle="miter"/>
            <v:imagedata r:id="rId17" o:title=""/>
            <o:lock v:ext="edit" aspectratio="f"/>
            <w10:wrap type="none"/>
            <w10:anchorlock/>
          </v:shape>
          <o:OLEObject Type="Embed" ProgID="Visio.Drawing.15" ShapeID="_x0000_i1026" DrawAspect="Content" ObjectID="_1468075726" r:id="rId16">
            <o:LockedField>false</o:LockedField>
          </o:OLEObject>
        </w:object>
      </w:r>
      <w:r>
        <w:rPr>
          <w:rFonts w:hint="eastAsia"/>
        </w:rPr>
        <w:t xml:space="preserve"> </w:t>
      </w:r>
    </w:p>
    <w:p>
      <w:r>
        <w:rPr>
          <w:rFonts w:hint="eastAsia"/>
          <w:b/>
          <w:bCs/>
        </w:rPr>
        <w:t>人员信息采集</w:t>
      </w:r>
      <w:r>
        <w:rPr>
          <w:rFonts w:hint="eastAsia"/>
        </w:rPr>
        <w:t>：根据《个人所得税基础信息表（A表）》的要求采集相关信息，系统采用先报送人员信息再填写报表的方式。</w:t>
      </w:r>
    </w:p>
    <w:p>
      <w:r>
        <w:rPr>
          <w:rFonts w:hint="eastAsia"/>
          <w:b/>
          <w:bCs/>
        </w:rPr>
        <w:t>报送及获取反馈</w:t>
      </w:r>
      <w:r>
        <w:rPr>
          <w:rFonts w:hint="eastAsia"/>
        </w:rPr>
        <w:t>：将人员信息报送后，税务局系统对人员身份信息进行验证并反馈验证结果。</w:t>
      </w:r>
    </w:p>
    <w:p>
      <w:r>
        <w:rPr>
          <w:rFonts w:hint="eastAsia"/>
          <w:b/>
          <w:bCs/>
        </w:rPr>
        <w:t>报表填写</w:t>
      </w:r>
      <w:r>
        <w:rPr>
          <w:rFonts w:hint="eastAsia"/>
        </w:rPr>
        <w:t>：扣缴申报包括《综合所得预扣预缴申报》、《分类所得代扣代缴申报》、《非居民代扣代缴申报》、《限售股转让所得扣缴申报》四类申报表；经营所得申报包括《预缴纳税申报》（个人所得税经营所得纳税申报表（A表））、《年度汇缴申报》（个人所得税经营所得纳税申报表（B表））。</w:t>
      </w:r>
    </w:p>
    <w:p>
      <w:r>
        <w:rPr>
          <w:rFonts w:hint="eastAsia"/>
          <w:b/>
          <w:bCs/>
        </w:rPr>
        <w:t>申报表报送</w:t>
      </w:r>
      <w:r>
        <w:rPr>
          <w:rFonts w:hint="eastAsia"/>
        </w:rPr>
        <w:t>：通过网络方式将填写完整的申报表发送至税务机关并获取申报反馈结果。</w:t>
      </w:r>
    </w:p>
    <w:p>
      <w:r>
        <w:rPr>
          <w:rFonts w:hint="eastAsia"/>
          <w:b/>
          <w:bCs/>
        </w:rPr>
        <w:t>税款缴纳</w:t>
      </w:r>
      <w:r>
        <w:rPr>
          <w:rFonts w:hint="eastAsia"/>
        </w:rPr>
        <w:t>：申报成功后通过网上缴款或其他方式缴纳税款。</w:t>
      </w:r>
    </w:p>
    <w:p>
      <w:pPr>
        <w:rPr>
          <w:rFonts w:ascii="黑体" w:hAnsi="黑体" w:eastAsia="黑体"/>
          <w:b/>
          <w:bCs/>
          <w:sz w:val="32"/>
          <w:szCs w:val="32"/>
        </w:rPr>
      </w:pPr>
      <w:bookmarkStart w:id="87" w:name="_Toc21014"/>
      <w:bookmarkStart w:id="88" w:name="_Toc16696"/>
      <w:bookmarkStart w:id="89" w:name="_Toc2031"/>
      <w:bookmarkStart w:id="90" w:name="_Toc31936"/>
      <w:bookmarkStart w:id="91" w:name="_Toc29022"/>
      <w:bookmarkStart w:id="92" w:name="_Toc6979"/>
      <w:bookmarkStart w:id="93" w:name="_Toc14197075"/>
      <w:bookmarkStart w:id="94" w:name="_Toc5782"/>
      <w:bookmarkStart w:id="95" w:name="_Toc15127556"/>
      <w:bookmarkStart w:id="96" w:name="_Toc23880"/>
      <w:bookmarkStart w:id="97" w:name="_Toc30749"/>
      <w:bookmarkStart w:id="98" w:name="_Toc13916"/>
      <w:bookmarkStart w:id="99" w:name="_Toc28612221"/>
      <w:bookmarkStart w:id="100" w:name="_Toc28903524"/>
      <w:r>
        <w:rPr>
          <w:rFonts w:ascii="黑体" w:hAnsi="黑体" w:eastAsia="黑体"/>
          <w:b/>
          <w:bCs/>
          <w:sz w:val="32"/>
          <w:szCs w:val="32"/>
        </w:rPr>
        <w:t>2</w:t>
      </w:r>
      <w:r>
        <w:rPr>
          <w:rFonts w:hint="eastAsia" w:ascii="黑体" w:hAnsi="黑体" w:eastAsia="黑体"/>
          <w:b/>
          <w:bCs/>
          <w:sz w:val="32"/>
          <w:szCs w:val="32"/>
        </w:rPr>
        <w:t>、办税管理</w:t>
      </w:r>
      <w:bookmarkEnd w:id="87"/>
      <w:bookmarkEnd w:id="88"/>
      <w:bookmarkEnd w:id="89"/>
      <w:bookmarkEnd w:id="90"/>
      <w:bookmarkEnd w:id="91"/>
      <w:bookmarkEnd w:id="92"/>
      <w:bookmarkEnd w:id="93"/>
      <w:bookmarkEnd w:id="94"/>
      <w:bookmarkEnd w:id="95"/>
      <w:bookmarkEnd w:id="96"/>
      <w:bookmarkEnd w:id="97"/>
      <w:bookmarkEnd w:id="98"/>
      <w:bookmarkEnd w:id="99"/>
      <w:bookmarkEnd w:id="100"/>
      <w:r>
        <w:rPr>
          <w:rFonts w:hint="eastAsia" w:ascii="黑体" w:hAnsi="黑体" w:eastAsia="黑体"/>
          <w:b/>
          <w:bCs/>
          <w:sz w:val="32"/>
          <w:szCs w:val="32"/>
        </w:rPr>
        <w:t xml:space="preserve"> </w:t>
      </w:r>
    </w:p>
    <w:p>
      <w:pPr>
        <w:ind w:left="659" w:hanging="659" w:hangingChars="205"/>
        <w:rPr>
          <w:rFonts w:ascii="楷体_GB2312" w:eastAsia="楷体_GB2312"/>
          <w:b/>
          <w:bCs/>
          <w:sz w:val="32"/>
          <w:szCs w:val="32"/>
        </w:rPr>
      </w:pPr>
      <w:bookmarkStart w:id="101" w:name="_Toc6278"/>
      <w:bookmarkStart w:id="102" w:name="_Toc5611"/>
      <w:bookmarkStart w:id="103" w:name="_Toc14197076"/>
      <w:bookmarkStart w:id="104" w:name="_Toc11140"/>
      <w:bookmarkStart w:id="105" w:name="_Toc15127557"/>
      <w:bookmarkStart w:id="106" w:name="_Toc6617"/>
      <w:bookmarkStart w:id="107" w:name="_Toc29060"/>
      <w:bookmarkStart w:id="108" w:name="_Toc6648"/>
      <w:bookmarkStart w:id="109" w:name="_Toc28612222"/>
      <w:bookmarkStart w:id="110" w:name="_Toc28903525"/>
      <w:r>
        <w:rPr>
          <w:rFonts w:ascii="楷体_GB2312" w:eastAsia="楷体_GB2312"/>
          <w:b/>
          <w:bCs/>
          <w:sz w:val="32"/>
          <w:szCs w:val="32"/>
        </w:rPr>
        <w:t>2</w:t>
      </w:r>
      <w:r>
        <w:rPr>
          <w:rFonts w:hint="eastAsia" w:ascii="楷体_GB2312" w:eastAsia="楷体_GB2312"/>
          <w:b/>
          <w:bCs/>
          <w:sz w:val="32"/>
          <w:szCs w:val="32"/>
        </w:rPr>
        <w:t>.1系统登录</w:t>
      </w:r>
      <w:bookmarkEnd w:id="101"/>
      <w:bookmarkEnd w:id="102"/>
      <w:bookmarkEnd w:id="103"/>
      <w:bookmarkEnd w:id="104"/>
      <w:bookmarkEnd w:id="105"/>
      <w:bookmarkEnd w:id="106"/>
      <w:bookmarkEnd w:id="107"/>
      <w:bookmarkEnd w:id="108"/>
      <w:bookmarkEnd w:id="109"/>
      <w:bookmarkEnd w:id="110"/>
    </w:p>
    <w:p>
      <w:r>
        <w:rPr>
          <w:rFonts w:hint="eastAsia"/>
        </w:rPr>
        <w:t>初始化</w:t>
      </w:r>
      <w:r>
        <w:t>注册完成后，</w:t>
      </w:r>
      <w:r>
        <w:rPr>
          <w:rFonts w:hint="eastAsia"/>
        </w:rPr>
        <w:t>点击</w:t>
      </w:r>
      <w:r>
        <w:t>【</w:t>
      </w:r>
      <w:r>
        <w:rPr>
          <w:rFonts w:hint="eastAsia"/>
        </w:rPr>
        <w:t>立即</w:t>
      </w:r>
      <w:r>
        <w:t>体验】，即可</w:t>
      </w:r>
      <w:r>
        <w:rPr>
          <w:rFonts w:hint="eastAsia"/>
        </w:rPr>
        <w:t>打开客户端</w:t>
      </w:r>
      <w:r>
        <w:t>的登录</w:t>
      </w:r>
      <w:r>
        <w:rPr>
          <w:rFonts w:hint="eastAsia"/>
        </w:rPr>
        <w:t>界面。</w:t>
      </w:r>
      <w:r>
        <w:fldChar w:fldCharType="begin"/>
      </w:r>
      <w:r>
        <w:instrText xml:space="preserve"> INCLUDEPICTURE "C:\\Users\\学生机-29\\Documents\\Administrator\\Documents\\WXWork\\1688854118510181\\Cache\\dell\\AppData\\Roaming\\kingsoft\\office6\\Documents\\tencent%20files\\694805062\\AppData\\Roaming\\Microsoft\\AppData\\Roaming\\Microsoft\\Documents\\Tencent%2520Files\\472014487\\Image\\C2C\\_RRW6I%255b~~LNK7%2525J%257bXB6X1YL.png" \* MERGEFORMAT </w:instrText>
      </w:r>
      <w:r>
        <w:fldChar w:fldCharType="end"/>
      </w:r>
    </w:p>
    <w:p>
      <w:r>
        <w:drawing>
          <wp:inline distT="0" distB="0" distL="0" distR="0">
            <wp:extent cx="4199255" cy="4578985"/>
            <wp:effectExtent l="0" t="0" r="0" b="0"/>
            <wp:docPr id="2" name="图片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99255" cy="4578985"/>
                    </a:xfrm>
                    <a:prstGeom prst="rect">
                      <a:avLst/>
                    </a:prstGeom>
                    <a:noFill/>
                    <a:ln>
                      <a:noFill/>
                    </a:ln>
                  </pic:spPr>
                </pic:pic>
              </a:graphicData>
            </a:graphic>
          </wp:inline>
        </w:drawing>
      </w:r>
    </w:p>
    <w:p>
      <w:r>
        <w:rPr>
          <w:rFonts w:hint="eastAsia"/>
        </w:rPr>
        <w:t>系统支持在线登录和离线登录两种模式。</w:t>
      </w:r>
    </w:p>
    <w:p>
      <w:r>
        <w:rPr>
          <w:rFonts w:hint="eastAsia"/>
          <w:b/>
        </w:rPr>
        <w:t>离线登录：</w:t>
      </w:r>
      <w:r>
        <w:rPr>
          <w:rFonts w:hint="eastAsia"/>
        </w:rPr>
        <w:t>即使</w:t>
      </w:r>
      <w:r>
        <w:t>用</w:t>
      </w:r>
      <w:r>
        <w:rPr>
          <w:rFonts w:hint="eastAsia"/>
        </w:rPr>
        <w:t>“本地登录密码”进</w:t>
      </w:r>
      <w:r>
        <w:t>入系统</w:t>
      </w:r>
      <w:r>
        <w:rPr>
          <w:rFonts w:hint="eastAsia"/>
        </w:rPr>
        <w:t>，如果没有启用登录密码，则直接进入系统。首</w:t>
      </w:r>
      <w:r>
        <w:t>次</w:t>
      </w:r>
      <w:r>
        <w:rPr>
          <w:rFonts w:hint="eastAsia"/>
        </w:rPr>
        <w:t>选</w:t>
      </w:r>
      <w:r>
        <w:t>择该方式，系统将会提示是否启用。</w:t>
      </w:r>
    </w:p>
    <w:p>
      <w:r>
        <w:rPr>
          <w:rFonts w:hint="eastAsia"/>
          <w:b/>
        </w:rPr>
        <w:t>在线登录：</w:t>
      </w:r>
      <w:r>
        <w:rPr>
          <w:rFonts w:hint="eastAsia"/>
        </w:rPr>
        <w:t>包含“实名登录”。</w:t>
      </w:r>
    </w:p>
    <w:p>
      <w:r>
        <w:rPr>
          <w:rFonts w:hint="eastAsia"/>
        </w:rPr>
        <w:t>【实名登录】：使用在个人所得税AP</w:t>
      </w:r>
      <w:r>
        <w:t>P实名注册的账号密码登录</w:t>
      </w:r>
      <w:r>
        <w:rPr>
          <w:rFonts w:hint="eastAsia"/>
        </w:rPr>
        <w:t>，</w:t>
      </w:r>
      <w:r>
        <w:t>或使用个人所得税</w:t>
      </w:r>
      <w:r>
        <w:rPr>
          <w:rFonts w:hint="eastAsia"/>
        </w:rPr>
        <w:t>A</w:t>
      </w:r>
      <w:r>
        <w:t>PP扫码登录</w:t>
      </w:r>
      <w:r>
        <w:rPr>
          <w:rFonts w:hint="eastAsia"/>
        </w:rPr>
        <w:t>；</w:t>
      </w:r>
    </w:p>
    <w:p>
      <w:pPr>
        <w:ind w:left="659" w:hanging="659" w:hangingChars="205"/>
        <w:rPr>
          <w:rFonts w:ascii="楷体_GB2312" w:eastAsia="楷体_GB2312"/>
          <w:b/>
          <w:bCs/>
          <w:sz w:val="32"/>
          <w:szCs w:val="32"/>
        </w:rPr>
      </w:pPr>
      <w:bookmarkStart w:id="111" w:name="_Toc28903526"/>
      <w:r>
        <w:rPr>
          <w:rFonts w:ascii="楷体_GB2312" w:eastAsia="楷体_GB2312"/>
          <w:b/>
          <w:bCs/>
          <w:sz w:val="32"/>
          <w:szCs w:val="32"/>
        </w:rPr>
        <w:t>2</w:t>
      </w:r>
      <w:r>
        <w:rPr>
          <w:rFonts w:hint="eastAsia" w:ascii="楷体_GB2312" w:eastAsia="楷体_GB2312"/>
          <w:b/>
          <w:bCs/>
          <w:sz w:val="32"/>
          <w:szCs w:val="32"/>
        </w:rPr>
        <w:t>.2个人所得税AP</w:t>
      </w:r>
      <w:r>
        <w:rPr>
          <w:rFonts w:ascii="楷体_GB2312" w:eastAsia="楷体_GB2312"/>
          <w:b/>
          <w:bCs/>
          <w:sz w:val="32"/>
          <w:szCs w:val="32"/>
        </w:rPr>
        <w:t>P实名注册</w:t>
      </w:r>
      <w:bookmarkEnd w:id="111"/>
    </w:p>
    <w:p>
      <w:pPr>
        <w:rPr>
          <w:bCs/>
        </w:rPr>
      </w:pPr>
      <w:bookmarkStart w:id="112" w:name="_Toc28903527"/>
      <w:r>
        <w:rPr>
          <w:bCs/>
        </w:rPr>
        <w:t>2</w:t>
      </w:r>
      <w:r>
        <w:rPr>
          <w:rFonts w:hint="eastAsia"/>
          <w:bCs/>
        </w:rPr>
        <w:t>.2.1  手机app大厅注册码注册</w:t>
      </w:r>
      <w:bookmarkEnd w:id="112"/>
    </w:p>
    <w:p>
      <w:pPr>
        <w:rPr>
          <w:b/>
        </w:rPr>
      </w:pPr>
      <w:r>
        <w:rPr>
          <w:rFonts w:hint="eastAsia"/>
        </w:rPr>
        <w:t>（1）在手机各大应用市场搜索“个人所得税”手机APP，进行下载安装。安装完毕以后，在个人中心-点击登录/注册</w:t>
      </w:r>
    </w:p>
    <w:p>
      <w:r>
        <mc:AlternateContent>
          <mc:Choice Requires="wps">
            <w:drawing>
              <wp:anchor distT="0" distB="0" distL="114300" distR="114300" simplePos="0" relativeHeight="251659264" behindDoc="0" locked="0" layoutInCell="1" allowOverlap="1">
                <wp:simplePos x="0" y="0"/>
                <wp:positionH relativeFrom="column">
                  <wp:posOffset>1861185</wp:posOffset>
                </wp:positionH>
                <wp:positionV relativeFrom="paragraph">
                  <wp:posOffset>223520</wp:posOffset>
                </wp:positionV>
                <wp:extent cx="1190625" cy="476250"/>
                <wp:effectExtent l="4445" t="5080" r="5080" b="13970"/>
                <wp:wrapNone/>
                <wp:docPr id="12" name="流程图: 可选过程 12"/>
                <wp:cNvGraphicFramePr/>
                <a:graphic xmlns:a="http://schemas.openxmlformats.org/drawingml/2006/main">
                  <a:graphicData uri="http://schemas.microsoft.com/office/word/2010/wordprocessingShape">
                    <wps:wsp>
                      <wps:cNvSpPr/>
                      <wps:spPr>
                        <a:xfrm>
                          <a:off x="0" y="0"/>
                          <a:ext cx="1190625" cy="476250"/>
                        </a:xfrm>
                        <a:prstGeom prst="flowChartAlternateProcess">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146.55pt;margin-top:17.6pt;height:37.5pt;width:93.75pt;z-index:251659264;mso-width-relative:page;mso-height-relative:page;" filled="f" stroked="t" coordsize="21600,21600" o:gfxdata="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&#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LQ3TNkAAAAKAQAADwAAAAAAAAABACAAAAAiAAAAZHJz&#10;L2Rvd25yZXYueG1sUEsBAhQAFAAAAAgAh07iQMNaNkUDAgAAzwMAAA4AAAAAAAAAAQAgAAAAKAEA&#10;AGRycy9lMm9Eb2MueG1sUEsFBgAAAAAGAAYAWQEAAJ0FAAAAAA==&#10;">
                <v:fill on="f" focussize="0,0"/>
                <v:stroke color="#FF0000" joinstyle="miter"/>
                <v:imagedata o:title=""/>
                <o:lock v:ext="edit" aspectratio="f"/>
              </v:shape>
            </w:pict>
          </mc:Fallback>
        </mc:AlternateContent>
      </w:r>
      <w:r>
        <w:fldChar w:fldCharType="begin"/>
      </w:r>
      <w:r>
        <w:instrText xml:space="preserve">INCLUDEPICTURE \d "C:\\Users\\Administrator\\Documents\\WXWork\\1688851634031083\\Cache\\Image\\2019-11\\DCIM(4).jpg" \* MERGEFORMATINET </w:instrText>
      </w:r>
      <w:r>
        <w:fldChar w:fldCharType="separate"/>
      </w:r>
      <w:r>
        <w:drawing>
          <wp:inline distT="0" distB="0" distL="114300" distR="114300">
            <wp:extent cx="1779270" cy="3167380"/>
            <wp:effectExtent l="0" t="0" r="11430" b="13970"/>
            <wp:docPr id="1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6"/>
                    <pic:cNvPicPr>
                      <a:picLocks noChangeAspect="1"/>
                    </pic:cNvPicPr>
                  </pic:nvPicPr>
                  <pic:blipFill>
                    <a:blip r:embed="rId19"/>
                    <a:stretch>
                      <a:fillRect/>
                    </a:stretch>
                  </pic:blipFill>
                  <pic:spPr>
                    <a:xfrm>
                      <a:off x="0" y="0"/>
                      <a:ext cx="1779270" cy="3167380"/>
                    </a:xfrm>
                    <a:prstGeom prst="rect">
                      <a:avLst/>
                    </a:prstGeom>
                    <a:noFill/>
                    <a:ln w="9525">
                      <a:noFill/>
                    </a:ln>
                  </pic:spPr>
                </pic:pic>
              </a:graphicData>
            </a:graphic>
          </wp:inline>
        </w:drawing>
      </w:r>
      <w:r>
        <w:fldChar w:fldCharType="end"/>
      </w:r>
    </w:p>
    <w:p>
      <w:r>
        <w:rPr>
          <w:rFonts w:hint="eastAsia"/>
        </w:rPr>
        <w:t>（2）点击注册</w:t>
      </w:r>
    </w:p>
    <w:p>
      <w:r>
        <mc:AlternateContent>
          <mc:Choice Requires="wps">
            <w:drawing>
              <wp:anchor distT="0" distB="0" distL="114300" distR="114300" simplePos="0" relativeHeight="251660288" behindDoc="0" locked="0" layoutInCell="1" allowOverlap="1">
                <wp:simplePos x="0" y="0"/>
                <wp:positionH relativeFrom="column">
                  <wp:posOffset>1632585</wp:posOffset>
                </wp:positionH>
                <wp:positionV relativeFrom="paragraph">
                  <wp:posOffset>2720340</wp:posOffset>
                </wp:positionV>
                <wp:extent cx="2000250" cy="305435"/>
                <wp:effectExtent l="4445" t="4445" r="14605" b="13970"/>
                <wp:wrapNone/>
                <wp:docPr id="19" name="流程图: 可选过程 19"/>
                <wp:cNvGraphicFramePr/>
                <a:graphic xmlns:a="http://schemas.openxmlformats.org/drawingml/2006/main">
                  <a:graphicData uri="http://schemas.microsoft.com/office/word/2010/wordprocessingShape">
                    <wps:wsp>
                      <wps:cNvSpPr/>
                      <wps:spPr>
                        <a:xfrm>
                          <a:off x="0" y="0"/>
                          <a:ext cx="2000250" cy="305435"/>
                        </a:xfrm>
                        <a:prstGeom prst="flowChartAlternateProcess">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128.55pt;margin-top:214.2pt;height:24.05pt;width:157.5pt;z-index:251660288;mso-width-relative:page;mso-height-relative:page;" filled="f" stroked="t" coordsize="21600,21600" o:gfxdata="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g3e9a2QAAAAsBAAAPAAAAAAAAAAEAIAAAACIAAABk&#10;cnMvZG93bnJldi54bWxQSwECFAAUAAAACACHTuJASdoxmAUCAADPAwAADgAAAAAAAAABACAAAAAo&#10;AQAAZHJzL2Uyb0RvYy54bWxQSwUGAAAAAAYABgBZAQAAnwUAAAAA&#10;">
                <v:fill on="f" focussize="0,0"/>
                <v:stroke color="#FF0000" joinstyle="miter"/>
                <v:imagedata o:title=""/>
                <o:lock v:ext="edit" aspectratio="f"/>
              </v:shape>
            </w:pict>
          </mc:Fallback>
        </mc:AlternateContent>
      </w:r>
      <w:r>
        <w:fldChar w:fldCharType="begin"/>
      </w:r>
      <w:r>
        <w:instrText xml:space="preserve">INCLUDEPICTURE \d "C:\\Users\\Administrator\\Documents\\WXWork\\1688851634031083\\Cache\\Image\\2019-11\\DCIM(3).jpg" \* MERGEFORMATINET </w:instrText>
      </w:r>
      <w:r>
        <w:fldChar w:fldCharType="separate"/>
      </w:r>
      <w:r>
        <w:drawing>
          <wp:inline distT="0" distB="0" distL="114300" distR="114300">
            <wp:extent cx="1990725" cy="3543935"/>
            <wp:effectExtent l="0" t="0" r="9525" b="18415"/>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20"/>
                    <a:stretch>
                      <a:fillRect/>
                    </a:stretch>
                  </pic:blipFill>
                  <pic:spPr>
                    <a:xfrm>
                      <a:off x="0" y="0"/>
                      <a:ext cx="1990725" cy="3543935"/>
                    </a:xfrm>
                    <a:prstGeom prst="rect">
                      <a:avLst/>
                    </a:prstGeom>
                    <a:noFill/>
                    <a:ln w="9525">
                      <a:noFill/>
                    </a:ln>
                  </pic:spPr>
                </pic:pic>
              </a:graphicData>
            </a:graphic>
          </wp:inline>
        </w:drawing>
      </w:r>
      <w:r>
        <w:fldChar w:fldCharType="end"/>
      </w:r>
    </w:p>
    <w:p>
      <w:r>
        <w:rPr>
          <w:rFonts w:hint="eastAsia"/>
        </w:rPr>
        <w:t>（3）选择人脸识别注册</w:t>
      </w:r>
    </w:p>
    <w:p>
      <w:r>
        <mc:AlternateContent>
          <mc:Choice Requires="wps">
            <w:drawing>
              <wp:anchor distT="0" distB="0" distL="114300" distR="114300" simplePos="0" relativeHeight="251661312" behindDoc="0" locked="0" layoutInCell="1" allowOverlap="1">
                <wp:simplePos x="0" y="0"/>
                <wp:positionH relativeFrom="column">
                  <wp:posOffset>1346835</wp:posOffset>
                </wp:positionH>
                <wp:positionV relativeFrom="paragraph">
                  <wp:posOffset>3624580</wp:posOffset>
                </wp:positionV>
                <wp:extent cx="2628900" cy="342900"/>
                <wp:effectExtent l="4445" t="4445" r="14605" b="14605"/>
                <wp:wrapNone/>
                <wp:docPr id="21" name="流程图: 可选过程 21"/>
                <wp:cNvGraphicFramePr/>
                <a:graphic xmlns:a="http://schemas.openxmlformats.org/drawingml/2006/main">
                  <a:graphicData uri="http://schemas.microsoft.com/office/word/2010/wordprocessingShape">
                    <wps:wsp>
                      <wps:cNvSpPr/>
                      <wps:spPr>
                        <a:xfrm>
                          <a:off x="0" y="0"/>
                          <a:ext cx="2628900" cy="342900"/>
                        </a:xfrm>
                        <a:prstGeom prst="flowChartAlternateProcess">
                          <a:avLst/>
                        </a:prstGeom>
                        <a:noFill/>
                        <a:ln w="9525" cap="flat" cmpd="sng">
                          <a:solidFill>
                            <a:srgbClr val="FF0000"/>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106.05pt;margin-top:285.4pt;height:27pt;width:207pt;z-index:251661312;mso-width-relative:page;mso-height-relative:page;" filled="f" stroked="t" coordsize="21600,21600" o:gfxdata="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&#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IGL7adkAAAALAQAADwAAAAAAAAABACAAAAAiAAAAZHJz&#10;L2Rvd25yZXYueG1sUEsBAhQAFAAAAAgAh07iQIvYYfYDAgAAzwMAAA4AAAAAAAAAAQAgAAAAKAEA&#10;AGRycy9lMm9Eb2MueG1sUEsFBgAAAAAGAAYAWQEAAJ0FAAAAAA==&#10;">
                <v:fill on="f" focussize="0,0"/>
                <v:stroke color="#FF0000" joinstyle="miter"/>
                <v:imagedata o:title=""/>
                <o:lock v:ext="edit" aspectratio="f"/>
              </v:shape>
            </w:pict>
          </mc:Fallback>
        </mc:AlternateContent>
      </w:r>
      <w:r>
        <w:fldChar w:fldCharType="begin"/>
      </w:r>
      <w:r>
        <w:instrText xml:space="preserve">INCLUDEPICTURE \d "C:\\Users\\Administrator\\Documents\\WXWork\\1688851634031083\\Cache\\Image\\2019-11\\DCIM.jpg" \* MERGEFORMATINET </w:instrText>
      </w:r>
      <w:r>
        <w:fldChar w:fldCharType="separate"/>
      </w:r>
      <w:r>
        <w:drawing>
          <wp:inline distT="0" distB="0" distL="114300" distR="114300">
            <wp:extent cx="2372995" cy="4224020"/>
            <wp:effectExtent l="0" t="0" r="8255" b="5080"/>
            <wp:docPr id="22"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56"/>
                    <pic:cNvPicPr>
                      <a:picLocks noChangeAspect="1"/>
                    </pic:cNvPicPr>
                  </pic:nvPicPr>
                  <pic:blipFill>
                    <a:blip r:embed="rId21"/>
                    <a:stretch>
                      <a:fillRect/>
                    </a:stretch>
                  </pic:blipFill>
                  <pic:spPr>
                    <a:xfrm>
                      <a:off x="0" y="0"/>
                      <a:ext cx="2372995" cy="4224020"/>
                    </a:xfrm>
                    <a:prstGeom prst="rect">
                      <a:avLst/>
                    </a:prstGeom>
                    <a:noFill/>
                    <a:ln w="9525">
                      <a:noFill/>
                    </a:ln>
                  </pic:spPr>
                </pic:pic>
              </a:graphicData>
            </a:graphic>
          </wp:inline>
        </w:drawing>
      </w:r>
      <w:r>
        <w:fldChar w:fldCharType="end"/>
      </w:r>
    </w:p>
    <w:p>
      <w:pPr>
        <w:rPr>
          <w:b/>
          <w:bCs/>
        </w:rPr>
      </w:pPr>
      <w:r>
        <w:rPr>
          <w:rFonts w:hint="eastAsia"/>
          <w:b/>
          <w:bCs/>
        </w:rPr>
        <w:t>点击同意并继续</w:t>
      </w:r>
    </w:p>
    <w:p>
      <w:pPr>
        <w:rPr>
          <w:b/>
          <w:bCs/>
        </w:rPr>
      </w:pPr>
      <w:r>
        <w:rPr>
          <w:rFonts w:hint="eastAsia"/>
        </w:rPr>
        <w:drawing>
          <wp:inline distT="0" distB="0" distL="114300" distR="114300">
            <wp:extent cx="2291715" cy="3187065"/>
            <wp:effectExtent l="0" t="0" r="13335" b="13335"/>
            <wp:docPr id="23" name="图片 10" descr="9d6ec977395b63c4b760b05645f4d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9d6ec977395b63c4b760b05645f4db1"/>
                    <pic:cNvPicPr>
                      <a:picLocks noChangeAspect="1"/>
                    </pic:cNvPicPr>
                  </pic:nvPicPr>
                  <pic:blipFill>
                    <a:blip r:embed="rId22"/>
                    <a:srcRect l="16937" t="1218" r="17990" b="3175"/>
                    <a:stretch>
                      <a:fillRect/>
                    </a:stretch>
                  </pic:blipFill>
                  <pic:spPr>
                    <a:xfrm>
                      <a:off x="0" y="0"/>
                      <a:ext cx="2291715" cy="3187065"/>
                    </a:xfrm>
                    <a:prstGeom prst="rect">
                      <a:avLst/>
                    </a:prstGeom>
                    <a:noFill/>
                    <a:ln w="9525">
                      <a:noFill/>
                    </a:ln>
                  </pic:spPr>
                </pic:pic>
              </a:graphicData>
            </a:graphic>
          </wp:inline>
        </w:drawing>
      </w:r>
    </w:p>
    <w:p>
      <w:pPr>
        <w:rPr>
          <w:b/>
          <w:bCs/>
        </w:rPr>
      </w:pPr>
      <w:r>
        <w:rPr>
          <w:rFonts w:hint="eastAsia"/>
          <w:b/>
          <w:bCs/>
        </w:rPr>
        <w:t>输入相应信息进行人脸识别</w:t>
      </w:r>
    </w:p>
    <w:p>
      <w:r>
        <w:rPr>
          <w:rFonts w:hint="eastAsia"/>
        </w:rPr>
        <w:drawing>
          <wp:inline distT="0" distB="0" distL="114300" distR="114300">
            <wp:extent cx="1993900" cy="3549650"/>
            <wp:effectExtent l="0" t="0" r="6350" b="12700"/>
            <wp:docPr id="24" name="图片 11" descr="f451516be408fba8448076104008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f451516be408fba8448076104008e40"/>
                    <pic:cNvPicPr>
                      <a:picLocks noChangeAspect="1"/>
                    </pic:cNvPicPr>
                  </pic:nvPicPr>
                  <pic:blipFill>
                    <a:blip r:embed="rId23"/>
                    <a:srcRect l="17232" t="208" r="12321" b="5809"/>
                    <a:stretch>
                      <a:fillRect/>
                    </a:stretch>
                  </pic:blipFill>
                  <pic:spPr>
                    <a:xfrm>
                      <a:off x="0" y="0"/>
                      <a:ext cx="1993900" cy="3549650"/>
                    </a:xfrm>
                    <a:prstGeom prst="rect">
                      <a:avLst/>
                    </a:prstGeom>
                    <a:noFill/>
                    <a:ln w="9525">
                      <a:noFill/>
                    </a:ln>
                  </pic:spPr>
                </pic:pic>
              </a:graphicData>
            </a:graphic>
          </wp:inline>
        </w:drawing>
      </w:r>
    </w:p>
    <w:p>
      <w:pPr>
        <w:rPr>
          <w:b/>
          <w:bCs/>
        </w:rPr>
      </w:pPr>
      <w:r>
        <w:rPr>
          <w:rFonts w:hint="eastAsia"/>
          <w:b/>
          <w:bCs/>
        </w:rPr>
        <w:t>输入用户信息注册</w:t>
      </w:r>
    </w:p>
    <w:p>
      <w:pPr>
        <w:rPr>
          <w:b/>
        </w:rPr>
      </w:pPr>
      <w:r>
        <w:rPr>
          <w:rFonts w:hint="eastAsia"/>
        </w:rPr>
        <w:drawing>
          <wp:inline distT="0" distB="0" distL="114300" distR="114300">
            <wp:extent cx="2120900" cy="3630930"/>
            <wp:effectExtent l="0" t="0" r="12700" b="7620"/>
            <wp:docPr id="25" name="图片 12" descr="ec618da7c5c038f1b838ba84ed5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descr="ec618da7c5c038f1b838ba84ed54428"/>
                    <pic:cNvPicPr>
                      <a:picLocks noChangeAspect="1"/>
                    </pic:cNvPicPr>
                  </pic:nvPicPr>
                  <pic:blipFill>
                    <a:blip r:embed="rId24"/>
                    <a:srcRect l="12782" t="459" r="10527" b="1123"/>
                    <a:stretch>
                      <a:fillRect/>
                    </a:stretch>
                  </pic:blipFill>
                  <pic:spPr>
                    <a:xfrm>
                      <a:off x="0" y="0"/>
                      <a:ext cx="2120900" cy="3630930"/>
                    </a:xfrm>
                    <a:prstGeom prst="rect">
                      <a:avLst/>
                    </a:prstGeom>
                    <a:noFill/>
                    <a:ln w="9525">
                      <a:noFill/>
                    </a:ln>
                  </pic:spPr>
                </pic:pic>
              </a:graphicData>
            </a:graphic>
          </wp:inline>
        </w:drawing>
      </w:r>
    </w:p>
    <w:p>
      <w:pPr>
        <w:rPr>
          <w:b/>
        </w:rPr>
      </w:pPr>
    </w:p>
    <w:p>
      <w:pPr>
        <w:rPr>
          <w:b/>
          <w:bCs/>
        </w:rPr>
      </w:pPr>
      <w:r>
        <w:rPr>
          <w:rFonts w:hint="eastAsia"/>
          <w:b/>
          <w:bCs/>
        </w:rPr>
        <w:t>提交即可注册完成。</w:t>
      </w:r>
    </w:p>
    <w:p>
      <w:pPr>
        <w:rPr>
          <w:b/>
          <w:bCs/>
        </w:rPr>
      </w:pPr>
      <w:r>
        <w:rPr>
          <w:rFonts w:hint="eastAsia"/>
        </w:rPr>
        <w:drawing>
          <wp:inline distT="0" distB="0" distL="114300" distR="114300">
            <wp:extent cx="2842895" cy="3756025"/>
            <wp:effectExtent l="0" t="0" r="14605" b="15875"/>
            <wp:docPr id="26" name="图片 13" descr="bd642da996cc94713e6e785bf6507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bd642da996cc94713e6e785bf6507fc"/>
                    <pic:cNvPicPr>
                      <a:picLocks noChangeAspect="1"/>
                    </pic:cNvPicPr>
                  </pic:nvPicPr>
                  <pic:blipFill>
                    <a:blip r:embed="rId25"/>
                    <a:srcRect l="941" r="1094" b="2969"/>
                    <a:stretch>
                      <a:fillRect/>
                    </a:stretch>
                  </pic:blipFill>
                  <pic:spPr>
                    <a:xfrm>
                      <a:off x="0" y="0"/>
                      <a:ext cx="2842895" cy="3756025"/>
                    </a:xfrm>
                    <a:prstGeom prst="rect">
                      <a:avLst/>
                    </a:prstGeom>
                    <a:noFill/>
                    <a:ln w="9525">
                      <a:noFill/>
                    </a:ln>
                  </pic:spPr>
                </pic:pic>
              </a:graphicData>
            </a:graphic>
          </wp:inline>
        </w:drawing>
      </w:r>
    </w:p>
    <w:p>
      <w:r>
        <w:rPr>
          <w:rFonts w:hint="eastAsia"/>
        </w:rPr>
        <w:t>（4）选择大厅注册码注册（人脸识别注册失败选择去办税服务厅联系税务干部大厅发放注册码）</w:t>
      </w:r>
    </w:p>
    <w:p>
      <w:r>
        <mc:AlternateContent>
          <mc:Choice Requires="wps">
            <w:drawing>
              <wp:anchor distT="0" distB="0" distL="114300" distR="114300" simplePos="0" relativeHeight="251662336" behindDoc="0" locked="0" layoutInCell="1" allowOverlap="1">
                <wp:simplePos x="0" y="0"/>
                <wp:positionH relativeFrom="column">
                  <wp:posOffset>1346835</wp:posOffset>
                </wp:positionH>
                <wp:positionV relativeFrom="paragraph">
                  <wp:posOffset>3643630</wp:posOffset>
                </wp:positionV>
                <wp:extent cx="2628900" cy="361950"/>
                <wp:effectExtent l="4445" t="4445" r="14605" b="14605"/>
                <wp:wrapNone/>
                <wp:docPr id="13" name="流程图: 可选过程 13"/>
                <wp:cNvGraphicFramePr/>
                <a:graphic xmlns:a="http://schemas.openxmlformats.org/drawingml/2006/main">
                  <a:graphicData uri="http://schemas.microsoft.com/office/word/2010/wordprocessingShape">
                    <wps:wsp>
                      <wps:cNvSpPr/>
                      <wps:spPr>
                        <a:xfrm>
                          <a:off x="0" y="0"/>
                          <a:ext cx="2628900" cy="361950"/>
                        </a:xfrm>
                        <a:prstGeom prst="flowChartAlternateProcess">
                          <a:avLst/>
                        </a:prstGeom>
                        <a:noFill/>
                        <a:ln w="9525" cap="flat" cmpd="sng">
                          <a:solidFill>
                            <a:srgbClr val="FF0000"/>
                          </a:solidFill>
                          <a:prstDash val="solid"/>
                          <a:miter/>
                          <a:headEnd type="none" w="med" len="med"/>
                          <a:tailEnd type="none" w="med" len="med"/>
                        </a:ln>
                      </wps:spPr>
                      <wps:txbx>
                        <w:txbxContent>
                          <w:p>
                            <w:pPr>
                              <w:jc w:val="center"/>
                            </w:pPr>
                            <w:r>
                              <w:rPr>
                                <w:rFonts w:hint="eastAsia"/>
                              </w:rPr>
                              <w:t>ge</w:t>
                            </w:r>
                          </w:p>
                        </w:txbxContent>
                      </wps:txbx>
                      <wps:bodyPr upright="1"/>
                    </wps:wsp>
                  </a:graphicData>
                </a:graphic>
              </wp:anchor>
            </w:drawing>
          </mc:Choice>
          <mc:Fallback>
            <w:pict>
              <v:shape id="_x0000_s1026" o:spid="_x0000_s1026" o:spt="176" type="#_x0000_t176" style="position:absolute;left:0pt;margin-left:106.05pt;margin-top:286.9pt;height:28.5pt;width:207pt;z-index:251662336;mso-width-relative:page;mso-height-relative:page;" filled="f" stroked="t" coordsize="21600,21600" o:gfxdata="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AKJPXZAAAACwEAAA8AAAAAAAAAAQAg&#10;AAAAIgAAAGRycy9kb3ducmV2LnhtbFBLAQIUABQAAAAIAIdO4kCgEykHDQIAANoDAAAOAAAAAAAA&#10;AAEAIAAAACgBAABkcnMvZTJvRG9jLnhtbFBLBQYAAAAABgAGAFkBAACnBQAAAAA=&#10;">
                <v:fill on="f" focussize="0,0"/>
                <v:stroke color="#FF0000" joinstyle="miter"/>
                <v:imagedata o:title=""/>
                <o:lock v:ext="edit" aspectratio="f"/>
                <v:textbox>
                  <w:txbxContent>
                    <w:p>
                      <w:pPr>
                        <w:jc w:val="center"/>
                      </w:pPr>
                      <w:r>
                        <w:rPr>
                          <w:rFonts w:hint="eastAsia"/>
                        </w:rPr>
                        <w:t>ge</w:t>
                      </w:r>
                    </w:p>
                  </w:txbxContent>
                </v:textbox>
              </v:shape>
            </w:pict>
          </mc:Fallback>
        </mc:AlternateContent>
      </w:r>
      <w:r>
        <w:fldChar w:fldCharType="begin"/>
      </w:r>
      <w:r>
        <w:instrText xml:space="preserve">INCLUDEPICTURE \d "C:\\Users\\Administrator\\Documents\\WXWork\\1688851634031083\\Cache\\Image\\2019-11\\DCIM.jpg" \* MERGEFORMATINET </w:instrText>
      </w:r>
      <w:r>
        <w:fldChar w:fldCharType="separate"/>
      </w:r>
      <w:r>
        <w:drawing>
          <wp:inline distT="0" distB="0" distL="114300" distR="114300">
            <wp:extent cx="2619375" cy="4661535"/>
            <wp:effectExtent l="0" t="0" r="9525" b="5715"/>
            <wp:docPr id="1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IMG_256"/>
                    <pic:cNvPicPr>
                      <a:picLocks noChangeAspect="1"/>
                    </pic:cNvPicPr>
                  </pic:nvPicPr>
                  <pic:blipFill>
                    <a:blip r:embed="rId21"/>
                    <a:stretch>
                      <a:fillRect/>
                    </a:stretch>
                  </pic:blipFill>
                  <pic:spPr>
                    <a:xfrm>
                      <a:off x="0" y="0"/>
                      <a:ext cx="2619375" cy="4661535"/>
                    </a:xfrm>
                    <a:prstGeom prst="rect">
                      <a:avLst/>
                    </a:prstGeom>
                    <a:noFill/>
                    <a:ln w="9525">
                      <a:noFill/>
                    </a:ln>
                  </pic:spPr>
                </pic:pic>
              </a:graphicData>
            </a:graphic>
          </wp:inline>
        </w:drawing>
      </w:r>
      <w:r>
        <w:fldChar w:fldCharType="end"/>
      </w:r>
    </w:p>
    <w:p>
      <w:pPr>
        <w:rPr>
          <w:b/>
          <w:bCs/>
        </w:rPr>
      </w:pPr>
      <w:r>
        <w:rPr>
          <w:rFonts w:hint="eastAsia"/>
          <w:b/>
          <w:bCs/>
        </w:rPr>
        <w:t>点击同意并继续</w:t>
      </w:r>
    </w:p>
    <w:p/>
    <w:p>
      <w:pPr>
        <w:ind w:left="659" w:hanging="659" w:hangingChars="205"/>
        <w:rPr>
          <w:rFonts w:ascii="黑体" w:hAnsi="黑体" w:eastAsia="黑体"/>
          <w:b/>
          <w:bCs/>
          <w:sz w:val="32"/>
          <w:szCs w:val="32"/>
        </w:rPr>
      </w:pPr>
      <w:bookmarkStart w:id="113" w:name="_Toc28903528"/>
      <w:r>
        <w:rPr>
          <w:rFonts w:ascii="黑体" w:hAnsi="黑体" w:eastAsia="黑体"/>
          <w:b/>
          <w:bCs/>
          <w:sz w:val="32"/>
          <w:szCs w:val="32"/>
        </w:rPr>
        <w:t>3</w:t>
      </w:r>
      <w:r>
        <w:rPr>
          <w:rFonts w:hint="eastAsia" w:ascii="黑体" w:hAnsi="黑体" w:eastAsia="黑体"/>
          <w:b/>
          <w:bCs/>
          <w:sz w:val="32"/>
          <w:szCs w:val="32"/>
        </w:rPr>
        <w:t>、客户端—人员信息采集</w:t>
      </w:r>
      <w:bookmarkEnd w:id="113"/>
    </w:p>
    <w:p>
      <w:r>
        <w:rPr>
          <w:rFonts w:hint="eastAsia"/>
        </w:rPr>
        <w:t>根据《中华人民共和国个人所得税法》第九条的规定：纳税人有中国公民身份号码的，以中国公民身份号码为纳税人识别号；纳税人没有中国公民身份号码的，由税务机关赋予其纳税人识别号。</w:t>
      </w:r>
    </w:p>
    <w:p>
      <w:r>
        <w:rPr>
          <w:rFonts w:hint="eastAsia"/>
        </w:rPr>
        <w:t>扣缴义务人可通过扣缴客户端采集报送自然人基础信息。</w:t>
      </w:r>
    </w:p>
    <w:p>
      <w:r>
        <w:rPr>
          <w:rFonts w:hint="eastAsia"/>
        </w:rPr>
        <w:t>人员信息采集主要包括【添加】、【导入】、【报送】、【导出】、【展开查询条件】和【更多操作】功能。</w:t>
      </w:r>
    </w:p>
    <w:p>
      <w:r>
        <w:drawing>
          <wp:inline distT="0" distB="0" distL="114300" distR="114300">
            <wp:extent cx="5268595" cy="2688590"/>
            <wp:effectExtent l="0" t="0" r="8255" b="16510"/>
            <wp:docPr id="3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pic:cNvPicPr>
                      <a:picLocks noChangeAspect="1"/>
                    </pic:cNvPicPr>
                  </pic:nvPicPr>
                  <pic:blipFill>
                    <a:blip r:embed="rId26"/>
                    <a:stretch>
                      <a:fillRect/>
                    </a:stretch>
                  </pic:blipFill>
                  <pic:spPr>
                    <a:xfrm>
                      <a:off x="0" y="0"/>
                      <a:ext cx="5268595" cy="2688590"/>
                    </a:xfrm>
                    <a:prstGeom prst="rect">
                      <a:avLst/>
                    </a:prstGeom>
                    <a:noFill/>
                    <a:ln w="9525">
                      <a:noFill/>
                    </a:ln>
                  </pic:spPr>
                </pic:pic>
              </a:graphicData>
            </a:graphic>
          </wp:inline>
        </w:drawing>
      </w:r>
    </w:p>
    <w:p>
      <w:pPr>
        <w:ind w:left="-430" w:leftChars="-205"/>
        <w:rPr>
          <w:rFonts w:ascii="楷体_GB2312" w:eastAsia="楷体_GB2312"/>
          <w:b/>
          <w:bCs/>
          <w:sz w:val="32"/>
          <w:szCs w:val="32"/>
        </w:rPr>
      </w:pPr>
      <w:bookmarkStart w:id="114" w:name="_Toc21313"/>
      <w:bookmarkStart w:id="115" w:name="_Toc193"/>
      <w:bookmarkStart w:id="116" w:name="_Toc14197078"/>
      <w:bookmarkStart w:id="117" w:name="_Toc16343"/>
      <w:bookmarkStart w:id="118" w:name="_Toc7703"/>
      <w:bookmarkStart w:id="119" w:name="_Toc31565"/>
      <w:bookmarkStart w:id="120" w:name="_Toc19705040"/>
      <w:bookmarkStart w:id="121" w:name="_Toc15127559"/>
      <w:bookmarkStart w:id="122" w:name="_Toc13830"/>
      <w:bookmarkStart w:id="123" w:name="_Toc12251"/>
      <w:bookmarkStart w:id="124" w:name="_Toc15712"/>
      <w:bookmarkStart w:id="125" w:name="_Toc14118"/>
      <w:bookmarkStart w:id="126" w:name="_Toc28903529"/>
      <w:r>
        <w:rPr>
          <w:rFonts w:hint="eastAsia" w:ascii="楷体_GB2312" w:eastAsia="楷体_GB2312"/>
          <w:b/>
          <w:bCs/>
          <w:sz w:val="32"/>
          <w:szCs w:val="32"/>
        </w:rPr>
        <w:t>3.1.人员信息登记</w:t>
      </w:r>
      <w:bookmarkEnd w:id="114"/>
      <w:bookmarkEnd w:id="115"/>
      <w:bookmarkEnd w:id="116"/>
      <w:bookmarkEnd w:id="117"/>
      <w:bookmarkEnd w:id="118"/>
      <w:bookmarkEnd w:id="119"/>
      <w:bookmarkEnd w:id="120"/>
      <w:bookmarkEnd w:id="121"/>
      <w:bookmarkEnd w:id="122"/>
      <w:bookmarkEnd w:id="123"/>
      <w:bookmarkEnd w:id="124"/>
      <w:bookmarkEnd w:id="125"/>
      <w:bookmarkEnd w:id="126"/>
    </w:p>
    <w:p>
      <w:r>
        <w:rPr>
          <w:rFonts w:hint="eastAsia"/>
        </w:rPr>
        <w:t>人员信息采集到客户端中有两种方式：单个添加、批量导入。人员信息采集分为境内人员和境外人员，下面以境内人员信息采集操作为例：</w:t>
      </w:r>
    </w:p>
    <w:p>
      <w:pPr>
        <w:numPr>
          <w:ilvl w:val="0"/>
          <w:numId w:val="3"/>
        </w:numPr>
        <w:rPr>
          <w:b/>
          <w:bCs/>
        </w:rPr>
      </w:pPr>
      <w:r>
        <w:rPr>
          <w:rFonts w:hint="eastAsia"/>
          <w:b/>
          <w:bCs/>
        </w:rPr>
        <w:t>单个添加</w:t>
      </w:r>
    </w:p>
    <w:p>
      <w:r>
        <w:rPr>
          <w:rFonts w:hint="eastAsia"/>
        </w:rPr>
        <w:t>点击【添加】，进入“境内人员信息”界面，录入人员基本信息，点击【保存】即可添加成功。</w:t>
      </w:r>
    </w:p>
    <w:p>
      <w:r>
        <w:drawing>
          <wp:inline distT="0" distB="0" distL="114300" distR="114300">
            <wp:extent cx="4558665" cy="5400040"/>
            <wp:effectExtent l="9525" t="9525" r="22860" b="19685"/>
            <wp:docPr id="35" name="图片 11"/>
            <wp:cNvGraphicFramePr/>
            <a:graphic xmlns:a="http://schemas.openxmlformats.org/drawingml/2006/main">
              <a:graphicData uri="http://schemas.openxmlformats.org/drawingml/2006/picture">
                <pic:pic xmlns:pic="http://schemas.openxmlformats.org/drawingml/2006/picture">
                  <pic:nvPicPr>
                    <pic:cNvPr id="35" name="图片 11"/>
                    <pic:cNvPicPr/>
                  </pic:nvPicPr>
                  <pic:blipFill>
                    <a:blip r:embed="rId27"/>
                    <a:srcRect r="1373"/>
                    <a:stretch>
                      <a:fillRect/>
                    </a:stretch>
                  </pic:blipFill>
                  <pic:spPr>
                    <a:xfrm>
                      <a:off x="0" y="0"/>
                      <a:ext cx="4558665" cy="540004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rPr>
        <w:t>【人员状态】：选择“正常”或“非正常”。正常状态的人员才能填写申报表，对离职、离退等不再从本单位取得所得的人员，设置为“非正常”。</w:t>
      </w:r>
    </w:p>
    <w:p>
      <w:r>
        <w:rPr>
          <w:rFonts w:hint="eastAsia"/>
        </w:rPr>
        <w:t>【证照类型】：境内人员支持的证照类型有居民身份证；境外人员支持的证照类型有中国护照、外国护照、港澳居民来往内地通行证、台湾居民来往大陆通行证等。</w:t>
      </w:r>
    </w:p>
    <w:p>
      <w:r>
        <w:rPr>
          <w:rFonts w:hint="eastAsia"/>
        </w:rPr>
        <w:t>【证照号码】：根据所选证照类型填写正确的证照号码。使用居民身份证登记，证照号码必须是正确的18位身份证号码。</w:t>
      </w:r>
    </w:p>
    <w:p>
      <w:r>
        <w:rPr>
          <w:rFonts w:hint="eastAsia"/>
        </w:rPr>
        <w:t>【姓名】：严格按照所选证照上的真实姓名填写。</w:t>
      </w:r>
    </w:p>
    <w:p>
      <w:r>
        <w:rPr>
          <w:rFonts w:hint="eastAsia"/>
        </w:rPr>
        <w:t>【国籍（地区）】：境</w:t>
      </w:r>
      <w:r>
        <w:t>内人员，国籍</w:t>
      </w:r>
      <w:r>
        <w:rPr>
          <w:rFonts w:hint="eastAsia"/>
        </w:rPr>
        <w:t>自动带出“中国”且无法修改；境外人员，填写所选证照上的国籍地区即可。</w:t>
      </w:r>
    </w:p>
    <w:p>
      <w:r>
        <w:rPr>
          <w:rFonts w:hint="eastAsia"/>
        </w:rPr>
        <w:t>【性别】、【出生日期】：选择居民身份证采集的，此两项信息会根据身份证号码信息自动带出，无需填写；使用其他证件，则需手动据实填写。</w:t>
      </w:r>
    </w:p>
    <w:p>
      <w:r>
        <w:rPr>
          <w:rFonts w:hint="eastAsia"/>
        </w:rPr>
        <w:t>【学历】：下拉选择纳税人取得的最高学历。</w:t>
      </w:r>
    </w:p>
    <w:p>
      <w:r>
        <w:rPr>
          <w:rFonts w:hint="eastAsia"/>
        </w:rPr>
        <w:t>【纳税人识别号】：人员信息采集报送成功后，系统自动生成纳税人唯一的纳税人识别号，本数据项自动带出，无需填写。</w:t>
      </w:r>
    </w:p>
    <w:p>
      <w:r>
        <w:rPr>
          <w:rFonts w:hint="eastAsia"/>
        </w:rPr>
        <w:t>【是否存在以下情形】：有本项所列情况的进行勾选，包括残疾、烈属、孤老。勾选“残疾”，则残疾证号必填。</w:t>
      </w:r>
    </w:p>
    <w:p>
      <w:r>
        <w:rPr>
          <w:rFonts w:hint="eastAsia"/>
        </w:rPr>
        <w:t>【任职受雇从业类型】：包括雇员、保险营销员、证券经纪人、其他。</w:t>
      </w:r>
    </w:p>
    <w:p>
      <w:r>
        <w:rPr>
          <w:rFonts w:hint="eastAsia"/>
        </w:rPr>
        <w:t>【任职受雇从业日期】：纳税人入职受雇单位的日期。选择雇员、保险营销员和证券经纪人的需填写任职受雇从业日期。</w:t>
      </w:r>
    </w:p>
    <w:p>
      <w:r>
        <w:rPr>
          <w:rFonts w:hint="eastAsia"/>
        </w:rPr>
        <w:t>【离职日期】：纳税人从单位离职的日期。选择雇员、保险营销员和证券经纪人的，当人员状态修改为“非正常”时，该项必填。</w:t>
      </w:r>
    </w:p>
    <w:p>
      <w:r>
        <w:rPr>
          <w:rFonts w:hint="eastAsia"/>
        </w:rPr>
        <w:t>【工号】：填写该纳税人在单位的工号或编号。</w:t>
      </w:r>
    </w:p>
    <w:p>
      <w:r>
        <w:rPr>
          <w:rFonts w:hint="eastAsia"/>
        </w:rPr>
        <w:t>【职务】：可据实下拉选择“高层”或“普通”。</w:t>
      </w:r>
    </w:p>
    <w:p>
      <w:r>
        <w:rPr>
          <w:rFonts w:hint="eastAsia"/>
        </w:rPr>
        <w:t>【户籍所在地】、【经常居住地】、【联系地址】：填写纳税人的地址信息，下拉选择省、市、区、街道后，必须填写详细地址。</w:t>
      </w:r>
    </w:p>
    <w:p>
      <w:r>
        <w:rPr>
          <w:rFonts w:hint="eastAsia"/>
        </w:rPr>
        <w:t>【手机号码】：填写纳税人真实的手机号码。</w:t>
      </w:r>
    </w:p>
    <w:p>
      <w:r>
        <w:rPr>
          <w:rFonts w:hint="eastAsia"/>
        </w:rPr>
        <w:t>【电子邮箱】：填写纳税人的电子邮箱。</w:t>
      </w:r>
    </w:p>
    <w:p>
      <w:r>
        <w:rPr>
          <w:rFonts w:hint="eastAsia"/>
        </w:rPr>
        <w:t>【开户银行】：选择纳税人银行账号对应的开户银行。</w:t>
      </w:r>
    </w:p>
    <w:p>
      <w:r>
        <w:rPr>
          <w:rFonts w:hint="eastAsia"/>
        </w:rPr>
        <w:t>【银行账号】：填写纳税人本人名下的银行账号。</w:t>
      </w:r>
    </w:p>
    <w:p>
      <w:r>
        <w:rPr>
          <w:rFonts w:hint="eastAsia"/>
          <w:b/>
          <w:bCs/>
        </w:rPr>
        <w:t>注意事项：</w:t>
      </w:r>
      <w:r>
        <w:rPr>
          <w:rFonts w:hint="eastAsia"/>
        </w:rPr>
        <w:t>人员信息采集表中，带“*”号项为必填项，其他非必填项，可根据实际情况选填。</w:t>
      </w:r>
    </w:p>
    <w:p>
      <w:r>
        <w:rPr>
          <w:rFonts w:hint="eastAsia"/>
        </w:rPr>
        <w:t>若采集人员时姓名中包含生僻字，不能通过输入法正常录入的，可先安装生僻字补丁包后再进行人员姓名录入。操作步骤如下：</w:t>
      </w:r>
    </w:p>
    <w:p>
      <w:r>
        <w:rPr>
          <w:rFonts w:hint="eastAsia"/>
          <w:b/>
          <w:bCs/>
        </w:rPr>
        <w:t>步骤一：</w:t>
      </w:r>
      <w:r>
        <w:rPr>
          <w:rFonts w:hint="eastAsia"/>
        </w:rPr>
        <w:t>“境内人员信息”/“境外人员信息”新增界面上方的温馨提示中点击【马上下载】，下载生僻字补丁包，下载后双击该应用程序即可自动安装，安装成功后弹出“生僻字补丁安装成功”提示框，无需进行其他操作。</w:t>
      </w:r>
    </w:p>
    <w:p>
      <w:r>
        <w:drawing>
          <wp:inline distT="0" distB="0" distL="114300" distR="114300">
            <wp:extent cx="4942840" cy="1807210"/>
            <wp:effectExtent l="9525" t="9525" r="19685" b="12065"/>
            <wp:docPr id="28" name="图片 12"/>
            <wp:cNvGraphicFramePr/>
            <a:graphic xmlns:a="http://schemas.openxmlformats.org/drawingml/2006/main">
              <a:graphicData uri="http://schemas.openxmlformats.org/drawingml/2006/picture">
                <pic:pic xmlns:pic="http://schemas.openxmlformats.org/drawingml/2006/picture">
                  <pic:nvPicPr>
                    <pic:cNvPr id="28" name="图片 12"/>
                    <pic:cNvPicPr/>
                  </pic:nvPicPr>
                  <pic:blipFill>
                    <a:blip r:embed="rId28"/>
                    <a:stretch>
                      <a:fillRect/>
                    </a:stretch>
                  </pic:blipFill>
                  <pic:spPr>
                    <a:xfrm>
                      <a:off x="0" y="0"/>
                      <a:ext cx="4942840" cy="180721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b/>
          <w:bCs/>
        </w:rPr>
        <w:t>步骤二：</w:t>
      </w:r>
      <w:r>
        <w:rPr>
          <w:rFonts w:hint="eastAsia"/>
        </w:rPr>
        <w:t>安装成功后在“境内人员信息”/“境外人员信息”新增界面会出现【生僻字】，点击后跳转至录入界面。</w:t>
      </w:r>
    </w:p>
    <w:p>
      <w:r>
        <w:drawing>
          <wp:inline distT="0" distB="0" distL="114300" distR="114300">
            <wp:extent cx="4910455" cy="2005330"/>
            <wp:effectExtent l="9525" t="9525" r="13970" b="23495"/>
            <wp:docPr id="36" name="图片 13"/>
            <wp:cNvGraphicFramePr/>
            <a:graphic xmlns:a="http://schemas.openxmlformats.org/drawingml/2006/main">
              <a:graphicData uri="http://schemas.openxmlformats.org/drawingml/2006/picture">
                <pic:pic xmlns:pic="http://schemas.openxmlformats.org/drawingml/2006/picture">
                  <pic:nvPicPr>
                    <pic:cNvPr id="36" name="图片 13"/>
                    <pic:cNvPicPr/>
                  </pic:nvPicPr>
                  <pic:blipFill>
                    <a:blip r:embed="rId29"/>
                    <a:stretch>
                      <a:fillRect/>
                    </a:stretch>
                  </pic:blipFill>
                  <pic:spPr>
                    <a:xfrm>
                      <a:off x="0" y="0"/>
                      <a:ext cx="4910455" cy="200533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b/>
          <w:bCs/>
        </w:rPr>
        <w:t>步骤三：</w:t>
      </w:r>
      <w:r>
        <w:rPr>
          <w:rFonts w:hint="eastAsia"/>
        </w:rPr>
        <w:t>点击【输入生僻字】，在界面下方通过笔画顺序拼写查找需录入的生僻字，选择后点击【确定】，选择的生僻字出现在最上方空格内，点击【点我复制】及【关闭】，返回到“境内人员信息”添加界面，在基本信息的姓名空格内粘贴即可显示该生僻字保存即可。</w:t>
      </w:r>
    </w:p>
    <w:p>
      <w:r>
        <w:drawing>
          <wp:inline distT="0" distB="0" distL="114300" distR="114300">
            <wp:extent cx="5273040" cy="2773680"/>
            <wp:effectExtent l="9525" t="9525" r="13335" b="1714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0"/>
                    <a:stretch>
                      <a:fillRect/>
                    </a:stretch>
                  </pic:blipFill>
                  <pic:spPr>
                    <a:xfrm>
                      <a:off x="0" y="0"/>
                      <a:ext cx="5273040" cy="277368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rPr>
        <w:t>境外人员信息添加与境内人员基本一致，不同之处在于比境内人员多了三项必录项：【涉税事由】下拉进行勾选在境内涉税的具体事由；【首次入境时间】和【预计离境时间】分别填写纳税人首次到达中国境内的日期和预计离境的日期。</w:t>
      </w:r>
    </w:p>
    <w:p>
      <w:r>
        <w:rPr>
          <w:rFonts w:hint="eastAsia"/>
        </w:rPr>
        <w:t>单个添加人员的业务场景，适用于单位人员较少及姓名中包含生僻字的情况。单位人员较多时，建议使用Excel模板批量导入功能。</w:t>
      </w:r>
    </w:p>
    <w:p>
      <w:pPr>
        <w:numPr>
          <w:ilvl w:val="0"/>
          <w:numId w:val="3"/>
        </w:numPr>
        <w:rPr>
          <w:b/>
          <w:bCs/>
        </w:rPr>
      </w:pPr>
      <w:r>
        <w:rPr>
          <w:rFonts w:hint="eastAsia"/>
          <w:b/>
          <w:bCs/>
        </w:rPr>
        <w:t>批量导入</w:t>
      </w:r>
    </w:p>
    <w:p>
      <w:r>
        <w:rPr>
          <w:rFonts w:hint="eastAsia"/>
        </w:rPr>
        <w:t>点击【导入】→【模板下载】，下载客户端中提供的标准Excel模板。将人员各项信息填写到模板对应列，然后点击【导入】→【导入文件】，选择Excel文件，导入到客户端中。</w:t>
      </w:r>
    </w:p>
    <w:p>
      <w:r>
        <w:drawing>
          <wp:inline distT="0" distB="0" distL="114300" distR="114300">
            <wp:extent cx="5268595" cy="2688590"/>
            <wp:effectExtent l="0" t="0" r="8255" b="16510"/>
            <wp:docPr id="3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5"/>
                    <pic:cNvPicPr>
                      <a:picLocks noChangeAspect="1"/>
                    </pic:cNvPicPr>
                  </pic:nvPicPr>
                  <pic:blipFill>
                    <a:blip r:embed="rId31"/>
                    <a:stretch>
                      <a:fillRect/>
                    </a:stretch>
                  </pic:blipFill>
                  <pic:spPr>
                    <a:xfrm>
                      <a:off x="0" y="0"/>
                      <a:ext cx="5268595" cy="2688590"/>
                    </a:xfrm>
                    <a:prstGeom prst="rect">
                      <a:avLst/>
                    </a:prstGeom>
                    <a:noFill/>
                    <a:ln w="9525">
                      <a:noFill/>
                    </a:ln>
                  </pic:spPr>
                </pic:pic>
              </a:graphicData>
            </a:graphic>
          </wp:inline>
        </w:drawing>
      </w:r>
    </w:p>
    <w:p>
      <w:r>
        <w:rPr>
          <w:rFonts w:hint="eastAsia"/>
          <w:b/>
          <w:bCs/>
        </w:rPr>
        <w:t>注意事项</w:t>
      </w:r>
      <w:r>
        <w:rPr>
          <w:rFonts w:hint="eastAsia"/>
        </w:rPr>
        <w:t>：当填写信息不符合规范时，在【添加】或【导入】时会有相应的提示。如：身份证号码不满足校验规则、姓名中不能有特殊字符等。需按照提示要求，更正相应信息后，重新保存</w:t>
      </w:r>
      <w:r>
        <w:t>。</w:t>
      </w:r>
    </w:p>
    <w:p>
      <w:pPr>
        <w:ind w:left="-430" w:leftChars="-205"/>
        <w:rPr>
          <w:rFonts w:ascii="楷体_GB2312" w:eastAsia="楷体_GB2312"/>
          <w:b/>
          <w:bCs/>
          <w:sz w:val="32"/>
          <w:szCs w:val="32"/>
        </w:rPr>
      </w:pPr>
      <w:bookmarkStart w:id="127" w:name="_Toc16794"/>
      <w:bookmarkStart w:id="128" w:name="_Toc19705041"/>
      <w:bookmarkStart w:id="129" w:name="_Toc15107"/>
      <w:bookmarkStart w:id="130" w:name="_Toc19408"/>
      <w:bookmarkStart w:id="131" w:name="_Toc1671"/>
      <w:bookmarkStart w:id="132" w:name="_Toc13293"/>
      <w:bookmarkStart w:id="133" w:name="_Toc524372071"/>
      <w:bookmarkStart w:id="134" w:name="_Toc519"/>
      <w:bookmarkStart w:id="135" w:name="_Toc31176"/>
      <w:bookmarkStart w:id="136" w:name="_Toc14197079"/>
      <w:bookmarkStart w:id="137" w:name="_Toc21133"/>
      <w:bookmarkStart w:id="138" w:name="_Toc15127560"/>
      <w:bookmarkStart w:id="139" w:name="_Toc11354"/>
      <w:bookmarkStart w:id="140" w:name="_Toc22009"/>
      <w:bookmarkStart w:id="141" w:name="_Toc16718"/>
      <w:bookmarkStart w:id="142" w:name="_Toc28874"/>
      <w:bookmarkStart w:id="143" w:name="_Toc697"/>
      <w:bookmarkStart w:id="144" w:name="_Toc28903530"/>
      <w:r>
        <w:rPr>
          <w:rFonts w:ascii="楷体_GB2312" w:eastAsia="楷体_GB2312"/>
          <w:b/>
          <w:bCs/>
          <w:sz w:val="32"/>
          <w:szCs w:val="32"/>
        </w:rPr>
        <w:t>3</w:t>
      </w:r>
      <w:r>
        <w:rPr>
          <w:rFonts w:hint="eastAsia" w:ascii="楷体_GB2312" w:eastAsia="楷体_GB2312"/>
          <w:b/>
          <w:bCs/>
          <w:sz w:val="32"/>
          <w:szCs w:val="32"/>
        </w:rPr>
        <w:t>.2.人员信息编辑</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r>
        <w:rPr>
          <w:rFonts w:hint="eastAsia"/>
        </w:rPr>
        <w:t>人员信息编辑，指对已添加人员的修改和删除操作。人员信息采集到系统后，人员信息存在错误或发生变化时，需修改或删除人员信息后重新采集人员。</w:t>
      </w:r>
    </w:p>
    <w:p>
      <w:r>
        <w:rPr>
          <w:rFonts w:hint="eastAsia"/>
        </w:rPr>
        <w:t>人员已报送成功，则人员信息不允许删除，只能修改；未报送的人员，既可删除重新采集，也可直接修改错误信息。</w:t>
      </w:r>
    </w:p>
    <w:p>
      <w:pPr>
        <w:numPr>
          <w:ilvl w:val="0"/>
          <w:numId w:val="4"/>
        </w:numPr>
        <w:rPr>
          <w:b/>
          <w:bCs/>
        </w:rPr>
      </w:pPr>
      <w:r>
        <w:rPr>
          <w:rFonts w:hint="eastAsia"/>
          <w:b/>
          <w:bCs/>
        </w:rPr>
        <w:t>人员信息修改</w:t>
      </w:r>
    </w:p>
    <w:p>
      <w:pPr>
        <w:numPr>
          <w:ilvl w:val="0"/>
          <w:numId w:val="5"/>
        </w:numPr>
      </w:pPr>
      <w:r>
        <w:rPr>
          <w:rFonts w:hint="eastAsia"/>
        </w:rPr>
        <w:t>报送成功情况下，关键信息（包括姓名、国籍、证照类型、证照号码）修改：</w:t>
      </w:r>
    </w:p>
    <w:p>
      <w:pPr>
        <w:numPr>
          <w:ilvl w:val="0"/>
          <w:numId w:val="6"/>
        </w:numPr>
        <w:ind w:firstLine="420" w:firstLineChars="200"/>
      </w:pPr>
      <w:r>
        <w:rPr>
          <w:rFonts w:hint="eastAsia"/>
        </w:rPr>
        <w:t>证照类型、证照号码、国籍：此三项信息不允许修改。若录入错误，需将人员状态改为【非正常】，重新采集正确的人员信息。</w:t>
      </w:r>
    </w:p>
    <w:p>
      <w:pPr>
        <w:numPr>
          <w:ilvl w:val="0"/>
          <w:numId w:val="6"/>
        </w:numPr>
        <w:ind w:firstLine="420" w:firstLineChars="200"/>
      </w:pPr>
      <w:r>
        <w:rPr>
          <w:rFonts w:hint="eastAsia"/>
        </w:rPr>
        <w:t>姓名：若身份验证状态为“验证通过”，则不可修改，其他状态允许修改，需谨慎操作。</w:t>
      </w:r>
    </w:p>
    <w:p>
      <w:pPr>
        <w:numPr>
          <w:ilvl w:val="0"/>
          <w:numId w:val="5"/>
        </w:numPr>
      </w:pPr>
      <w:r>
        <w:rPr>
          <w:rFonts w:hint="eastAsia"/>
        </w:rPr>
        <w:t>报送成功情况下，非关键信息修改：</w:t>
      </w:r>
    </w:p>
    <w:p>
      <w:pPr>
        <w:numPr>
          <w:ilvl w:val="0"/>
          <w:numId w:val="7"/>
        </w:numPr>
        <w:ind w:firstLine="420" w:firstLineChars="200"/>
      </w:pPr>
      <w:r>
        <w:rPr>
          <w:rFonts w:hint="eastAsia"/>
        </w:rPr>
        <w:t>人员非关键信息修改，可在人员信息采集页双击该条人员信息记录的任何位置，打开“境内人员信息”/“境外人员信息”界面修改信息后保存即可。</w:t>
      </w:r>
    </w:p>
    <w:p>
      <w:pPr>
        <w:numPr>
          <w:ilvl w:val="0"/>
          <w:numId w:val="7"/>
        </w:numPr>
        <w:ind w:firstLine="420" w:firstLineChars="200"/>
      </w:pPr>
      <w:r>
        <w:rPr>
          <w:rFonts w:hint="eastAsia"/>
        </w:rPr>
        <w:t>多个人员非关键信息需修改为同一信息时，勾选多人后，点击【更多操作】→【批量修改】，选择需要修改的项目，录入正确的内容保存即可。</w:t>
      </w:r>
    </w:p>
    <w:p>
      <w:pPr>
        <w:numPr>
          <w:ilvl w:val="0"/>
          <w:numId w:val="7"/>
        </w:numPr>
        <w:ind w:firstLine="420" w:firstLineChars="200"/>
      </w:pPr>
      <w:r>
        <w:rPr>
          <w:rFonts w:hint="eastAsia"/>
        </w:rPr>
        <w:t>持有居民身份证的人员，报送成功后，反馈验证不通过的，涉及到关键信息修改的详见“3.3人员信息报送验证”。</w:t>
      </w:r>
    </w:p>
    <w:p>
      <w:pPr>
        <w:numPr>
          <w:ilvl w:val="0"/>
          <w:numId w:val="4"/>
        </w:numPr>
        <w:rPr>
          <w:b/>
          <w:bCs/>
        </w:rPr>
      </w:pPr>
      <w:r>
        <w:rPr>
          <w:rFonts w:hint="eastAsia"/>
          <w:b/>
          <w:bCs/>
        </w:rPr>
        <w:t>人员信息删除</w:t>
      </w:r>
    </w:p>
    <w:p>
      <w:r>
        <w:rPr>
          <w:rFonts w:hint="eastAsia"/>
        </w:rPr>
        <w:t>只有未报送的人员可以删除，勾选人员后，点击【更多操作】→【删除】进行信息删除。</w:t>
      </w:r>
    </w:p>
    <w:p>
      <w:pPr>
        <w:ind w:left="-430" w:leftChars="-205"/>
        <w:rPr>
          <w:rFonts w:ascii="楷体_GB2312" w:eastAsia="楷体_GB2312"/>
          <w:b/>
          <w:bCs/>
          <w:sz w:val="32"/>
          <w:szCs w:val="32"/>
        </w:rPr>
      </w:pPr>
      <w:bookmarkStart w:id="145" w:name="_Toc28619"/>
      <w:bookmarkStart w:id="146" w:name="_Toc27821"/>
      <w:bookmarkStart w:id="147" w:name="_Toc15127561"/>
      <w:bookmarkStart w:id="148" w:name="_Toc29495"/>
      <w:bookmarkStart w:id="149" w:name="_Toc524372072"/>
      <w:bookmarkStart w:id="150" w:name="_Toc14197080"/>
      <w:bookmarkStart w:id="151" w:name="_Toc15521"/>
      <w:bookmarkStart w:id="152" w:name="_Toc15877"/>
      <w:bookmarkStart w:id="153" w:name="_Toc3632"/>
      <w:bookmarkStart w:id="154" w:name="_Toc29884"/>
      <w:bookmarkStart w:id="155" w:name="_Toc3386"/>
      <w:bookmarkStart w:id="156" w:name="_Toc19705042"/>
      <w:bookmarkStart w:id="157" w:name="_Toc19676"/>
      <w:bookmarkStart w:id="158" w:name="_Toc4131"/>
      <w:bookmarkStart w:id="159" w:name="_Toc4452"/>
      <w:bookmarkStart w:id="160" w:name="_Toc22031"/>
      <w:bookmarkStart w:id="161" w:name="_Toc31304"/>
      <w:bookmarkStart w:id="162" w:name="_Toc28903531"/>
      <w:r>
        <w:rPr>
          <w:rFonts w:ascii="楷体_GB2312" w:eastAsia="楷体_GB2312"/>
          <w:b/>
          <w:bCs/>
          <w:sz w:val="32"/>
          <w:szCs w:val="32"/>
        </w:rPr>
        <w:t>3</w:t>
      </w:r>
      <w:r>
        <w:rPr>
          <w:rFonts w:hint="eastAsia" w:ascii="楷体_GB2312" w:eastAsia="楷体_GB2312"/>
          <w:b/>
          <w:bCs/>
          <w:sz w:val="32"/>
          <w:szCs w:val="32"/>
        </w:rPr>
        <w:t>.3.人员信息报送验证</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p>
      <w:r>
        <w:rPr>
          <w:rFonts w:hint="eastAsia"/>
        </w:rPr>
        <w:t>人员信息采集完毕后，需先将人员信息报送至税务机关端进行验证，再获取报送结果和身份验证结果，报送成功的人员才能填写、报送申报表。</w:t>
      </w:r>
    </w:p>
    <w:p>
      <w:pPr>
        <w:numPr>
          <w:ilvl w:val="0"/>
          <w:numId w:val="8"/>
        </w:numPr>
        <w:rPr>
          <w:b/>
          <w:bCs/>
        </w:rPr>
      </w:pPr>
      <w:r>
        <w:rPr>
          <w:rFonts w:hint="eastAsia"/>
          <w:b/>
          <w:bCs/>
        </w:rPr>
        <w:t>报送</w:t>
      </w:r>
    </w:p>
    <w:p>
      <w:r>
        <w:rPr>
          <w:rFonts w:hint="eastAsia"/>
        </w:rPr>
        <w:t>点击【报送】，客户端会将报送状态为“待报送”的人员信息报送至税务机关并进行身</w:t>
      </w:r>
      <w:r>
        <w:t>份</w:t>
      </w:r>
      <w:r>
        <w:rPr>
          <w:rFonts w:hint="eastAsia"/>
        </w:rPr>
        <w:t>验证，只</w:t>
      </w:r>
      <w:r>
        <w:t>有</w:t>
      </w:r>
      <w:r>
        <w:rPr>
          <w:rFonts w:hint="eastAsia"/>
        </w:rPr>
        <w:t>报</w:t>
      </w:r>
      <w:r>
        <w:t>送状态</w:t>
      </w:r>
      <w:r>
        <w:rPr>
          <w:rFonts w:hint="eastAsia"/>
        </w:rPr>
        <w:t>为</w:t>
      </w:r>
      <w:r>
        <w:t>【</w:t>
      </w:r>
      <w:r>
        <w:rPr>
          <w:rFonts w:hint="eastAsia"/>
        </w:rPr>
        <w:t>报</w:t>
      </w:r>
      <w:r>
        <w:t>送成功】</w:t>
      </w:r>
      <w:r>
        <w:rPr>
          <w:rFonts w:hint="eastAsia"/>
        </w:rPr>
        <w:t>的</w:t>
      </w:r>
      <w:r>
        <w:t>人员才允许</w:t>
      </w:r>
      <w:r>
        <w:rPr>
          <w:rFonts w:hint="eastAsia"/>
        </w:rPr>
        <w:t>进</w:t>
      </w:r>
      <w:r>
        <w:t>行申报表</w:t>
      </w:r>
      <w:r>
        <w:rPr>
          <w:rFonts w:hint="eastAsia"/>
        </w:rPr>
        <w:t>报</w:t>
      </w:r>
      <w:r>
        <w:t>送</w:t>
      </w:r>
      <w:r>
        <w:rPr>
          <w:rFonts w:hint="eastAsia"/>
        </w:rPr>
        <w:t>等业务</w:t>
      </w:r>
      <w:r>
        <w:t>操作</w:t>
      </w:r>
      <w:r>
        <w:rPr>
          <w:rFonts w:hint="eastAsia"/>
        </w:rPr>
        <w:t>。</w:t>
      </w:r>
    </w:p>
    <w:p>
      <w:r>
        <w:rPr>
          <w:rFonts w:hint="eastAsia"/>
        </w:rPr>
        <w:t>目</w:t>
      </w:r>
      <w:r>
        <w:t>前</w:t>
      </w:r>
      <w:r>
        <w:rPr>
          <w:rFonts w:hint="eastAsia"/>
        </w:rPr>
        <w:t>系统</w:t>
      </w:r>
      <w:r>
        <w:t>没有</w:t>
      </w:r>
      <w:r>
        <w:rPr>
          <w:rFonts w:hint="eastAsia"/>
        </w:rPr>
        <w:t>对所</w:t>
      </w:r>
      <w:r>
        <w:t>有证件进行</w:t>
      </w:r>
      <w:r>
        <w:rPr>
          <w:rFonts w:hint="eastAsia"/>
        </w:rPr>
        <w:t>身份证信息验证，会根</w:t>
      </w:r>
      <w:r>
        <w:t>据系统建设情况</w:t>
      </w:r>
      <w:r>
        <w:rPr>
          <w:rFonts w:hint="eastAsia"/>
        </w:rPr>
        <w:t>陆续增加。</w:t>
      </w:r>
    </w:p>
    <w:p>
      <w:pPr>
        <w:numPr>
          <w:ilvl w:val="0"/>
          <w:numId w:val="9"/>
        </w:numPr>
        <w:ind w:firstLine="420" w:firstLineChars="200"/>
      </w:pPr>
      <w:r>
        <w:rPr>
          <w:rFonts w:hint="eastAsia"/>
        </w:rPr>
        <w:t>身份验证状态为“验证通过”的，表示该自然人身份信息与公安机关的居民身份登记信息一致。</w:t>
      </w:r>
    </w:p>
    <w:p>
      <w:pPr>
        <w:numPr>
          <w:ilvl w:val="0"/>
          <w:numId w:val="9"/>
        </w:numPr>
        <w:ind w:firstLine="420" w:firstLineChars="200"/>
      </w:pPr>
      <w:r>
        <w:rPr>
          <w:rFonts w:hint="eastAsia"/>
        </w:rPr>
        <w:t>身份验证状态为“验证中”的，表示尚未获取到公安机关的居民身份登记信息。扣缴单位可以在【更多操作】中进行【身份验证状态更新】。</w:t>
      </w:r>
    </w:p>
    <w:p>
      <w:pPr>
        <w:numPr>
          <w:ilvl w:val="0"/>
          <w:numId w:val="9"/>
        </w:numPr>
        <w:ind w:firstLine="420" w:firstLineChars="200"/>
      </w:pPr>
      <w:r>
        <w:rPr>
          <w:rFonts w:hint="eastAsia"/>
        </w:rPr>
        <w:t>身份验证状态为“暂不验证”的，表示税务系统暂未与第三方系统联通交互，目前尚无法进行验证。扣缴单位可以忽略该结果，正常进行后续操作。</w:t>
      </w:r>
    </w:p>
    <w:p>
      <w:pPr>
        <w:numPr>
          <w:ilvl w:val="0"/>
          <w:numId w:val="9"/>
        </w:numPr>
        <w:ind w:firstLine="420" w:firstLineChars="200"/>
      </w:pPr>
      <w:r>
        <w:rPr>
          <w:rFonts w:hint="eastAsia"/>
        </w:rPr>
        <w:t>身份验证状态为“验证不通过”的，扣缴单位应对其进行核实，经核实自然人身份信息准确无误的，则该自然人需前往办税服务厅进行特殊采集登记，信息采集成功后扣缴义务人可以通过客户端【更多操作】-【身份验证状态更新】功能进行更新；经核实确存在问题的，予以修正。</w:t>
      </w:r>
      <w:r>
        <w:rPr>
          <w:rFonts w:hint="eastAsia"/>
          <w:bCs/>
        </w:rPr>
        <w:t>为便于扣缴单位修正错误数据，扣缴客户端对验证不通过的人员，开放姓名或居民身份证件号码修改功能。</w:t>
      </w:r>
    </w:p>
    <w:p>
      <w:r>
        <w:rPr>
          <w:rFonts w:hint="eastAsia"/>
          <w:b/>
          <w:bCs/>
        </w:rPr>
        <w:t>①姓名、居民身份证件号码只能修改其一</w:t>
      </w:r>
      <w:r>
        <w:rPr>
          <w:rFonts w:hint="eastAsia"/>
        </w:rPr>
        <w:t>；对姓名和居民身份证件号码同时错误的，需要前往办税服务厅办理并档业务。</w:t>
      </w:r>
    </w:p>
    <w:p>
      <w:r>
        <w:rPr>
          <w:rFonts w:hint="eastAsia"/>
        </w:rPr>
        <w:t>如：修改姓名保存失败后，返回当前修改界面；若直接再次修改居民身份证件号码，保存时提示“姓名和居民身份证件号码不得同时修改”。</w:t>
      </w:r>
    </w:p>
    <w:p>
      <w:r>
        <w:rPr>
          <w:rFonts w:hint="eastAsia"/>
        </w:rPr>
        <w:t>②修改后的身份信息，点击【保存】时系统将进行验证，需“验证通过”才能保存成功；若“验证不通过”，则保</w:t>
      </w:r>
      <w:r>
        <w:t>存失败</w:t>
      </w:r>
      <w:r>
        <w:rPr>
          <w:rFonts w:hint="eastAsia"/>
        </w:rPr>
        <w:t>，返回当前修改界面。（注：每日0点至4点公安接口未开放，暂停验证，此时段修改姓名或居民身份证件号码将会保存失败。）</w:t>
      </w:r>
    </w:p>
    <w:p>
      <w:r>
        <w:rPr>
          <w:rFonts w:hint="eastAsia"/>
        </w:rPr>
        <w:t>③修改成功后，无需对之前申报的数据进行更正申报，系统会将新旧信息自动进行归集。</w:t>
      </w:r>
    </w:p>
    <w:p>
      <w:pPr>
        <w:rPr>
          <w:b/>
        </w:rPr>
      </w:pPr>
      <w:bookmarkStart w:id="163" w:name="_Toc19125451"/>
      <w:bookmarkStart w:id="164" w:name="_Toc12567"/>
      <w:bookmarkStart w:id="165" w:name="_Toc1088"/>
      <w:bookmarkStart w:id="166" w:name="_Toc30306"/>
      <w:bookmarkStart w:id="167" w:name="_Toc19100387"/>
      <w:bookmarkStart w:id="168" w:name="_Toc4422"/>
      <w:bookmarkStart w:id="169" w:name="_Toc19031890"/>
      <w:r>
        <w:rPr>
          <w:rFonts w:hint="eastAsia"/>
        </w:rPr>
        <w:t>操作步骤</w:t>
      </w:r>
      <w:bookmarkEnd w:id="163"/>
      <w:bookmarkEnd w:id="164"/>
      <w:bookmarkEnd w:id="165"/>
      <w:bookmarkEnd w:id="166"/>
      <w:bookmarkEnd w:id="167"/>
      <w:bookmarkEnd w:id="168"/>
      <w:bookmarkEnd w:id="169"/>
      <w:r>
        <w:rPr>
          <w:rFonts w:hint="eastAsia"/>
        </w:rPr>
        <w:t>：</w:t>
      </w:r>
    </w:p>
    <w:p>
      <w:pPr>
        <w:rPr>
          <w:bCs/>
        </w:rPr>
      </w:pPr>
      <w:r>
        <w:rPr>
          <w:bCs/>
        </w:rPr>
        <w:t>①</w:t>
      </w:r>
      <w:r>
        <w:rPr>
          <w:rFonts w:hint="eastAsia"/>
          <w:bCs/>
        </w:rPr>
        <w:t>在扣缴客户端，点击【人员信息采集】菜</w:t>
      </w:r>
      <w:r>
        <w:rPr>
          <w:bCs/>
        </w:rPr>
        <w:t>单</w:t>
      </w:r>
      <w:r>
        <w:rPr>
          <w:rFonts w:hint="eastAsia"/>
          <w:bCs/>
        </w:rPr>
        <w:t>，双</w:t>
      </w:r>
      <w:r>
        <w:rPr>
          <w:bCs/>
        </w:rPr>
        <w:t>击</w:t>
      </w:r>
      <w:r>
        <w:rPr>
          <w:rFonts w:hint="eastAsia"/>
          <w:bCs/>
        </w:rPr>
        <w:t>身份验证状态为“验证不通过”的人员进</w:t>
      </w:r>
      <w:r>
        <w:rPr>
          <w:bCs/>
        </w:rPr>
        <w:t>入</w:t>
      </w:r>
      <w:r>
        <w:rPr>
          <w:rFonts w:hint="eastAsia"/>
          <w:b/>
        </w:rPr>
        <w:t>人员信息编辑</w:t>
      </w:r>
      <w:r>
        <w:rPr>
          <w:rFonts w:hint="eastAsia"/>
          <w:bCs/>
        </w:rPr>
        <w:t>界面。</w:t>
      </w:r>
    </w:p>
    <w:p>
      <w:pPr>
        <w:rPr>
          <w:bCs/>
        </w:rPr>
      </w:pPr>
      <w:r>
        <w:drawing>
          <wp:inline distT="0" distB="0" distL="114300" distR="114300">
            <wp:extent cx="5265420" cy="2483485"/>
            <wp:effectExtent l="0" t="0" r="11430" b="12065"/>
            <wp:docPr id="3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6"/>
                    <pic:cNvPicPr>
                      <a:picLocks noChangeAspect="1"/>
                    </pic:cNvPicPr>
                  </pic:nvPicPr>
                  <pic:blipFill>
                    <a:blip r:embed="rId32"/>
                    <a:srcRect b="31078"/>
                    <a:stretch>
                      <a:fillRect/>
                    </a:stretch>
                  </pic:blipFill>
                  <pic:spPr>
                    <a:xfrm>
                      <a:off x="0" y="0"/>
                      <a:ext cx="5265420" cy="2483485"/>
                    </a:xfrm>
                    <a:prstGeom prst="rect">
                      <a:avLst/>
                    </a:prstGeom>
                    <a:noFill/>
                    <a:ln w="9525">
                      <a:noFill/>
                    </a:ln>
                  </pic:spPr>
                </pic:pic>
              </a:graphicData>
            </a:graphic>
          </wp:inline>
        </w:drawing>
      </w:r>
    </w:p>
    <w:p>
      <w:pPr>
        <w:rPr>
          <w:bCs/>
        </w:rPr>
      </w:pPr>
      <w:r>
        <w:rPr>
          <w:bCs/>
        </w:rPr>
        <w:t>②</w:t>
      </w:r>
      <w:r>
        <w:rPr>
          <w:rFonts w:hint="eastAsia"/>
          <w:bCs/>
        </w:rPr>
        <w:t>修改姓名或居民身份证件号码。姓名和居民身份证件号码只能修改其中一项，如果同</w:t>
      </w:r>
      <w:r>
        <w:rPr>
          <w:bCs/>
        </w:rPr>
        <w:t>时修改，系统将会进行</w:t>
      </w:r>
      <w:r>
        <w:rPr>
          <w:rFonts w:hint="eastAsia"/>
          <w:bCs/>
        </w:rPr>
        <w:t>提</w:t>
      </w:r>
      <w:r>
        <w:rPr>
          <w:bCs/>
        </w:rPr>
        <w:t>示</w:t>
      </w:r>
      <w:r>
        <w:rPr>
          <w:rFonts w:hint="eastAsia"/>
          <w:bCs/>
        </w:rPr>
        <w:t>。</w:t>
      </w:r>
    </w:p>
    <w:p>
      <w:pPr>
        <w:rPr>
          <w:bCs/>
        </w:rPr>
      </w:pPr>
      <w:r>
        <w:drawing>
          <wp:inline distT="0" distB="0" distL="114300" distR="114300">
            <wp:extent cx="4542790" cy="1695450"/>
            <wp:effectExtent l="0" t="0" r="10160" b="0"/>
            <wp:docPr id="3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
                    <pic:cNvPicPr>
                      <a:picLocks noChangeAspect="1"/>
                    </pic:cNvPicPr>
                  </pic:nvPicPr>
                  <pic:blipFill>
                    <a:blip r:embed="rId33"/>
                    <a:stretch>
                      <a:fillRect/>
                    </a:stretch>
                  </pic:blipFill>
                  <pic:spPr>
                    <a:xfrm>
                      <a:off x="0" y="0"/>
                      <a:ext cx="4542790" cy="1695450"/>
                    </a:xfrm>
                    <a:prstGeom prst="rect">
                      <a:avLst/>
                    </a:prstGeom>
                    <a:noFill/>
                    <a:ln w="9525">
                      <a:noFill/>
                    </a:ln>
                  </pic:spPr>
                </pic:pic>
              </a:graphicData>
            </a:graphic>
          </wp:inline>
        </w:drawing>
      </w:r>
    </w:p>
    <w:p>
      <w:pPr>
        <w:rPr>
          <w:bCs/>
        </w:rPr>
      </w:pPr>
      <w:r>
        <w:rPr>
          <w:bCs/>
        </w:rPr>
        <w:t>③</w:t>
      </w:r>
      <w:r>
        <w:rPr>
          <w:rFonts w:hint="eastAsia"/>
          <w:bCs/>
        </w:rPr>
        <w:t>修</w:t>
      </w:r>
      <w:r>
        <w:rPr>
          <w:bCs/>
        </w:rPr>
        <w:t>改完毕，</w:t>
      </w:r>
      <w:r>
        <w:rPr>
          <w:rFonts w:hint="eastAsia"/>
          <w:bCs/>
        </w:rPr>
        <w:t>点</w:t>
      </w:r>
      <w:r>
        <w:rPr>
          <w:bCs/>
        </w:rPr>
        <w:t>击【</w:t>
      </w:r>
      <w:r>
        <w:rPr>
          <w:rFonts w:hint="eastAsia"/>
          <w:bCs/>
        </w:rPr>
        <w:t>保</w:t>
      </w:r>
      <w:r>
        <w:rPr>
          <w:bCs/>
        </w:rPr>
        <w:t>存】</w:t>
      </w:r>
      <w:r>
        <w:rPr>
          <w:rFonts w:hint="eastAsia"/>
          <w:bCs/>
        </w:rPr>
        <w:t>按</w:t>
      </w:r>
      <w:r>
        <w:rPr>
          <w:bCs/>
        </w:rPr>
        <w:t>钮，</w:t>
      </w:r>
      <w:r>
        <w:rPr>
          <w:rFonts w:hint="eastAsia"/>
          <w:bCs/>
        </w:rPr>
        <w:t>系统将对</w:t>
      </w:r>
      <w:r>
        <w:rPr>
          <w:bCs/>
        </w:rPr>
        <w:t>修改后的人员</w:t>
      </w:r>
      <w:r>
        <w:rPr>
          <w:rFonts w:hint="eastAsia"/>
          <w:bCs/>
        </w:rPr>
        <w:t>身</w:t>
      </w:r>
      <w:r>
        <w:rPr>
          <w:bCs/>
        </w:rPr>
        <w:t>份信息</w:t>
      </w:r>
      <w:r>
        <w:rPr>
          <w:rFonts w:hint="eastAsia"/>
          <w:bCs/>
        </w:rPr>
        <w:t>进</w:t>
      </w:r>
      <w:r>
        <w:rPr>
          <w:bCs/>
        </w:rPr>
        <w:t>行验证</w:t>
      </w:r>
      <w:r>
        <w:rPr>
          <w:rFonts w:hint="eastAsia"/>
          <w:bCs/>
        </w:rPr>
        <w:t>。</w:t>
      </w:r>
      <w:r>
        <w:rPr>
          <w:rFonts w:hint="eastAsia"/>
          <w:b/>
          <w:bCs/>
        </w:rPr>
        <w:t>若修改后的身</w:t>
      </w:r>
      <w:r>
        <w:rPr>
          <w:b/>
          <w:bCs/>
        </w:rPr>
        <w:t>份</w:t>
      </w:r>
      <w:r>
        <w:rPr>
          <w:rFonts w:hint="eastAsia"/>
          <w:b/>
          <w:bCs/>
        </w:rPr>
        <w:t>信息仍验证不通过，则会保</w:t>
      </w:r>
      <w:r>
        <w:rPr>
          <w:b/>
          <w:bCs/>
        </w:rPr>
        <w:t>存失败</w:t>
      </w:r>
      <w:r>
        <w:rPr>
          <w:rFonts w:hint="eastAsia"/>
          <w:bCs/>
        </w:rPr>
        <w:t>，</w:t>
      </w:r>
      <w:r>
        <w:rPr>
          <w:rFonts w:hint="eastAsia"/>
        </w:rPr>
        <w:t>返回当前修改界</w:t>
      </w:r>
      <w:r>
        <w:rPr>
          <w:rFonts w:hint="eastAsia"/>
          <w:bCs/>
        </w:rPr>
        <w:t>面。</w:t>
      </w:r>
    </w:p>
    <w:p>
      <w:pPr>
        <w:rPr>
          <w:bCs/>
        </w:rPr>
      </w:pPr>
      <w:r>
        <w:rPr>
          <w:bCs/>
        </w:rPr>
        <w:t>④</w:t>
      </w:r>
      <w:r>
        <w:rPr>
          <w:rFonts w:hint="eastAsia"/>
          <w:bCs/>
        </w:rPr>
        <w:t>验证通过后</w:t>
      </w:r>
      <w:r>
        <w:rPr>
          <w:bCs/>
        </w:rPr>
        <w:t>，会将修改后的信息正式保存到系统中。</w:t>
      </w:r>
    </w:p>
    <w:p>
      <w:pPr>
        <w:ind w:left="-430" w:leftChars="-205"/>
        <w:rPr>
          <w:rFonts w:ascii="楷体_GB2312" w:eastAsia="楷体_GB2312"/>
          <w:b/>
          <w:bCs/>
          <w:sz w:val="32"/>
          <w:szCs w:val="32"/>
        </w:rPr>
      </w:pPr>
      <w:bookmarkStart w:id="170" w:name="_Toc20367"/>
      <w:bookmarkStart w:id="171" w:name="_Toc5960"/>
      <w:bookmarkStart w:id="172" w:name="_Toc14175"/>
      <w:bookmarkStart w:id="173" w:name="_Toc11581"/>
      <w:bookmarkStart w:id="174" w:name="_Toc14197081"/>
      <w:bookmarkStart w:id="175" w:name="_Toc5361"/>
      <w:bookmarkStart w:id="176" w:name="_Toc16708"/>
      <w:bookmarkStart w:id="177" w:name="_Toc18306"/>
      <w:bookmarkStart w:id="178" w:name="_Toc9332"/>
      <w:bookmarkStart w:id="179" w:name="_Toc29180"/>
      <w:bookmarkStart w:id="180" w:name="_Toc19705043"/>
      <w:bookmarkStart w:id="181" w:name="_Toc3938"/>
      <w:bookmarkStart w:id="182" w:name="_Toc668"/>
      <w:bookmarkStart w:id="183" w:name="_Toc524372073"/>
      <w:bookmarkStart w:id="184" w:name="_Toc27928"/>
      <w:bookmarkStart w:id="185" w:name="_Toc15127562"/>
      <w:bookmarkStart w:id="186" w:name="_Toc25512"/>
      <w:bookmarkStart w:id="187" w:name="_Toc28903532"/>
      <w:r>
        <w:rPr>
          <w:rFonts w:ascii="楷体_GB2312" w:eastAsia="楷体_GB2312"/>
          <w:b/>
          <w:bCs/>
          <w:sz w:val="32"/>
          <w:szCs w:val="32"/>
        </w:rPr>
        <w:t>3</w:t>
      </w:r>
      <w:r>
        <w:rPr>
          <w:rFonts w:hint="eastAsia" w:ascii="楷体_GB2312" w:eastAsia="楷体_GB2312"/>
          <w:b/>
          <w:bCs/>
          <w:sz w:val="32"/>
          <w:szCs w:val="32"/>
        </w:rPr>
        <w:t>.4.人员信息查询</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
    <w:p>
      <w:pPr>
        <w:numPr>
          <w:ilvl w:val="0"/>
          <w:numId w:val="10"/>
        </w:numPr>
        <w:rPr>
          <w:b/>
          <w:bCs/>
        </w:rPr>
      </w:pPr>
      <w:r>
        <w:rPr>
          <w:rFonts w:hint="eastAsia"/>
          <w:b/>
          <w:bCs/>
        </w:rPr>
        <w:t>展开查询条件</w:t>
      </w:r>
    </w:p>
    <w:p>
      <w:r>
        <w:rPr>
          <w:rFonts w:hint="eastAsia"/>
        </w:rPr>
        <w:t>客户端的查询功能，是指人员众多的情况下，需要查找某个人员的具体信息时，点击【展开查询条件】来展开具体的查询条件，而后按钮名称变成【收折查询条件】。</w:t>
      </w:r>
    </w:p>
    <w:p>
      <w:r>
        <w:rPr>
          <w:rFonts w:hint="eastAsia"/>
        </w:rPr>
        <w:t>可通过工号、姓名、证照号码等信息，模糊查找相应的人员信息；也可根据身份验证状态、报送状态、是否残孤烈、任职受雇从业类型、更新时间进行筛选。</w:t>
      </w:r>
    </w:p>
    <w:p/>
    <w:p>
      <w:pPr>
        <w:numPr>
          <w:ilvl w:val="0"/>
          <w:numId w:val="10"/>
        </w:numPr>
        <w:rPr>
          <w:b/>
          <w:bCs/>
        </w:rPr>
      </w:pPr>
      <w:r>
        <w:rPr>
          <w:rFonts w:hint="eastAsia"/>
          <w:b/>
          <w:bCs/>
        </w:rPr>
        <w:t>导出</w:t>
      </w:r>
    </w:p>
    <w:p>
      <w:r>
        <w:rPr>
          <w:rFonts w:hint="eastAsia"/>
        </w:rPr>
        <w:t>点击【导出】，可选择【选中人员】或【全部人员】将人员信息导出到Excel</w:t>
      </w:r>
      <w:r>
        <w:t>表格</w:t>
      </w:r>
      <w:r>
        <w:rPr>
          <w:rFonts w:hint="eastAsia"/>
        </w:rPr>
        <w:t>中进行查看。</w:t>
      </w:r>
    </w:p>
    <w:p>
      <w:r>
        <w:drawing>
          <wp:inline distT="0" distB="0" distL="114300" distR="114300">
            <wp:extent cx="5278120" cy="2714625"/>
            <wp:effectExtent l="0" t="0" r="17780" b="952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34"/>
                    <a:stretch>
                      <a:fillRect/>
                    </a:stretch>
                  </pic:blipFill>
                  <pic:spPr>
                    <a:xfrm>
                      <a:off x="0" y="0"/>
                      <a:ext cx="5278120" cy="2714625"/>
                    </a:xfrm>
                    <a:prstGeom prst="rect">
                      <a:avLst/>
                    </a:prstGeom>
                    <a:noFill/>
                    <a:ln w="9525">
                      <a:noFill/>
                    </a:ln>
                  </pic:spPr>
                </pic:pic>
              </a:graphicData>
            </a:graphic>
          </wp:inline>
        </w:drawing>
      </w:r>
    </w:p>
    <w:p>
      <w:pPr>
        <w:numPr>
          <w:ilvl w:val="0"/>
          <w:numId w:val="10"/>
        </w:numPr>
        <w:rPr>
          <w:b/>
          <w:bCs/>
        </w:rPr>
      </w:pPr>
      <w:r>
        <w:rPr>
          <w:rFonts w:hint="eastAsia"/>
          <w:b/>
          <w:bCs/>
        </w:rPr>
        <w:t>更多操作</w:t>
      </w:r>
    </w:p>
    <w:p>
      <w:r>
        <w:rPr>
          <w:rFonts w:hint="eastAsia"/>
        </w:rPr>
        <w:t>更多操作包括删除、批量修改、自定义显示列、隐藏非正常人员、身份验证状态更新、特殊情形处理功能。</w:t>
      </w:r>
    </w:p>
    <w:p>
      <w:r>
        <w:drawing>
          <wp:inline distT="0" distB="0" distL="114300" distR="114300">
            <wp:extent cx="5268595" cy="2684780"/>
            <wp:effectExtent l="0" t="0" r="8255" b="127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35"/>
                    <a:stretch>
                      <a:fillRect/>
                    </a:stretch>
                  </pic:blipFill>
                  <pic:spPr>
                    <a:xfrm>
                      <a:off x="0" y="0"/>
                      <a:ext cx="5268595" cy="2684780"/>
                    </a:xfrm>
                    <a:prstGeom prst="rect">
                      <a:avLst/>
                    </a:prstGeom>
                    <a:noFill/>
                    <a:ln w="9525">
                      <a:noFill/>
                    </a:ln>
                  </pic:spPr>
                </pic:pic>
              </a:graphicData>
            </a:graphic>
          </wp:inline>
        </w:drawing>
      </w:r>
    </w:p>
    <w:p>
      <w:pPr>
        <w:numPr>
          <w:ilvl w:val="0"/>
          <w:numId w:val="11"/>
        </w:numPr>
        <w:ind w:firstLine="420" w:firstLineChars="200"/>
      </w:pPr>
      <w:r>
        <w:rPr>
          <w:rFonts w:hint="eastAsia"/>
        </w:rPr>
        <w:t>删除</w:t>
      </w:r>
    </w:p>
    <w:p>
      <w:r>
        <w:rPr>
          <w:rFonts w:hint="eastAsia"/>
        </w:rPr>
        <w:t>当选中单个人员信息，点击【删除】，可删除单个人员信息。</w:t>
      </w:r>
    </w:p>
    <w:p>
      <w:r>
        <w:rPr>
          <w:rFonts w:hint="eastAsia"/>
        </w:rPr>
        <w:t>当选中多个人员信息，点击【删除】，可批量删除人员信息。</w:t>
      </w:r>
    </w:p>
    <w:p>
      <w:pPr>
        <w:numPr>
          <w:ilvl w:val="0"/>
          <w:numId w:val="11"/>
        </w:numPr>
        <w:ind w:firstLine="420" w:firstLineChars="200"/>
      </w:pPr>
      <w:r>
        <w:rPr>
          <w:rFonts w:hint="eastAsia"/>
        </w:rPr>
        <w:t>批量修改</w:t>
      </w:r>
    </w:p>
    <w:p>
      <w:r>
        <w:rPr>
          <w:rFonts w:hint="eastAsia"/>
        </w:rPr>
        <w:t>当多个人员存在相同信息时，可以通过批量修改功能，一键来完成。主要包括：工号、人员状态、任职受雇从业日期、离职日期、学历、开户银行。</w:t>
      </w:r>
    </w:p>
    <w:p>
      <w:r>
        <w:drawing>
          <wp:inline distT="0" distB="0" distL="114300" distR="114300">
            <wp:extent cx="3669665" cy="1852930"/>
            <wp:effectExtent l="0" t="0" r="6985" b="13970"/>
            <wp:docPr id="4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pic:cNvPicPr>
                      <a:picLocks noChangeAspect="1"/>
                    </pic:cNvPicPr>
                  </pic:nvPicPr>
                  <pic:blipFill>
                    <a:blip r:embed="rId36"/>
                    <a:stretch>
                      <a:fillRect/>
                    </a:stretch>
                  </pic:blipFill>
                  <pic:spPr>
                    <a:xfrm>
                      <a:off x="0" y="0"/>
                      <a:ext cx="3669665" cy="1852930"/>
                    </a:xfrm>
                    <a:prstGeom prst="rect">
                      <a:avLst/>
                    </a:prstGeom>
                    <a:noFill/>
                    <a:ln w="9525">
                      <a:noFill/>
                    </a:ln>
                  </pic:spPr>
                </pic:pic>
              </a:graphicData>
            </a:graphic>
          </wp:inline>
        </w:drawing>
      </w:r>
    </w:p>
    <w:p>
      <w:pPr>
        <w:numPr>
          <w:ilvl w:val="0"/>
          <w:numId w:val="11"/>
        </w:numPr>
        <w:ind w:firstLine="420" w:firstLineChars="200"/>
      </w:pPr>
      <w:r>
        <w:rPr>
          <w:rFonts w:hint="eastAsia"/>
        </w:rPr>
        <w:t>自定义显示列</w:t>
      </w:r>
    </w:p>
    <w:p>
      <w:r>
        <w:rPr>
          <w:rFonts w:hint="eastAsia"/>
        </w:rPr>
        <w:t>人员信息采集列表中，可以自定义列表中展示的信息。如：无需显示人员状态，可以取消勾选。</w:t>
      </w:r>
    </w:p>
    <w:p>
      <w:r>
        <w:drawing>
          <wp:inline distT="0" distB="0" distL="114300" distR="114300">
            <wp:extent cx="3801745" cy="3877310"/>
            <wp:effectExtent l="9525" t="9525" r="17780" b="18415"/>
            <wp:docPr id="41" name="图片 21"/>
            <wp:cNvGraphicFramePr/>
            <a:graphic xmlns:a="http://schemas.openxmlformats.org/drawingml/2006/main">
              <a:graphicData uri="http://schemas.openxmlformats.org/drawingml/2006/picture">
                <pic:pic xmlns:pic="http://schemas.openxmlformats.org/drawingml/2006/picture">
                  <pic:nvPicPr>
                    <pic:cNvPr id="41" name="图片 21"/>
                    <pic:cNvPicPr/>
                  </pic:nvPicPr>
                  <pic:blipFill>
                    <a:blip r:embed="rId37"/>
                    <a:stretch>
                      <a:fillRect/>
                    </a:stretch>
                  </pic:blipFill>
                  <pic:spPr>
                    <a:xfrm>
                      <a:off x="0" y="0"/>
                      <a:ext cx="3801745" cy="3877310"/>
                    </a:xfrm>
                    <a:prstGeom prst="rect">
                      <a:avLst/>
                    </a:prstGeom>
                    <a:noFill/>
                    <a:ln w="9525" cap="flat" cmpd="sng">
                      <a:solidFill>
                        <a:srgbClr val="BFBFBF"/>
                      </a:solidFill>
                      <a:prstDash val="solid"/>
                      <a:miter/>
                      <a:headEnd type="none" w="med" len="med"/>
                      <a:tailEnd type="none" w="med" len="med"/>
                    </a:ln>
                  </pic:spPr>
                </pic:pic>
              </a:graphicData>
            </a:graphic>
          </wp:inline>
        </w:drawing>
      </w:r>
    </w:p>
    <w:p>
      <w:pPr>
        <w:numPr>
          <w:ilvl w:val="0"/>
          <w:numId w:val="11"/>
        </w:numPr>
        <w:ind w:firstLine="420" w:firstLineChars="200"/>
      </w:pPr>
      <w:r>
        <w:rPr>
          <w:rFonts w:hint="eastAsia"/>
        </w:rPr>
        <w:t>隐藏非正常人员</w:t>
      </w:r>
    </w:p>
    <w:p>
      <w:r>
        <w:rPr>
          <w:rFonts w:hint="eastAsia"/>
        </w:rPr>
        <w:t>采集界面上会显示人员状态为非正常的人员，在系统中不再对该人员进行业务操作时，可通过本功能隐藏非正常（已离职）人员。隐藏后，该按钮会变成【显示非正常人员】，点击后会重新显示非正常人员。</w:t>
      </w:r>
    </w:p>
    <w:p>
      <w:pPr>
        <w:numPr>
          <w:ilvl w:val="0"/>
          <w:numId w:val="11"/>
        </w:numPr>
        <w:ind w:firstLine="420" w:firstLineChars="200"/>
      </w:pPr>
      <w:r>
        <w:rPr>
          <w:rFonts w:hint="eastAsia"/>
        </w:rPr>
        <w:t>身份验证状态更新</w:t>
      </w:r>
    </w:p>
    <w:p>
      <w:r>
        <w:rPr>
          <w:rFonts w:hint="eastAsia"/>
        </w:rPr>
        <w:t>主要针对验证状态为“验证不通过”和“验证中”的人员更</w:t>
      </w:r>
      <w:r>
        <w:t>新</w:t>
      </w:r>
      <w:r>
        <w:rPr>
          <w:rFonts w:hint="eastAsia"/>
        </w:rPr>
        <w:t>状</w:t>
      </w:r>
      <w:r>
        <w:t>态</w:t>
      </w:r>
      <w:r>
        <w:rPr>
          <w:rFonts w:hint="eastAsia"/>
        </w:rPr>
        <w:t>，“验</w:t>
      </w:r>
      <w:r>
        <w:t>证不通过</w:t>
      </w:r>
      <w:r>
        <w:rPr>
          <w:rFonts w:hint="eastAsia"/>
        </w:rPr>
        <w:t>”</w:t>
      </w:r>
      <w:r>
        <w:t>的人员需要先</w:t>
      </w:r>
      <w:r>
        <w:rPr>
          <w:rFonts w:hint="eastAsia"/>
        </w:rPr>
        <w:t>选中再</w:t>
      </w:r>
      <w:r>
        <w:t>更新</w:t>
      </w:r>
      <w:r>
        <w:rPr>
          <w:rFonts w:hint="eastAsia"/>
        </w:rPr>
        <w:t>。</w:t>
      </w:r>
    </w:p>
    <w:p>
      <w:pPr>
        <w:numPr>
          <w:ilvl w:val="0"/>
          <w:numId w:val="11"/>
        </w:numPr>
        <w:ind w:firstLine="420" w:firstLineChars="200"/>
      </w:pPr>
      <w:r>
        <w:rPr>
          <w:rFonts w:hint="eastAsia"/>
        </w:rPr>
        <w:t>特殊情形处理</w:t>
      </w:r>
    </w:p>
    <w:p>
      <w:pPr>
        <w:numPr>
          <w:ilvl w:val="0"/>
          <w:numId w:val="12"/>
        </w:numPr>
        <w:rPr>
          <w:b/>
        </w:rPr>
      </w:pPr>
      <w:r>
        <w:rPr>
          <w:rFonts w:hint="eastAsia"/>
          <w:b/>
        </w:rPr>
        <w:t>人员添加</w:t>
      </w:r>
    </w:p>
    <w:p>
      <w:r>
        <w:rPr>
          <w:rFonts w:hint="eastAsia"/>
        </w:rPr>
        <w:t>人员添加功能主要是添加居民身份证不符合公安系统一般赋码规则的人员，或是提供其他无法通过客户端正常采集的证件的人员，添加前，请确保该人员已在税务机关做过自然人信息特殊采集。</w:t>
      </w:r>
    </w:p>
    <w:p>
      <w:r>
        <w:drawing>
          <wp:inline distT="0" distB="0" distL="114300" distR="114300">
            <wp:extent cx="5277485" cy="3742690"/>
            <wp:effectExtent l="0" t="0" r="18415" b="10160"/>
            <wp:docPr id="4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pic:cNvPicPr>
                      <a:picLocks noChangeAspect="1"/>
                    </pic:cNvPicPr>
                  </pic:nvPicPr>
                  <pic:blipFill>
                    <a:blip r:embed="rId38"/>
                    <a:stretch>
                      <a:fillRect/>
                    </a:stretch>
                  </pic:blipFill>
                  <pic:spPr>
                    <a:xfrm>
                      <a:off x="0" y="0"/>
                      <a:ext cx="5277485" cy="3742690"/>
                    </a:xfrm>
                    <a:prstGeom prst="rect">
                      <a:avLst/>
                    </a:prstGeom>
                    <a:noFill/>
                    <a:ln w="9525">
                      <a:noFill/>
                    </a:ln>
                  </pic:spPr>
                </pic:pic>
              </a:graphicData>
            </a:graphic>
          </wp:inline>
        </w:drawing>
      </w:r>
    </w:p>
    <w:p>
      <w:pPr>
        <w:numPr>
          <w:ilvl w:val="0"/>
          <w:numId w:val="12"/>
        </w:numPr>
        <w:rPr>
          <w:b/>
        </w:rPr>
      </w:pPr>
      <w:r>
        <w:rPr>
          <w:b/>
        </w:rPr>
        <w:t>信息</w:t>
      </w:r>
      <w:r>
        <w:rPr>
          <w:rFonts w:hint="eastAsia"/>
          <w:b/>
        </w:rPr>
        <w:t>更新</w:t>
      </w:r>
    </w:p>
    <w:p>
      <w:r>
        <w:rPr>
          <w:rFonts w:hint="eastAsia"/>
        </w:rPr>
        <w:t>主要对符合以下条件的人员信息进行更新：</w:t>
      </w:r>
    </w:p>
    <w:p>
      <w:pPr>
        <w:numPr>
          <w:ilvl w:val="0"/>
          <w:numId w:val="13"/>
        </w:numPr>
      </w:pPr>
      <w:r>
        <w:rPr>
          <w:rFonts w:hint="eastAsia"/>
        </w:rPr>
        <w:t>在税务局端变更过人员姓名，但在扣缴客户端无法修改姓名的境内人员，</w:t>
      </w:r>
    </w:p>
    <w:p>
      <w:pPr>
        <w:numPr>
          <w:ilvl w:val="0"/>
          <w:numId w:val="13"/>
        </w:numPr>
      </w:pPr>
      <w:r>
        <w:t>在税务局端变更过证照号码</w:t>
      </w:r>
      <w:r>
        <w:rPr>
          <w:rFonts w:hint="eastAsia"/>
        </w:rPr>
        <w:t>，</w:t>
      </w:r>
      <w:r>
        <w:t>但在</w:t>
      </w:r>
      <w:r>
        <w:rPr>
          <w:rFonts w:hint="eastAsia"/>
        </w:rPr>
        <w:t>扣缴</w:t>
      </w:r>
      <w:r>
        <w:t>客户端无法修改证照号码的境外人员</w:t>
      </w:r>
      <w:r>
        <w:rPr>
          <w:rFonts w:hint="eastAsia"/>
        </w:rPr>
        <w:t>。</w:t>
      </w:r>
    </w:p>
    <w:p>
      <w:r>
        <w:drawing>
          <wp:inline distT="0" distB="0" distL="114300" distR="114300">
            <wp:extent cx="5276215" cy="3159125"/>
            <wp:effectExtent l="0" t="0" r="635" b="3175"/>
            <wp:docPr id="20"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pic:cNvPicPr>
                      <a:picLocks noChangeAspect="1"/>
                    </pic:cNvPicPr>
                  </pic:nvPicPr>
                  <pic:blipFill>
                    <a:blip r:embed="rId39"/>
                    <a:stretch>
                      <a:fillRect/>
                    </a:stretch>
                  </pic:blipFill>
                  <pic:spPr>
                    <a:xfrm>
                      <a:off x="0" y="0"/>
                      <a:ext cx="5276215" cy="3159125"/>
                    </a:xfrm>
                    <a:prstGeom prst="rect">
                      <a:avLst/>
                    </a:prstGeom>
                    <a:noFill/>
                    <a:ln w="9525">
                      <a:noFill/>
                    </a:ln>
                  </pic:spPr>
                </pic:pic>
              </a:graphicData>
            </a:graphic>
          </wp:inline>
        </w:drawing>
      </w:r>
    </w:p>
    <w:p>
      <w:pPr>
        <w:numPr>
          <w:ilvl w:val="0"/>
          <w:numId w:val="12"/>
        </w:numPr>
        <w:rPr>
          <w:b/>
        </w:rPr>
      </w:pPr>
      <w:r>
        <w:rPr>
          <w:rFonts w:hint="eastAsia"/>
          <w:b/>
        </w:rPr>
        <w:t>人</w:t>
      </w:r>
      <w:r>
        <w:rPr>
          <w:b/>
        </w:rPr>
        <w:t>员并档</w:t>
      </w:r>
    </w:p>
    <w:p>
      <w:r>
        <w:rPr>
          <w:rFonts w:hint="eastAsia"/>
        </w:rPr>
        <w:t>人</w:t>
      </w:r>
      <w:r>
        <w:t>员并档</w:t>
      </w:r>
      <w:r>
        <w:rPr>
          <w:rFonts w:hint="eastAsia"/>
        </w:rPr>
        <w:t>功能主要是针对</w:t>
      </w:r>
      <w:r>
        <w:t>使用不同信息</w:t>
      </w:r>
      <w:r>
        <w:rPr>
          <w:rFonts w:hint="eastAsia"/>
        </w:rPr>
        <w:t>（如不</w:t>
      </w:r>
      <w:r>
        <w:t>同姓名、不同证件等）</w:t>
      </w:r>
      <w:r>
        <w:rPr>
          <w:rFonts w:hint="eastAsia"/>
        </w:rPr>
        <w:t>，</w:t>
      </w:r>
      <w:r>
        <w:t>在</w:t>
      </w:r>
      <w:r>
        <w:rPr>
          <w:rFonts w:hint="eastAsia"/>
        </w:rPr>
        <w:t>税务机关进</w:t>
      </w:r>
      <w:r>
        <w:t>行多次登记时，</w:t>
      </w:r>
      <w:r>
        <w:rPr>
          <w:rFonts w:hint="eastAsia"/>
        </w:rPr>
        <w:t>从而造成扣缴客户端上同一扣缴义务人对同一自然人的综合所得预扣预缴申报数据不能累计算税的场景。这</w:t>
      </w:r>
      <w:r>
        <w:t>种</w:t>
      </w:r>
      <w:r>
        <w:rPr>
          <w:rFonts w:hint="eastAsia"/>
        </w:rPr>
        <w:t>场景，</w:t>
      </w:r>
      <w:r>
        <w:t>只要该人员</w:t>
      </w:r>
      <w:r>
        <w:rPr>
          <w:rFonts w:hint="eastAsia"/>
        </w:rPr>
        <w:t>前往办</w:t>
      </w:r>
      <w:r>
        <w:t>税大厅</w:t>
      </w:r>
      <w:r>
        <w:rPr>
          <w:rFonts w:hint="eastAsia"/>
        </w:rPr>
        <w:t>进</w:t>
      </w:r>
      <w:r>
        <w:t>行人员并</w:t>
      </w:r>
      <w:r>
        <w:rPr>
          <w:rFonts w:hint="eastAsia"/>
        </w:rPr>
        <w:t>档</w:t>
      </w:r>
      <w:r>
        <w:t>后，通过该</w:t>
      </w:r>
      <w:r>
        <w:rPr>
          <w:rFonts w:hint="eastAsia"/>
        </w:rPr>
        <w:t>功</w:t>
      </w:r>
      <w:r>
        <w:t>能，</w:t>
      </w:r>
      <w:r>
        <w:rPr>
          <w:rFonts w:hint="eastAsia"/>
        </w:rPr>
        <w:t>即</w:t>
      </w:r>
      <w:r>
        <w:t>可获取并档信息，保证</w:t>
      </w:r>
      <w:r>
        <w:rPr>
          <w:rFonts w:hint="eastAsia"/>
        </w:rPr>
        <w:t>正</w:t>
      </w:r>
      <w:r>
        <w:t>常的累计算税。</w:t>
      </w:r>
      <w:r>
        <w:drawing>
          <wp:inline distT="0" distB="0" distL="114300" distR="114300">
            <wp:extent cx="5277485" cy="3196590"/>
            <wp:effectExtent l="0" t="0" r="18415" b="381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40"/>
                    <a:stretch>
                      <a:fillRect/>
                    </a:stretch>
                  </pic:blipFill>
                  <pic:spPr>
                    <a:xfrm>
                      <a:off x="0" y="0"/>
                      <a:ext cx="5277485" cy="3196590"/>
                    </a:xfrm>
                    <a:prstGeom prst="rect">
                      <a:avLst/>
                    </a:prstGeom>
                    <a:noFill/>
                    <a:ln w="9525">
                      <a:noFill/>
                    </a:ln>
                  </pic:spPr>
                </pic:pic>
              </a:graphicData>
            </a:graphic>
          </wp:inline>
        </w:drawing>
      </w:r>
    </w:p>
    <w:p>
      <w:pPr>
        <w:ind w:left="-430" w:leftChars="-205"/>
        <w:rPr>
          <w:rFonts w:ascii="黑体" w:hAnsi="黑体" w:eastAsia="黑体"/>
          <w:b/>
          <w:bCs/>
          <w:sz w:val="32"/>
          <w:szCs w:val="32"/>
        </w:rPr>
      </w:pPr>
      <w:bookmarkStart w:id="188" w:name="_Toc28903533"/>
      <w:r>
        <w:rPr>
          <w:rFonts w:ascii="黑体" w:hAnsi="黑体" w:eastAsia="黑体"/>
          <w:b/>
          <w:bCs/>
          <w:sz w:val="32"/>
          <w:szCs w:val="32"/>
        </w:rPr>
        <w:t>4</w:t>
      </w:r>
      <w:r>
        <w:rPr>
          <w:rFonts w:hint="eastAsia" w:ascii="黑体" w:hAnsi="黑体" w:eastAsia="黑体"/>
          <w:b/>
          <w:bCs/>
          <w:sz w:val="32"/>
          <w:szCs w:val="32"/>
        </w:rPr>
        <w:t>、客户端—经营所得申报</w:t>
      </w:r>
      <w:bookmarkEnd w:id="188"/>
    </w:p>
    <w:p/>
    <w:p>
      <w:pPr>
        <w:ind w:firstLine="420" w:firstLineChars="200"/>
      </w:pPr>
      <w:r>
        <w:rPr>
          <w:rFonts w:hint="eastAsia"/>
        </w:rPr>
        <w:t>当单位类型是个体工商户、个人独资企业、合伙企业这三种类型之一时，进入系统后上方会显示生产经营申报通道，点击【生产经营】，则进入“生产经营”申报模块，可进行经营所得月（季）度申报、缴款等操作。</w:t>
      </w:r>
    </w:p>
    <w:p>
      <w:r>
        <w:rPr>
          <w:rFonts w:hint="eastAsia"/>
        </w:rPr>
        <w:drawing>
          <wp:inline distT="0" distB="0" distL="114300" distR="114300">
            <wp:extent cx="5261610" cy="2705735"/>
            <wp:effectExtent l="0" t="0" r="15240" b="18415"/>
            <wp:docPr id="44" name="图片 1" descr="图片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descr="图片32"/>
                    <pic:cNvPicPr>
                      <a:picLocks noChangeAspect="1"/>
                    </pic:cNvPicPr>
                  </pic:nvPicPr>
                  <pic:blipFill>
                    <a:blip r:embed="rId41"/>
                    <a:stretch>
                      <a:fillRect/>
                    </a:stretch>
                  </pic:blipFill>
                  <pic:spPr>
                    <a:xfrm>
                      <a:off x="0" y="0"/>
                      <a:ext cx="5261610" cy="2705735"/>
                    </a:xfrm>
                    <a:prstGeom prst="rect">
                      <a:avLst/>
                    </a:prstGeom>
                    <a:noFill/>
                    <a:ln w="9525">
                      <a:noFill/>
                    </a:ln>
                  </pic:spPr>
                </pic:pic>
              </a:graphicData>
            </a:graphic>
          </wp:inline>
        </w:drawing>
      </w:r>
    </w:p>
    <w:p>
      <w:pPr>
        <w:ind w:left="-430" w:leftChars="-205" w:firstLine="643" w:firstLineChars="200"/>
        <w:rPr>
          <w:rFonts w:ascii="楷体_GB2312" w:eastAsia="楷体_GB2312"/>
          <w:b/>
          <w:bCs/>
          <w:sz w:val="32"/>
          <w:szCs w:val="32"/>
        </w:rPr>
      </w:pPr>
      <w:bookmarkStart w:id="189" w:name="_Toc340"/>
      <w:bookmarkStart w:id="190" w:name="_Toc28767"/>
      <w:bookmarkStart w:id="191" w:name="_Toc15127587"/>
      <w:bookmarkStart w:id="192" w:name="_Toc23174"/>
      <w:bookmarkStart w:id="193" w:name="_Toc16518"/>
      <w:bookmarkStart w:id="194" w:name="_Toc19705068"/>
      <w:bookmarkStart w:id="195" w:name="_Toc13253"/>
      <w:bookmarkStart w:id="196" w:name="_Toc30814"/>
      <w:bookmarkStart w:id="197" w:name="_Toc11555"/>
      <w:bookmarkStart w:id="198" w:name="_Toc14197106"/>
      <w:bookmarkStart w:id="199" w:name="_Toc26903"/>
      <w:bookmarkStart w:id="200" w:name="_Toc8997"/>
      <w:bookmarkStart w:id="201" w:name="_Toc20796"/>
      <w:bookmarkStart w:id="202" w:name="_Toc28903534"/>
      <w:r>
        <w:rPr>
          <w:rFonts w:hint="eastAsia" w:ascii="楷体_GB2312" w:eastAsia="楷体_GB2312"/>
          <w:b/>
          <w:bCs/>
          <w:sz w:val="32"/>
          <w:szCs w:val="32"/>
        </w:rPr>
        <w:t>4.1.经营所得个人所得税月（季）度申报</w:t>
      </w:r>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pPr>
        <w:ind w:firstLine="420" w:firstLineChars="200"/>
      </w:pPr>
      <w:r>
        <w:rPr>
          <w:rFonts w:hint="eastAsia"/>
        </w:rPr>
        <w:t>个人所得税法第十二条规定：纳税人取得经营所得，按年计算个人所得税，由纳税人在月度或者季度终了后十五日内向税务机关报送纳税申报表，并预缴税款；在取得所得的次年三月三十一日前办理汇算清缴。</w:t>
      </w:r>
    </w:p>
    <w:p>
      <w:r>
        <w:rPr>
          <w:rFonts w:hint="eastAsia"/>
        </w:rPr>
        <w:t>扣缴客户端中经营所得预缴纳税申报适用于个体工商户业主、个人独资企业投资者和合伙企业自然人合伙人预缴纳税申报。</w:t>
      </w:r>
    </w:p>
    <w:p>
      <w:pPr>
        <w:rPr>
          <w:b/>
          <w:bCs/>
        </w:rPr>
      </w:pPr>
      <w:r>
        <w:rPr>
          <w:rFonts w:hint="eastAsia"/>
          <w:b/>
          <w:bCs/>
        </w:rPr>
        <w:t>填写说明</w:t>
      </w:r>
    </w:p>
    <w:p>
      <w:pPr>
        <w:ind w:firstLine="420" w:firstLineChars="200"/>
      </w:pPr>
      <w:r>
        <w:rPr>
          <w:rFonts w:hint="eastAsia"/>
        </w:rPr>
        <w:t>系统自动获取企业核定信息，包含企业类型、征收方式、投资者信息。也可点击【单位信息】→【征收方式】/【投资者信息】→【更新】，手动下载获取企业最新核定信息。</w:t>
      </w:r>
    </w:p>
    <w:p>
      <w:r>
        <w:rPr>
          <w:rFonts w:hint="eastAsia"/>
        </w:rPr>
        <w:drawing>
          <wp:inline distT="0" distB="0" distL="114300" distR="114300">
            <wp:extent cx="5261610" cy="2713355"/>
            <wp:effectExtent l="0" t="0" r="15240" b="10795"/>
            <wp:docPr id="45" name="图片 45" descr="图片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图片33"/>
                    <pic:cNvPicPr>
                      <a:picLocks noChangeAspect="1"/>
                    </pic:cNvPicPr>
                  </pic:nvPicPr>
                  <pic:blipFill>
                    <a:blip r:embed="rId42"/>
                    <a:stretch>
                      <a:fillRect/>
                    </a:stretch>
                  </pic:blipFill>
                  <pic:spPr>
                    <a:xfrm>
                      <a:off x="0" y="0"/>
                      <a:ext cx="5261610" cy="2713355"/>
                    </a:xfrm>
                    <a:prstGeom prst="rect">
                      <a:avLst/>
                    </a:prstGeom>
                    <a:noFill/>
                    <a:ln w="9525">
                      <a:noFill/>
                    </a:ln>
                  </pic:spPr>
                </pic:pic>
              </a:graphicData>
            </a:graphic>
          </wp:inline>
        </w:drawing>
      </w:r>
    </w:p>
    <w:p>
      <w:pPr>
        <w:ind w:firstLine="420" w:firstLineChars="200"/>
      </w:pPr>
      <w:r>
        <w:rPr>
          <w:rFonts w:hint="eastAsia"/>
        </w:rPr>
        <w:t>投资者需要在【代扣代缴】子系统的【人员信息采集】菜单下，有采集并报送成功过，否则进行【更新】后，系统将会自动提示。</w:t>
      </w:r>
    </w:p>
    <w:p>
      <w:r>
        <w:drawing>
          <wp:inline distT="0" distB="0" distL="114300" distR="114300">
            <wp:extent cx="5285740" cy="2828290"/>
            <wp:effectExtent l="9525" t="9525" r="19685" b="19685"/>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43"/>
                    <a:stretch>
                      <a:fillRect/>
                    </a:stretch>
                  </pic:blipFill>
                  <pic:spPr>
                    <a:xfrm>
                      <a:off x="0" y="0"/>
                      <a:ext cx="5285740" cy="2828290"/>
                    </a:xfrm>
                    <a:prstGeom prst="rect">
                      <a:avLst/>
                    </a:prstGeom>
                    <a:noFill/>
                    <a:ln w="9525" cap="flat" cmpd="sng">
                      <a:solidFill>
                        <a:srgbClr val="BFBFBF"/>
                      </a:solidFill>
                      <a:prstDash val="solid"/>
                      <a:miter/>
                      <a:headEnd type="none" w="med" len="med"/>
                      <a:tailEnd type="none" w="med" len="med"/>
                    </a:ln>
                  </pic:spPr>
                </pic:pic>
              </a:graphicData>
            </a:graphic>
          </wp:inline>
        </w:drawing>
      </w:r>
    </w:p>
    <w:p>
      <w:pPr>
        <w:ind w:firstLine="420" w:firstLineChars="200"/>
      </w:pPr>
      <w:r>
        <w:rPr>
          <w:rFonts w:hint="eastAsia"/>
        </w:rPr>
        <w:t>请使用与提示信息中相同的姓名、证件类型和证件号码从【人员信息采集】菜单进行登记，如无法登记，则需前往办税服务厅通过【变更税务登记】更新投资者信息后，在客户端中重试。</w:t>
      </w:r>
    </w:p>
    <w:p>
      <w:pPr>
        <w:ind w:firstLine="420" w:firstLineChars="200"/>
      </w:pPr>
      <w:r>
        <w:rPr>
          <w:rFonts w:hint="eastAsia"/>
        </w:rPr>
        <w:t>人员信息采集报送成功后，进入生产经营模块，点击【预缴纳税申报】进入申报表填写主界面。若该税款所属期已填写并保存了申报数据，打开界面后则自动带出之前已填写数据；若该税款所属期已有申报成功或待反馈的明细记录，则收入总额、成本费用、弥补以前年度亏损、征收方式，以及动态显示的“应纳税所得额”和“应税所得率”不允许修改，保存按钮置灰。</w:t>
      </w:r>
    </w:p>
    <w:p>
      <w:r>
        <w:rPr>
          <w:rFonts w:hint="eastAsia"/>
        </w:rPr>
        <w:drawing>
          <wp:inline distT="0" distB="0" distL="114300" distR="114300">
            <wp:extent cx="5261610" cy="2705735"/>
            <wp:effectExtent l="0" t="0" r="15240" b="18415"/>
            <wp:docPr id="47" name="图片 4" descr="图片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descr="图片34"/>
                    <pic:cNvPicPr>
                      <a:picLocks noChangeAspect="1"/>
                    </pic:cNvPicPr>
                  </pic:nvPicPr>
                  <pic:blipFill>
                    <a:blip r:embed="rId44"/>
                    <a:stretch>
                      <a:fillRect/>
                    </a:stretch>
                  </pic:blipFill>
                  <pic:spPr>
                    <a:xfrm>
                      <a:off x="0" y="0"/>
                      <a:ext cx="5261610" cy="2705735"/>
                    </a:xfrm>
                    <a:prstGeom prst="rect">
                      <a:avLst/>
                    </a:prstGeom>
                    <a:noFill/>
                    <a:ln w="9525">
                      <a:noFill/>
                    </a:ln>
                  </pic:spPr>
                </pic:pic>
              </a:graphicData>
            </a:graphic>
          </wp:inline>
        </w:drawing>
      </w:r>
    </w:p>
    <w:p>
      <w:r>
        <w:rPr>
          <w:rFonts w:hint="eastAsia"/>
        </w:rPr>
        <w:t>填写《个人所得税经营所得纳税申报表（A表）》，主要根据“征收方式”的不同，按不同的规则填写申报表。</w:t>
      </w:r>
    </w:p>
    <w:p>
      <w:r>
        <w:rPr>
          <w:rFonts w:hint="eastAsia"/>
        </w:rPr>
        <w:t>【税款所属期】：税款所属期起：如果当前时间为1月，则默认为去年1月1日与企业登记年月的1日孰大值；当前时间不为1月，则默认为当前系统年度1月1日与企业登记年月的1日孰大值。税款所属期止：默认为系统当前时间的上一月份的最后一日。</w:t>
      </w:r>
    </w:p>
    <w:p>
      <w:r>
        <w:rPr>
          <w:rFonts w:hint="eastAsia"/>
        </w:rPr>
        <w:t>【企业类型】：从“单位信息”中带出，若显示不正确，可重新至“单位信息”中更新获取最新信息。</w:t>
      </w:r>
    </w:p>
    <w:p>
      <w:r>
        <w:rPr>
          <w:rFonts w:hint="eastAsia"/>
        </w:rPr>
        <w:t>【征收方式】：根据下载的单位信息中征收方式自动带出。包括：查账征收（（据实预缴）、（按上年应纳税所得额预缴））；核定应税所得率征收（（能准确核算收入总额的）、（能准确核算成本费用的））；核定应纳税所得额征收；税务机关认可的其他方式（（所得率）、（征收率））。</w:t>
      </w:r>
    </w:p>
    <w:p>
      <w:r>
        <w:rPr>
          <w:rFonts w:hint="eastAsia"/>
        </w:rPr>
        <w:t>【收入总额】：填写被投资单位本年度开始经营月份起截至本期从事经营以及与经营有关的活动取得的货币形式和非货币形式的各项收入总金额。征收方式为查账征收（据实预缴）、核定征收（能准确核算收入总额的）、税务机关认可的其他方式（（所得率）、（征收率））可填写。</w:t>
      </w:r>
    </w:p>
    <w:p>
      <w:r>
        <w:rPr>
          <w:rFonts w:hint="eastAsia"/>
        </w:rPr>
        <w:t>【成本费用】：填写被投资单位本年度开始经营月份起截至本期实际发生的成本、费用、税金、损失及其他支出的总额。征收方式为查账征收（据实预缴）、核定征收（能准确核算成本费用的）可填写。</w:t>
      </w:r>
    </w:p>
    <w:p>
      <w:r>
        <w:rPr>
          <w:rFonts w:hint="eastAsia"/>
        </w:rPr>
        <w:t>【利润总额】：当收入总额和成本费用可录时，利润总额=收入总额-成本费用，不可修改。征收方式为能准确核算成本费用的，利润总额置灰，不可修改。</w:t>
      </w:r>
    </w:p>
    <w:p>
      <w:r>
        <w:rPr>
          <w:rFonts w:hint="eastAsia"/>
        </w:rPr>
        <w:t>【弥补以前年度亏损】：填写企业可在税前弥补的以前年度尚未弥补的亏损额。仅征收方式为查账征收（据实预缴）时，弥补以前年度亏损可填写。</w:t>
      </w:r>
    </w:p>
    <w:p>
      <w:r>
        <w:rPr>
          <w:rFonts w:hint="eastAsia"/>
        </w:rPr>
        <w:t>【被投资单位经营所得】：征收方式为据实预缴时，被投资单位经营所得＝利润总额－弥补以前年度亏损，无特殊说明，不可改；征收方式为核定应税所得率征收（能准确核算收入总额的）及税务机关认可的其他方式（所得率）时，被投资单位经营所得＝收入总额×应税所得率（或所得率）；征收方式为能准确核算成本费用的，被投资单位经营所得＝成本费用总额 /（1－应税所得率），不可改。</w:t>
      </w:r>
    </w:p>
    <w:p>
      <w:r>
        <w:rPr>
          <w:rFonts w:hint="eastAsia"/>
        </w:rPr>
        <w:t>【应税所得率】：征收方式为查账征收时，“应税所得率”不显示；征收方式为核定应税所得率征收（能准确核算收入总额的）、（能准确核算成本费用的）时由核定信息中获取，不允许修改，直接显示税务机关核定的数据。征收方式为税务机关认可的其他方式（所得率）时，“应税所得率”数据项显示为“所得率”。税务机关认可的其他方式（征收率）时，“应税所得率”显示为“征收率”。</w:t>
      </w:r>
    </w:p>
    <w:p>
      <w:r>
        <w:rPr>
          <w:rFonts w:hint="eastAsia"/>
        </w:rPr>
        <w:t>【分配比例】：个人独资企业、个体工商户默认分配比例为100%，不可修改；合伙企业，根据投资者信息带出分配比例，可修改，但合计不能超过100%。</w:t>
      </w:r>
    </w:p>
    <w:p>
      <w:r>
        <w:rPr>
          <w:rFonts w:hint="eastAsia"/>
        </w:rPr>
        <w:t>【投资者减除费用】：征收方式为查账征收（据实预缴）、税务机关认可的其他方式（所得率）时，默认为（税款所属期止月份－税款所属期起月份+1）×月度减除标准（默认是5000，西藏支持差异化配置）；其他征收方式时默认为0，不可修改。</w:t>
      </w:r>
    </w:p>
    <w:p>
      <w:r>
        <w:rPr>
          <w:rFonts w:hint="eastAsia"/>
        </w:rPr>
        <w:t>【基本养老保险】、【基本医疗保险】、【失业保险】、【住房公积金】：查账征收（据实预缴）时，默认为0，可录入；其他征收方式不可录入。</w:t>
      </w:r>
    </w:p>
    <w:p>
      <w:r>
        <w:rPr>
          <w:rFonts w:hint="eastAsia"/>
        </w:rPr>
        <w:t>【商业健康险】：填写按税法规定允许税前扣除的商业健康保险支出金额，扣除限额2400元/年。实行核定应税所得率征收（（能准确核算收入总额的）、（能准确核算成本费用的））、按税务机关认可的其他方式（所得率）的纳税人，在税款所属期止为12月时可录，否则不可录；其他征收方式的不可录。企业注销时（状态为清算状态）也可减商业健康险。</w:t>
      </w:r>
    </w:p>
    <w:p>
      <w:r>
        <w:rPr>
          <w:rFonts w:hint="eastAsia"/>
        </w:rPr>
        <w:t>【税延养老险】：填写按税法规定允许税前扣除的税延商业养老保险支出金额，扣除限额为年度收入总额×分配比例的6%与12000元之间的孰小值。非试点地区不可录，试点地区实行核定应税所得率征收（（能准确核算收入总额的）、（能准确核算成本费用的））、按税务机关认可的其他方式（所得率）的纳税人，在税款所属期止为12月时可录，否则不可录；其他征收方式的不可录。企业注销时（状态为清算状态）也可减税延养老险。</w:t>
      </w:r>
    </w:p>
    <w:p>
      <w:r>
        <w:rPr>
          <w:rFonts w:hint="eastAsia"/>
        </w:rPr>
        <w:t>【其他扣除】：查账征收（据实预缴）时，默认为0，可录入；其他征收方式不可录入。</w:t>
      </w:r>
    </w:p>
    <w:p>
      <w:r>
        <w:rPr>
          <w:rFonts w:hint="eastAsia"/>
        </w:rPr>
        <w:t>【应纳税所得额】：由计算公式计算而得，不可修改。</w:t>
      </w:r>
    </w:p>
    <w:p>
      <w:r>
        <w:rPr>
          <w:rFonts w:hint="eastAsia"/>
        </w:rPr>
        <w:t>【税率】：经营所得是5级超额累进税率，按应纳税所得额确定税率，不可修改。</w:t>
      </w:r>
    </w:p>
    <w:p>
      <w:r>
        <w:rPr>
          <w:rFonts w:hint="eastAsia"/>
        </w:rPr>
        <w:t>【速算扣除数】：按照税率对应速算扣除数默认带出，不可修改。</w:t>
      </w:r>
    </w:p>
    <w:p>
      <w:r>
        <w:rPr>
          <w:rFonts w:hint="eastAsia"/>
        </w:rPr>
        <w:t>【应纳税额】：应纳税额＝应纳税所得额×税率－速算扣除数，不可修改。</w:t>
      </w:r>
    </w:p>
    <w:p>
      <w:r>
        <w:rPr>
          <w:rFonts w:hint="eastAsia"/>
        </w:rPr>
        <w:t>【减免税额】：可填写，减免税额≤应纳税额。</w:t>
      </w:r>
    </w:p>
    <w:p>
      <w:r>
        <w:rPr>
          <w:rFonts w:hint="eastAsia"/>
        </w:rPr>
        <w:t>【已预缴税额】：自动带出，不可修改。</w:t>
      </w:r>
    </w:p>
    <w:p>
      <w:r>
        <w:rPr>
          <w:rFonts w:hint="eastAsia"/>
        </w:rPr>
        <w:t>【应补（退）税额】：由计算公式计算而得，不可修改。</w:t>
      </w:r>
    </w:p>
    <w:p>
      <w:r>
        <w:rPr>
          <w:rFonts w:hint="eastAsia"/>
        </w:rPr>
        <w:drawing>
          <wp:inline distT="0" distB="0" distL="114300" distR="114300">
            <wp:extent cx="5261610" cy="2701925"/>
            <wp:effectExtent l="0" t="0" r="15240" b="3175"/>
            <wp:docPr id="48" name="图片 5" descr="图片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descr="图片35"/>
                    <pic:cNvPicPr>
                      <a:picLocks noChangeAspect="1"/>
                    </pic:cNvPicPr>
                  </pic:nvPicPr>
                  <pic:blipFill>
                    <a:blip r:embed="rId45"/>
                    <a:stretch>
                      <a:fillRect/>
                    </a:stretch>
                  </pic:blipFill>
                  <pic:spPr>
                    <a:xfrm>
                      <a:off x="0" y="0"/>
                      <a:ext cx="5261610" cy="2701925"/>
                    </a:xfrm>
                    <a:prstGeom prst="rect">
                      <a:avLst/>
                    </a:prstGeom>
                    <a:noFill/>
                    <a:ln w="9525">
                      <a:noFill/>
                    </a:ln>
                  </pic:spPr>
                </pic:pic>
              </a:graphicData>
            </a:graphic>
          </wp:inline>
        </w:drawing>
      </w:r>
    </w:p>
    <w:p>
      <w:pPr>
        <w:ind w:firstLine="420" w:firstLineChars="200"/>
      </w:pPr>
      <w:r>
        <w:rPr>
          <w:rFonts w:hint="eastAsia"/>
        </w:rPr>
        <w:t>申报表填写无误后点击【保存】，系统校验“投资者减除费用”、“专项扣除”、“依法确定的其他扣除”是否存在任意一项非0，若有则弹出“有综合所得时，投资者减除费用、专项扣除、依法确定的其他扣除，只能在综合所得申报中扣除，是否继续申报？”提示框，可根据实际情况点击【是】保存报表，或者点击【否】修改报表数据后重新点击【保存】→【是】，确认保存时系统会对填写了商业健康保险、税延养老险和减免税额数据项的人员，进行对应的附表填写校验以及分配比例是否超过100%的校验，校验通过则弹出“投资者预缴申报记录保存成功”提示框，点击【确定】即可。</w:t>
      </w:r>
    </w:p>
    <w:p>
      <w:r>
        <w:drawing>
          <wp:inline distT="0" distB="0" distL="114300" distR="114300">
            <wp:extent cx="5263515" cy="2707005"/>
            <wp:effectExtent l="9525" t="9525" r="22860" b="26670"/>
            <wp:docPr id="49" name="图片 6"/>
            <wp:cNvGraphicFramePr/>
            <a:graphic xmlns:a="http://schemas.openxmlformats.org/drawingml/2006/main">
              <a:graphicData uri="http://schemas.openxmlformats.org/drawingml/2006/picture">
                <pic:pic xmlns:pic="http://schemas.openxmlformats.org/drawingml/2006/picture">
                  <pic:nvPicPr>
                    <pic:cNvPr id="49" name="图片 6"/>
                    <pic:cNvPicPr/>
                  </pic:nvPicPr>
                  <pic:blipFill>
                    <a:blip r:embed="rId46"/>
                    <a:stretch>
                      <a:fillRect/>
                    </a:stretch>
                  </pic:blipFill>
                  <pic:spPr>
                    <a:xfrm>
                      <a:off x="0" y="0"/>
                      <a:ext cx="5263515" cy="2707005"/>
                    </a:xfrm>
                    <a:prstGeom prst="rect">
                      <a:avLst/>
                    </a:prstGeom>
                    <a:noFill/>
                    <a:ln w="9525" cap="flat" cmpd="sng">
                      <a:solidFill>
                        <a:srgbClr val="BFBFBF"/>
                      </a:solidFill>
                      <a:prstDash val="solid"/>
                      <a:miter/>
                      <a:headEnd type="none" w="med" len="med"/>
                      <a:tailEnd type="none" w="med" len="med"/>
                    </a:ln>
                  </pic:spPr>
                </pic:pic>
              </a:graphicData>
            </a:graphic>
          </wp:inline>
        </w:drawing>
      </w:r>
    </w:p>
    <w:p>
      <w:pPr>
        <w:ind w:firstLine="420" w:firstLineChars="200"/>
      </w:pPr>
      <w:r>
        <w:rPr>
          <w:rFonts w:hint="eastAsia"/>
        </w:rPr>
        <w:t>点击【网上报税】→【网上申报】，进入申报表报送界面，系统自动生成已保存成功但未报送的报表，勾选纳税人后点击【发送申报】，税务机关系统接收成功后报表显示“申报处理中”状态，若未能自动获取到申报反馈结果，可自行点击【获取反馈】查看申报结果，显示申报成功即可；若申报失败，根据反馈提示修改申报表数据后，重新【发送申报】并【获取反馈】。本期申报成功未缴款前，若发现申报有误，可点击【作废申报】，作废成功后可重新填写报送；申报成功并缴款后发现有误，可重新点击【预缴纳税申报】→【启动更正】，对数据进行修改后更正申报。</w:t>
      </w:r>
    </w:p>
    <w:p>
      <w:pPr>
        <w:ind w:firstLine="420" w:firstLineChars="200"/>
      </w:pPr>
      <w:r>
        <w:rPr>
          <w:rFonts w:hint="eastAsia"/>
        </w:rPr>
        <w:t>申报表报送界面，税款所属期起（默认所选月份的1日）、税款所属期止（默认所选月份的最后一日），默认显示当前税款所属期，可修改。</w:t>
      </w:r>
    </w:p>
    <w:p>
      <w:pPr>
        <w:ind w:firstLine="422" w:firstLineChars="200"/>
      </w:pPr>
      <w:r>
        <w:rPr>
          <w:rFonts w:hint="eastAsia"/>
          <w:b/>
          <w:bCs/>
        </w:rPr>
        <w:t>注意事项</w:t>
      </w:r>
      <w:r>
        <w:rPr>
          <w:rFonts w:hint="eastAsia"/>
        </w:rPr>
        <w:t>：人员信息里采集报送成功且验证通过（或暂不验证）的投资者信息均显示在单位信息里。预缴纳税申报界面显示的投资者仅根据当前申报税款所属期从单位信息的投资者中获取，预缴纳税申报界面获取到的记录均可填写并申报。</w:t>
      </w:r>
    </w:p>
    <w:p>
      <w:pPr>
        <w:ind w:left="-430" w:leftChars="-205" w:firstLine="643" w:firstLineChars="200"/>
        <w:rPr>
          <w:rFonts w:ascii="楷体_GB2312" w:eastAsia="楷体_GB2312"/>
          <w:b/>
          <w:bCs/>
          <w:sz w:val="32"/>
          <w:szCs w:val="32"/>
        </w:rPr>
      </w:pPr>
    </w:p>
    <w:p>
      <w:pPr>
        <w:ind w:left="-430" w:leftChars="-205" w:firstLine="643" w:firstLineChars="200"/>
        <w:rPr>
          <w:rFonts w:ascii="楷体_GB2312" w:eastAsia="楷体_GB2312"/>
          <w:b/>
          <w:bCs/>
          <w:sz w:val="32"/>
          <w:szCs w:val="32"/>
        </w:rPr>
      </w:pPr>
      <w:bookmarkStart w:id="203" w:name="_Toc28612255"/>
      <w:r>
        <w:rPr>
          <w:rFonts w:hint="eastAsia" w:ascii="楷体_GB2312" w:eastAsia="楷体_GB2312"/>
          <w:b/>
          <w:bCs/>
          <w:sz w:val="32"/>
          <w:szCs w:val="32"/>
        </w:rPr>
        <w:t>4.2经营所得个人所得税年度申报</w:t>
      </w:r>
      <w:bookmarkEnd w:id="203"/>
    </w:p>
    <w:p>
      <w:pPr>
        <w:ind w:firstLine="420" w:firstLineChars="200"/>
      </w:pPr>
      <w:r>
        <w:rPr>
          <w:rFonts w:hint="eastAsia"/>
        </w:rPr>
        <w:t>《个人所得税经营所得纳税申报表（B表）》适用于查账征收的个体工商户业主、企事业单位承包承租经营者、个人独资企业投资者和合伙企业自然人合伙人在中国境内取得经营所得的个人所得税2019年及以后纳税年度的汇算清缴。</w:t>
      </w:r>
    </w:p>
    <w:p>
      <w:pPr>
        <w:rPr>
          <w:b/>
          <w:bCs/>
        </w:rPr>
      </w:pPr>
      <w:r>
        <w:rPr>
          <w:rFonts w:hint="eastAsia"/>
          <w:b/>
          <w:bCs/>
        </w:rPr>
        <w:t>填写说明</w:t>
      </w:r>
    </w:p>
    <w:p>
      <w:pPr>
        <w:ind w:firstLine="420" w:firstLineChars="200"/>
      </w:pPr>
      <w:r>
        <w:rPr>
          <w:rFonts w:hint="eastAsia"/>
        </w:rPr>
        <w:t>点击【年度汇缴申报】进入申报表填写主界面。若该税款所属期已有申报成功或待反馈的明细记录，则【收入、费用信息】不允许修改。</w:t>
      </w:r>
    </w:p>
    <w:p>
      <w:r>
        <w:drawing>
          <wp:inline distT="0" distB="0" distL="114300" distR="114300">
            <wp:extent cx="5279390" cy="2310130"/>
            <wp:effectExtent l="0" t="0" r="16510" b="13970"/>
            <wp:docPr id="7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3"/>
                    <pic:cNvPicPr>
                      <a:picLocks noChangeAspect="1"/>
                    </pic:cNvPicPr>
                  </pic:nvPicPr>
                  <pic:blipFill>
                    <a:blip r:embed="rId47"/>
                    <a:stretch>
                      <a:fillRect/>
                    </a:stretch>
                  </pic:blipFill>
                  <pic:spPr>
                    <a:xfrm>
                      <a:off x="0" y="0"/>
                      <a:ext cx="5279390" cy="2310130"/>
                    </a:xfrm>
                    <a:prstGeom prst="rect">
                      <a:avLst/>
                    </a:prstGeom>
                    <a:noFill/>
                    <a:ln w="9525">
                      <a:noFill/>
                    </a:ln>
                  </pic:spPr>
                </pic:pic>
              </a:graphicData>
            </a:graphic>
          </wp:inline>
        </w:drawing>
      </w:r>
    </w:p>
    <w:p>
      <w:pPr>
        <w:ind w:firstLine="420" w:firstLineChars="200"/>
      </w:pPr>
      <w:r>
        <w:rPr>
          <w:rFonts w:hint="eastAsia"/>
        </w:rPr>
        <w:t>【税款所属期】：税款所属期起：默认为系统当前年度上一年的1月1日。税款所属期止：默认为系统当前年度上一年的12月31日。不允许修改</w:t>
      </w:r>
    </w:p>
    <w:p>
      <w:pPr>
        <w:ind w:firstLine="420" w:firstLineChars="200"/>
      </w:pPr>
      <w:r>
        <w:rPr>
          <w:rFonts w:hint="eastAsia"/>
        </w:rPr>
        <w:t>【企业类型】：从“单位信息”中带出，不可修改。若显示不正确，可重新至“单位信息”中更新获取最新信息。</w:t>
      </w:r>
    </w:p>
    <w:p>
      <w:pPr>
        <w:ind w:firstLine="420" w:firstLineChars="200"/>
      </w:pPr>
      <w:r>
        <w:rPr>
          <w:rFonts w:hint="eastAsia"/>
        </w:rPr>
        <w:t>【收入总额】：填写本年度从事生产经营以及与生产经营有关的活动取得的货币形式和非货币形式的各项收入总金额。包括：销售货物收入、提供劳务收入、转让财产收入、利息收入、租金收入、接受捐赠收入、其他收入。</w:t>
      </w:r>
    </w:p>
    <w:p>
      <w:pPr>
        <w:ind w:firstLine="420" w:firstLineChars="200"/>
      </w:pPr>
      <w:r>
        <w:rPr>
          <w:rFonts w:hint="eastAsia"/>
        </w:rPr>
        <w:t>【国债利息收入】：填写本年度已计入收入的因购买国债而取得的应予免税的利息。</w:t>
      </w:r>
    </w:p>
    <w:p>
      <w:pPr>
        <w:ind w:firstLine="420" w:firstLineChars="200"/>
      </w:pPr>
      <w:r>
        <w:rPr>
          <w:rFonts w:hint="eastAsia"/>
        </w:rPr>
        <w:t>【成本费用】：填写本年度实际发生的成本、费用、税金、损失及其他支出的总额。</w:t>
      </w:r>
    </w:p>
    <w:p>
      <w:pPr>
        <w:ind w:firstLine="420" w:firstLineChars="200"/>
      </w:pPr>
      <w:r>
        <w:rPr>
          <w:rFonts w:hint="eastAsia"/>
        </w:rPr>
        <w:t>（1）“营业成本”：填写在生产经营活动中发生的销售成本、销货成本、业务支出以及其他耗费；</w:t>
      </w:r>
    </w:p>
    <w:p>
      <w:pPr>
        <w:ind w:firstLine="420" w:firstLineChars="200"/>
      </w:pPr>
      <w:r>
        <w:rPr>
          <w:rFonts w:hint="eastAsia"/>
        </w:rPr>
        <w:t>（2）“营业费用”：填写在销售商品和材料、提供劳务的过程中发生的各种费用；</w:t>
      </w:r>
    </w:p>
    <w:p>
      <w:pPr>
        <w:ind w:firstLine="420" w:firstLineChars="200"/>
      </w:pPr>
      <w:r>
        <w:rPr>
          <w:rFonts w:hint="eastAsia"/>
        </w:rPr>
        <w:t>（3）“管理费用”：填写为组织和管理企业生产经营发生的管理费用；</w:t>
      </w:r>
    </w:p>
    <w:p>
      <w:pPr>
        <w:ind w:firstLine="420" w:firstLineChars="200"/>
      </w:pPr>
      <w:r>
        <w:rPr>
          <w:rFonts w:hint="eastAsia"/>
        </w:rPr>
        <w:t>（4）“财务费用”：填写为筹集生产经营所需资金等发生的筹资费用；</w:t>
      </w:r>
    </w:p>
    <w:p>
      <w:pPr>
        <w:ind w:firstLine="420" w:firstLineChars="200"/>
      </w:pPr>
      <w:r>
        <w:rPr>
          <w:rFonts w:hint="eastAsia"/>
        </w:rPr>
        <w:t>（5）“税金”：填写在生产经营活动中发生的除个人所得税和允许抵扣的增值税以外的各项税金及其附加；</w:t>
      </w:r>
    </w:p>
    <w:p>
      <w:pPr>
        <w:ind w:firstLine="420" w:firstLineChars="200"/>
      </w:pPr>
      <w:r>
        <w:rPr>
          <w:rFonts w:hint="eastAsia"/>
        </w:rPr>
        <w:t>（6）“损失”：填写生产经营活动中发生的固定资产和存货的盘亏、毁损、报废损失，转让财产损失，坏账损失，自然灾害等不可抗力因素造成的损失以及其他损失；</w:t>
      </w:r>
    </w:p>
    <w:p>
      <w:pPr>
        <w:ind w:firstLine="420" w:firstLineChars="200"/>
      </w:pPr>
      <w:r>
        <w:rPr>
          <w:rFonts w:hint="eastAsia"/>
        </w:rPr>
        <w:t>（7）“其他支出”：填写除成本、费用、税金、损失外，生产经营活动中发生的与之有关的、合理的支出。</w:t>
      </w:r>
    </w:p>
    <w:p>
      <w:pPr>
        <w:ind w:firstLine="420" w:firstLineChars="200"/>
      </w:pPr>
      <w:r>
        <w:rPr>
          <w:rFonts w:hint="eastAsia"/>
        </w:rPr>
        <w:t>【利润总额】：利润总额=收入总额-国债利息收入-成本费用，不可修改。</w:t>
      </w:r>
    </w:p>
    <w:p>
      <w:pPr>
        <w:ind w:firstLine="420" w:firstLineChars="200"/>
      </w:pPr>
      <w:r>
        <w:rPr>
          <w:rFonts w:hint="eastAsia"/>
        </w:rPr>
        <w:t>【纳税调整增加额】：根据相关行次计算填报。纳税调整增加额=超过规定标准的扣除项目金额+不允许扣除的项目金额。不可修改</w:t>
      </w:r>
    </w:p>
    <w:p>
      <w:pPr>
        <w:ind w:firstLine="420" w:firstLineChars="200"/>
      </w:pPr>
      <w:r>
        <w:rPr>
          <w:rFonts w:hint="eastAsia"/>
        </w:rPr>
        <w:t>（1）“超过规定标准的扣除项目金额”：填写扣除的成本、费用和损失中，超过税法规定的扣除标准应予调增的应纳税所得额。</w:t>
      </w:r>
    </w:p>
    <w:p>
      <w:pPr>
        <w:ind w:firstLine="420" w:firstLineChars="200"/>
      </w:pPr>
      <w:r>
        <w:rPr>
          <w:rFonts w:hint="eastAsia"/>
        </w:rPr>
        <w:t>（2）“不允许扣除的项目金额”：填写按规定不允许扣除但被投资单位已将其扣除的各项成本、费用和损失，应予调增应纳税所得额的部分。</w:t>
      </w:r>
    </w:p>
    <w:p>
      <w:pPr>
        <w:ind w:firstLine="420" w:firstLineChars="200"/>
      </w:pPr>
      <w:r>
        <w:rPr>
          <w:rFonts w:hint="eastAsia"/>
        </w:rPr>
        <w:t>【纳税调整减少额】：填写在计算利润总额时已计入收入或未列入成本费用，但在计算应纳税所得额时应予扣除的项目金额。</w:t>
      </w:r>
    </w:p>
    <w:p>
      <w:pPr>
        <w:ind w:firstLine="420" w:firstLineChars="200"/>
      </w:pPr>
      <w:r>
        <w:rPr>
          <w:rFonts w:hint="eastAsia"/>
        </w:rPr>
        <w:t>【纳税调整后所得】：根据相关行次计算填报。纳税调整后所得=利润总额+ 调整增加额-纳税调整减少额。</w:t>
      </w:r>
    </w:p>
    <w:p>
      <w:pPr>
        <w:ind w:firstLine="420" w:firstLineChars="200"/>
      </w:pPr>
      <w:r>
        <w:rPr>
          <w:rFonts w:hint="eastAsia"/>
        </w:rPr>
        <w:t>【弥补以前年度亏损】：填写本年度可在税前弥补的以前年度亏损额。</w:t>
      </w:r>
    </w:p>
    <w:p>
      <w:pPr>
        <w:ind w:firstLine="420" w:firstLineChars="200"/>
      </w:pPr>
      <w:r>
        <w:rPr>
          <w:rFonts w:hint="eastAsia"/>
        </w:rPr>
        <w:t>【合伙企业个人合伙人分配比例】：纳税人为合伙企业个人合伙人的，填写本栏；其他则不填。分配比例按照合伙协议约定的比例填写；合伙协议未约定或不明确的，按合伙人协商决定的比例填写；协商不成的，按合伙人实缴出资比例填写；无法确定出资比例的，按合伙人平均分配。</w:t>
      </w:r>
      <w:r>
        <w:rPr>
          <w:rFonts w:hint="eastAsia"/>
        </w:rPr>
        <w:tab/>
      </w:r>
    </w:p>
    <w:p>
      <w:pPr>
        <w:ind w:firstLine="420" w:firstLineChars="200"/>
      </w:pPr>
      <w:r>
        <w:rPr>
          <w:rFonts w:hint="eastAsia"/>
        </w:rPr>
        <w:t>【允许扣除的个人费用及其他扣除】：填写按税法规定可以税前扣除的各项费用、支出，包括：</w:t>
      </w:r>
    </w:p>
    <w:p>
      <w:pPr>
        <w:ind w:firstLine="420" w:firstLineChars="200"/>
      </w:pPr>
      <w:r>
        <w:rPr>
          <w:rFonts w:hint="eastAsia"/>
        </w:rPr>
        <w:t>（1）“投资者减除费用”：填写可在税前扣除的投资者本人减除费用6万元。如本年度同时取得了综合所得并扣除了每月5000元的减除费用，则此处不得重复减除。</w:t>
      </w:r>
    </w:p>
    <w:p>
      <w:pPr>
        <w:ind w:firstLine="420" w:firstLineChars="200"/>
      </w:pPr>
      <w:r>
        <w:rPr>
          <w:rFonts w:hint="eastAsia"/>
        </w:rPr>
        <w:t>（2） “专项扣除”:分别填写本年度按规定允许扣除的基本养老保险费、基本医疗保险费、失业保险费、住房公积金的合计金额。</w:t>
      </w:r>
    </w:p>
    <w:p>
      <w:pPr>
        <w:ind w:firstLine="420" w:firstLineChars="200"/>
      </w:pPr>
      <w:r>
        <w:rPr>
          <w:rFonts w:hint="eastAsia"/>
        </w:rPr>
        <w:t>（3） “专项附加扣除”：分别填写本年度纳税人按规定可享受的子女教育、继续教育、大病医疗、住房贷款利息或住房租金、赡养老人等专项附加扣除的合计金额。</w:t>
      </w:r>
    </w:p>
    <w:p>
      <w:pPr>
        <w:ind w:firstLine="420" w:firstLineChars="200"/>
      </w:pPr>
      <w:r>
        <w:rPr>
          <w:rFonts w:hint="eastAsia"/>
        </w:rPr>
        <w:t>（4） “依法确定的其他扣除”：分别填写按规定允许扣除的商业健康保险、税延养老保险，以及国务院规定其他可以扣除项目的合计金额。</w:t>
      </w:r>
    </w:p>
    <w:p>
      <w:pPr>
        <w:ind w:firstLine="420" w:firstLineChars="200"/>
      </w:pPr>
      <w:r>
        <w:rPr>
          <w:rFonts w:hint="eastAsia"/>
        </w:rPr>
        <w:t>【投资抵扣】：填写按照税法规定的投资可以税前抵扣的金额。</w:t>
      </w:r>
    </w:p>
    <w:p>
      <w:pPr>
        <w:ind w:firstLine="420" w:firstLineChars="200"/>
      </w:pPr>
      <w:r>
        <w:rPr>
          <w:rFonts w:hint="eastAsia"/>
        </w:rPr>
        <w:t>【准予扣除的个人捐赠支出】：填写本年度按照税法及相关法规、政策规定，可以在税前扣除的个人捐赠合计额。</w:t>
      </w:r>
    </w:p>
    <w:p>
      <w:pPr>
        <w:ind w:firstLine="420" w:firstLineChars="200"/>
      </w:pPr>
      <w:r>
        <w:rPr>
          <w:rFonts w:hint="eastAsia"/>
        </w:rPr>
        <w:t>【应纳税所得额】：自动计算，不可修改。应纳税所得额=（纳税调整后所得-弥补以前年度亏损）×合伙企业个人合伙人分配比例-允许扣除的个人费用及其他扣除-投资抵扣-准予扣除的个人捐赠支出。</w:t>
      </w:r>
    </w:p>
    <w:p>
      <w:pPr>
        <w:ind w:firstLine="420" w:firstLineChars="200"/>
      </w:pPr>
      <w:r>
        <w:rPr>
          <w:rFonts w:hint="eastAsia"/>
        </w:rPr>
        <w:t>【税率】：经营所得5级超额累进税率，按应纳税所得额确定税率，不可修改。</w:t>
      </w:r>
    </w:p>
    <w:p>
      <w:pPr>
        <w:ind w:firstLine="420" w:firstLineChars="200"/>
      </w:pPr>
      <w:r>
        <w:rPr>
          <w:rFonts w:hint="eastAsia"/>
        </w:rPr>
        <w:t>【速算扣除数】：按照税率对应速算扣除数默认带出，不可修改。</w:t>
      </w:r>
    </w:p>
    <w:p>
      <w:pPr>
        <w:ind w:firstLine="420" w:firstLineChars="200"/>
      </w:pPr>
      <w:r>
        <w:rPr>
          <w:rFonts w:hint="eastAsia"/>
        </w:rPr>
        <w:t>【应纳税额】：应纳税额＝应纳税所得额×税率－速算扣除数，不可修改。</w:t>
      </w:r>
    </w:p>
    <w:p>
      <w:pPr>
        <w:ind w:firstLine="420" w:firstLineChars="200"/>
      </w:pPr>
      <w:r>
        <w:rPr>
          <w:rFonts w:hint="eastAsia"/>
        </w:rPr>
        <w:t>【减免税额】：可填写，减免税额≤应纳税额。</w:t>
      </w:r>
    </w:p>
    <w:p>
      <w:pPr>
        <w:ind w:firstLine="420" w:firstLineChars="200"/>
      </w:pPr>
      <w:r>
        <w:rPr>
          <w:rFonts w:hint="eastAsia"/>
        </w:rPr>
        <w:t>【已预缴税额】：填写本年度累计已预缴的经营所得个人所得税金额。</w:t>
      </w:r>
    </w:p>
    <w:p>
      <w:pPr>
        <w:ind w:firstLine="420" w:firstLineChars="200"/>
      </w:pPr>
      <w:r>
        <w:rPr>
          <w:rFonts w:hint="eastAsia"/>
        </w:rPr>
        <w:t>【应补（退）税额】：由计算公式计算而得，不可修改。</w:t>
      </w:r>
    </w:p>
    <w:p>
      <w:pPr>
        <w:ind w:left="-430" w:leftChars="-205" w:firstLine="643" w:firstLineChars="200"/>
        <w:rPr>
          <w:rFonts w:ascii="楷体_GB2312" w:eastAsia="楷体_GB2312"/>
          <w:b/>
          <w:bCs/>
          <w:sz w:val="32"/>
          <w:szCs w:val="32"/>
        </w:rPr>
      </w:pPr>
      <w:bookmarkStart w:id="204" w:name="_Toc28612256"/>
      <w:r>
        <w:rPr>
          <w:rFonts w:hint="eastAsia" w:ascii="楷体_GB2312" w:eastAsia="楷体_GB2312"/>
          <w:b/>
          <w:bCs/>
          <w:sz w:val="32"/>
          <w:szCs w:val="32"/>
        </w:rPr>
        <w:t>4.3网上申报</w:t>
      </w:r>
      <w:bookmarkEnd w:id="204"/>
    </w:p>
    <w:p>
      <w:pPr>
        <w:ind w:firstLine="420" w:firstLineChars="200"/>
      </w:pPr>
      <w:r>
        <w:rPr>
          <w:rFonts w:hint="eastAsia"/>
        </w:rPr>
        <w:t>报表保存成功后，可进行申报表报送。</w:t>
      </w:r>
    </w:p>
    <w:p>
      <w:pPr>
        <w:rPr>
          <w:b/>
        </w:rPr>
      </w:pPr>
      <w:r>
        <w:rPr>
          <w:b/>
        </w:rPr>
        <w:t>填写说明</w:t>
      </w:r>
    </w:p>
    <w:p>
      <w:pPr>
        <w:ind w:firstLine="420" w:firstLineChars="200"/>
      </w:pPr>
      <w:r>
        <w:rPr>
          <w:rFonts w:hint="eastAsia"/>
        </w:rPr>
        <w:t>点击【网上报税】→【网上申报】，进入申报表报送界面，系统自动显示保存成功但未报送成功的报表，勾选报表记录后点击【发送申报】按钮进行申报表报送，税务机关系统接收成功后报表显示“申报处理中”状态，若未能自动获取到申报反馈结果，可自行点击【获取反馈】查看申报结果；若申报失败，可根据反馈提示修改申报表数据后，重新【发送申报】并【获取反馈】。</w:t>
      </w:r>
    </w:p>
    <w:p>
      <w:r>
        <w:drawing>
          <wp:inline distT="0" distB="0" distL="114300" distR="114300">
            <wp:extent cx="5268595" cy="2302510"/>
            <wp:effectExtent l="0" t="0" r="8255" b="2540"/>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4"/>
                    <pic:cNvPicPr>
                      <a:picLocks noChangeAspect="1"/>
                    </pic:cNvPicPr>
                  </pic:nvPicPr>
                  <pic:blipFill>
                    <a:blip r:embed="rId48"/>
                    <a:stretch>
                      <a:fillRect/>
                    </a:stretch>
                  </pic:blipFill>
                  <pic:spPr>
                    <a:xfrm>
                      <a:off x="0" y="0"/>
                      <a:ext cx="5268595" cy="2302510"/>
                    </a:xfrm>
                    <a:prstGeom prst="rect">
                      <a:avLst/>
                    </a:prstGeom>
                    <a:noFill/>
                    <a:ln w="9525">
                      <a:noFill/>
                    </a:ln>
                  </pic:spPr>
                </pic:pic>
              </a:graphicData>
            </a:graphic>
          </wp:inline>
        </w:drawing>
      </w:r>
    </w:p>
    <w:p/>
    <w:p/>
    <w:p>
      <w:pPr>
        <w:ind w:left="-430" w:leftChars="-205" w:firstLine="643" w:firstLineChars="200"/>
        <w:rPr>
          <w:rFonts w:ascii="楷体_GB2312" w:eastAsia="楷体_GB2312"/>
          <w:b/>
          <w:bCs/>
          <w:sz w:val="32"/>
          <w:szCs w:val="32"/>
        </w:rPr>
      </w:pPr>
      <w:bookmarkStart w:id="205" w:name="_Toc28903535"/>
      <w:r>
        <w:rPr>
          <w:rFonts w:ascii="楷体_GB2312" w:eastAsia="楷体_GB2312"/>
          <w:b/>
          <w:bCs/>
          <w:sz w:val="32"/>
          <w:szCs w:val="32"/>
        </w:rPr>
        <w:t>4</w:t>
      </w:r>
      <w:r>
        <w:rPr>
          <w:rFonts w:hint="eastAsia" w:ascii="楷体_GB2312" w:eastAsia="楷体_GB2312"/>
          <w:b/>
          <w:bCs/>
          <w:sz w:val="32"/>
          <w:szCs w:val="32"/>
        </w:rPr>
        <w:t>.4.经营所得申报缴款</w:t>
      </w:r>
      <w:bookmarkEnd w:id="205"/>
    </w:p>
    <w:p>
      <w:pPr>
        <w:ind w:firstLine="420" w:firstLineChars="200"/>
      </w:pPr>
      <w:r>
        <w:rPr>
          <w:rFonts w:hint="eastAsia"/>
        </w:rPr>
        <w:t>根据</w:t>
      </w:r>
      <w:r>
        <w:fldChar w:fldCharType="begin"/>
      </w:r>
      <w:r>
        <w:instrText xml:space="preserve"> HYPERLINK "https://www.baidu.com/s?wd=%E3%80%8A%E4%B8%AA%E4%BA%BA%E6%89%80%E5%BE%97%E7%A8%8E%E4%BB%A3%E6%89%A3%E4%BB%A3%E7%BC%B4%E6%9A%82%E8%A1%8C%E5%8A%9E%E6%B3%95%E3%80%8B&amp;tn=44039180_cpr&amp;fenlei=mv6quAkxTZn0IZRqIHckPjm4nH00T1dBrHNWmvf1ryDzuH0YrA7h0ZwV5Hcvrjm3rH6sPfKWUMw85HfYnjn4nH6sgvPsT6KdThsqpZwYTjCEQLGCpyw9Uz4Bmy-bIi4WUvYETgN-TLwGUv3EnHTkrjb4nHbv" \t "_blank" </w:instrText>
      </w:r>
      <w:r>
        <w:fldChar w:fldCharType="separate"/>
      </w:r>
      <w:r>
        <w:rPr>
          <w:rStyle w:val="5"/>
          <w:rFonts w:hint="eastAsia"/>
        </w:rPr>
        <w:t>《中华人民共和国个人所得税法》</w:t>
      </w:r>
      <w:r>
        <w:rPr>
          <w:rStyle w:val="5"/>
          <w:rFonts w:hint="eastAsia"/>
        </w:rPr>
        <w:fldChar w:fldCharType="end"/>
      </w:r>
      <w:r>
        <w:rPr>
          <w:rFonts w:hint="eastAsia"/>
        </w:rPr>
        <w:t>第十四条　扣缴义务人每月或者每次预扣、代扣的税款，应当在次月十五日内缴入国库，并向税务机关报送扣缴个人所得税申报表。</w:t>
      </w:r>
    </w:p>
    <w:p>
      <w:pPr>
        <w:ind w:left="-430" w:leftChars="-205" w:firstLine="643" w:firstLineChars="200"/>
        <w:rPr>
          <w:rFonts w:ascii="楷体_GB2312" w:eastAsia="楷体_GB2312"/>
          <w:b/>
          <w:bCs/>
          <w:sz w:val="32"/>
          <w:szCs w:val="32"/>
        </w:rPr>
      </w:pPr>
      <w:bookmarkStart w:id="206" w:name="_Toc19705079"/>
      <w:bookmarkStart w:id="207" w:name="_Toc14197116"/>
      <w:bookmarkStart w:id="208" w:name="_Toc11917"/>
      <w:bookmarkStart w:id="209" w:name="_Toc15127597"/>
      <w:bookmarkStart w:id="210" w:name="_Toc11400"/>
      <w:bookmarkStart w:id="211" w:name="_Toc13673"/>
      <w:bookmarkStart w:id="212" w:name="_Toc14210"/>
      <w:bookmarkStart w:id="213" w:name="_Toc3587"/>
      <w:bookmarkStart w:id="214" w:name="_Toc5884"/>
      <w:bookmarkStart w:id="215" w:name="_Toc28903536"/>
      <w:r>
        <w:rPr>
          <w:rFonts w:ascii="楷体_GB2312" w:eastAsia="楷体_GB2312"/>
          <w:b/>
          <w:bCs/>
          <w:sz w:val="32"/>
          <w:szCs w:val="32"/>
        </w:rPr>
        <w:t>4</w:t>
      </w:r>
      <w:r>
        <w:rPr>
          <w:rFonts w:hint="eastAsia" w:ascii="楷体_GB2312" w:eastAsia="楷体_GB2312"/>
          <w:b/>
          <w:bCs/>
          <w:sz w:val="32"/>
          <w:szCs w:val="32"/>
        </w:rPr>
        <w:t>.4.1三方协议缴税</w:t>
      </w:r>
      <w:bookmarkEnd w:id="206"/>
      <w:bookmarkEnd w:id="207"/>
      <w:bookmarkEnd w:id="208"/>
      <w:bookmarkEnd w:id="209"/>
      <w:bookmarkEnd w:id="210"/>
      <w:bookmarkEnd w:id="211"/>
      <w:bookmarkEnd w:id="212"/>
      <w:bookmarkEnd w:id="213"/>
      <w:bookmarkEnd w:id="214"/>
      <w:bookmarkEnd w:id="215"/>
    </w:p>
    <w:p>
      <w:r>
        <w:rPr>
          <w:rFonts w:hint="eastAsia"/>
        </w:rPr>
        <w:t>三方协议缴款：投资人需要和税务机关、银行签订《委托银行代缴税款协议书》才能使用“三方协议缴款”方式。已经签订过的，不需要重新签订。</w:t>
      </w:r>
    </w:p>
    <w:p>
      <w:r>
        <w:rPr>
          <w:rFonts w:hint="eastAsia"/>
          <w:b/>
          <w:bCs/>
        </w:rPr>
        <w:t>填写说明</w:t>
      </w:r>
    </w:p>
    <w:p>
      <w:r>
        <w:rPr>
          <w:rFonts w:hint="eastAsia"/>
        </w:rPr>
        <w:t>申报表申报成功后，点击【税款缴纳】→【三方协议缴税】，界面下方显示欠税相关</w:t>
      </w:r>
      <w:r>
        <w:t>内容</w:t>
      </w:r>
      <w:r>
        <w:rPr>
          <w:rFonts w:hint="eastAsia"/>
        </w:rPr>
        <w:t>，</w:t>
      </w:r>
      <w:r>
        <w:t>包括：</w:t>
      </w:r>
      <w:r>
        <w:rPr>
          <w:rFonts w:hint="eastAsia"/>
        </w:rPr>
        <w:t>投资人姓名、证照号码、税款所属期起止、申报表类型、</w:t>
      </w:r>
      <w:r>
        <w:t>应补</w:t>
      </w:r>
      <w:r>
        <w:rPr>
          <w:rFonts w:hint="eastAsia"/>
        </w:rPr>
        <w:t>（</w:t>
      </w:r>
      <w:r>
        <w:t>退</w:t>
      </w:r>
      <w:r>
        <w:rPr>
          <w:rFonts w:hint="eastAsia"/>
        </w:rPr>
        <w:t>）</w:t>
      </w:r>
      <w:r>
        <w:t>税额</w:t>
      </w:r>
      <w:r>
        <w:rPr>
          <w:rFonts w:hint="eastAsia"/>
        </w:rPr>
        <w:t>、个人三方协议账户等。</w:t>
      </w:r>
    </w:p>
    <w:p>
      <w:r>
        <w:rPr>
          <w:rFonts w:hint="eastAsia"/>
        </w:rPr>
        <w:drawing>
          <wp:inline distT="0" distB="0" distL="114300" distR="114300">
            <wp:extent cx="5261610" cy="2709545"/>
            <wp:effectExtent l="0" t="0" r="15240" b="14605"/>
            <wp:docPr id="50" name="图片 1" descr="图片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 descr="图片39"/>
                    <pic:cNvPicPr>
                      <a:picLocks noChangeAspect="1"/>
                    </pic:cNvPicPr>
                  </pic:nvPicPr>
                  <pic:blipFill>
                    <a:blip r:embed="rId49"/>
                    <a:stretch>
                      <a:fillRect/>
                    </a:stretch>
                  </pic:blipFill>
                  <pic:spPr>
                    <a:xfrm>
                      <a:off x="0" y="0"/>
                      <a:ext cx="5261610" cy="2709545"/>
                    </a:xfrm>
                    <a:prstGeom prst="rect">
                      <a:avLst/>
                    </a:prstGeom>
                    <a:noFill/>
                    <a:ln w="9525">
                      <a:noFill/>
                    </a:ln>
                  </pic:spPr>
                </pic:pic>
              </a:graphicData>
            </a:graphic>
          </wp:inline>
        </w:drawing>
      </w:r>
    </w:p>
    <w:p>
      <w:r>
        <w:rPr>
          <w:rFonts w:hint="eastAsia"/>
        </w:rPr>
        <w:t>投资者只有一个三方协议账户时默认为该账户，若投资者存在多个三方协议账户，则“三方协议账户”列可下拉选择需要使用的三方协议账户，选择后点击【立即缴款】完成缴款即可，若缴款失败会反馈失败提示。</w:t>
      </w:r>
    </w:p>
    <w:p>
      <w:r>
        <w:rPr>
          <w:rFonts w:hint="eastAsia"/>
          <w:b/>
          <w:bCs/>
        </w:rPr>
        <w:t>注意事项</w:t>
      </w:r>
      <w:r>
        <w:rPr>
          <w:rFonts w:hint="eastAsia"/>
        </w:rPr>
        <w:t>：</w:t>
      </w:r>
    </w:p>
    <w:p>
      <w:pPr>
        <w:numPr>
          <w:ilvl w:val="0"/>
          <w:numId w:val="14"/>
        </w:numPr>
        <w:ind w:firstLine="420" w:firstLineChars="200"/>
      </w:pPr>
      <w:r>
        <w:rPr>
          <w:rFonts w:hint="eastAsia"/>
        </w:rPr>
        <w:t>首次使用“三方协议”缴税或更新过三方协议账户的，先点击【更新三方协议】，获取最新协议信息再进行缴款。</w:t>
      </w:r>
    </w:p>
    <w:p>
      <w:pPr>
        <w:numPr>
          <w:ilvl w:val="0"/>
          <w:numId w:val="14"/>
        </w:numPr>
        <w:ind w:firstLine="420" w:firstLineChars="200"/>
      </w:pPr>
      <w:r>
        <w:rPr>
          <w:rFonts w:hint="eastAsia"/>
        </w:rPr>
        <w:t>若有缴款状态为待反馈的记录，可点击【缴款反馈】获取缴款结果。</w:t>
      </w:r>
    </w:p>
    <w:p>
      <w:pPr>
        <w:numPr>
          <w:ilvl w:val="0"/>
          <w:numId w:val="14"/>
        </w:numPr>
        <w:ind w:firstLine="420" w:firstLineChars="200"/>
      </w:pPr>
      <w:r>
        <w:rPr>
          <w:rFonts w:hint="eastAsia"/>
        </w:rPr>
        <w:t>只针对本地申报成功且欠税的记录进行缴款，如果客户端重装，申报数据丢失，只能通过其他渠道缴款。</w:t>
      </w:r>
    </w:p>
    <w:p>
      <w:pPr>
        <w:ind w:left="-430" w:leftChars="-205" w:firstLine="643" w:firstLineChars="200"/>
        <w:rPr>
          <w:rFonts w:ascii="楷体_GB2312" w:eastAsia="楷体_GB2312"/>
          <w:b/>
          <w:bCs/>
          <w:sz w:val="32"/>
          <w:szCs w:val="32"/>
        </w:rPr>
      </w:pPr>
      <w:bookmarkStart w:id="216" w:name="_Toc14197117"/>
      <w:bookmarkStart w:id="217" w:name="_Toc16311"/>
      <w:bookmarkStart w:id="218" w:name="_Toc28151"/>
      <w:bookmarkStart w:id="219" w:name="_Toc15127598"/>
      <w:bookmarkStart w:id="220" w:name="_Toc27621"/>
      <w:bookmarkStart w:id="221" w:name="_Toc29351"/>
      <w:bookmarkStart w:id="222" w:name="_Toc19705080"/>
      <w:bookmarkStart w:id="223" w:name="_Toc29607"/>
      <w:bookmarkStart w:id="224" w:name="_Toc24880"/>
      <w:bookmarkStart w:id="225" w:name="_Toc28903537"/>
      <w:r>
        <w:rPr>
          <w:rFonts w:ascii="楷体_GB2312" w:eastAsia="楷体_GB2312"/>
          <w:b/>
          <w:bCs/>
          <w:sz w:val="32"/>
          <w:szCs w:val="32"/>
        </w:rPr>
        <w:t>4</w:t>
      </w:r>
      <w:r>
        <w:rPr>
          <w:rFonts w:hint="eastAsia" w:ascii="楷体_GB2312" w:eastAsia="楷体_GB2312"/>
          <w:b/>
          <w:bCs/>
          <w:sz w:val="32"/>
          <w:szCs w:val="32"/>
        </w:rPr>
        <w:t>.4.2银行端查询缴税</w:t>
      </w:r>
      <w:bookmarkEnd w:id="216"/>
      <w:bookmarkEnd w:id="217"/>
      <w:bookmarkEnd w:id="218"/>
      <w:bookmarkEnd w:id="219"/>
      <w:bookmarkEnd w:id="220"/>
      <w:bookmarkEnd w:id="221"/>
      <w:bookmarkEnd w:id="222"/>
      <w:bookmarkEnd w:id="223"/>
      <w:bookmarkEnd w:id="224"/>
      <w:bookmarkEnd w:id="225"/>
    </w:p>
    <w:p>
      <w:r>
        <w:rPr>
          <w:rFonts w:hint="eastAsia"/>
        </w:rPr>
        <w:t>银行端查询缴税：打印银行端查询缴税凭证后至商业银行缴款，部分地区有该功能。</w:t>
      </w:r>
    </w:p>
    <w:p>
      <w:r>
        <w:rPr>
          <w:rFonts w:hint="eastAsia"/>
        </w:rPr>
        <w:t>注：该功能需</w:t>
      </w:r>
      <w:r>
        <w:t>要当地银行</w:t>
      </w:r>
      <w:r>
        <w:rPr>
          <w:rFonts w:hint="eastAsia"/>
        </w:rPr>
        <w:t>系</w:t>
      </w:r>
      <w:r>
        <w:t>统支持，</w:t>
      </w:r>
      <w:r>
        <w:rPr>
          <w:rFonts w:hint="eastAsia"/>
        </w:rPr>
        <w:t>因</w:t>
      </w:r>
      <w:r>
        <w:t>此</w:t>
      </w:r>
      <w:r>
        <w:rPr>
          <w:rFonts w:hint="eastAsia"/>
        </w:rPr>
        <w:t>银</w:t>
      </w:r>
      <w:r>
        <w:t>行不支持的部分</w:t>
      </w:r>
      <w:r>
        <w:rPr>
          <w:rFonts w:hint="eastAsia"/>
        </w:rPr>
        <w:t>地</w:t>
      </w:r>
      <w:r>
        <w:t>区</w:t>
      </w:r>
      <w:r>
        <w:rPr>
          <w:rFonts w:hint="eastAsia"/>
        </w:rPr>
        <w:t>未</w:t>
      </w:r>
      <w:r>
        <w:t>开通</w:t>
      </w:r>
      <w:r>
        <w:rPr>
          <w:rFonts w:hint="eastAsia"/>
        </w:rPr>
        <w:t>，</w:t>
      </w:r>
      <w:r>
        <w:t>未开通的地区无此功能菜单。</w:t>
      </w:r>
    </w:p>
    <w:p>
      <w:pPr>
        <w:rPr>
          <w:b/>
          <w:bCs/>
        </w:rPr>
      </w:pPr>
      <w:r>
        <w:rPr>
          <w:rFonts w:hint="eastAsia"/>
          <w:b/>
          <w:bCs/>
        </w:rPr>
        <w:t>填写说明</w:t>
      </w:r>
    </w:p>
    <w:p>
      <w:r>
        <w:rPr>
          <w:rFonts w:hint="eastAsia"/>
        </w:rPr>
        <w:t>申报表申报成功后，点击【税款缴纳】→【银行端查询缴税】，界面下方显示欠税相关</w:t>
      </w:r>
      <w:r>
        <w:t>内容</w:t>
      </w:r>
      <w:r>
        <w:rPr>
          <w:rFonts w:hint="eastAsia"/>
        </w:rPr>
        <w:t>，</w:t>
      </w:r>
      <w:r>
        <w:t>包括：</w:t>
      </w:r>
      <w:r>
        <w:rPr>
          <w:rFonts w:hint="eastAsia"/>
        </w:rPr>
        <w:t>投资人姓名、证照号码、税款所属期起止、申报表类型、</w:t>
      </w:r>
      <w:r>
        <w:t>应补</w:t>
      </w:r>
      <w:r>
        <w:rPr>
          <w:rFonts w:hint="eastAsia"/>
        </w:rPr>
        <w:t>（</w:t>
      </w:r>
      <w:r>
        <w:t>退</w:t>
      </w:r>
      <w:r>
        <w:rPr>
          <w:rFonts w:hint="eastAsia"/>
        </w:rPr>
        <w:t>）</w:t>
      </w:r>
      <w:r>
        <w:t>税额</w:t>
      </w:r>
      <w:r>
        <w:rPr>
          <w:rFonts w:hint="eastAsia"/>
        </w:rPr>
        <w:t>、滞纳金、缴款状态等。</w:t>
      </w:r>
    </w:p>
    <w:p>
      <w:r>
        <w:rPr>
          <w:rFonts w:hint="eastAsia"/>
        </w:rPr>
        <w:drawing>
          <wp:inline distT="0" distB="0" distL="114300" distR="114300">
            <wp:extent cx="5261610" cy="2705735"/>
            <wp:effectExtent l="0" t="0" r="15240" b="18415"/>
            <wp:docPr id="51" name="图片 2" descr="图片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图片40"/>
                    <pic:cNvPicPr>
                      <a:picLocks noChangeAspect="1"/>
                    </pic:cNvPicPr>
                  </pic:nvPicPr>
                  <pic:blipFill>
                    <a:blip r:embed="rId50"/>
                    <a:stretch>
                      <a:fillRect/>
                    </a:stretch>
                  </pic:blipFill>
                  <pic:spPr>
                    <a:xfrm>
                      <a:off x="0" y="0"/>
                      <a:ext cx="5261610" cy="2705735"/>
                    </a:xfrm>
                    <a:prstGeom prst="rect">
                      <a:avLst/>
                    </a:prstGeom>
                    <a:noFill/>
                    <a:ln w="9525">
                      <a:noFill/>
                    </a:ln>
                  </pic:spPr>
                </pic:pic>
              </a:graphicData>
            </a:graphic>
          </wp:inline>
        </w:drawing>
      </w:r>
    </w:p>
    <w:p>
      <w:r>
        <w:rPr>
          <w:rFonts w:hint="eastAsia"/>
        </w:rPr>
        <w:t>选择投资人待缴税记录后，点击【打印】，携带打印出来的银行端查询缴税凭证在凭证上注明的限缴期限前至商业银行柜台进行缴款，逾期将需要作废重新打印并可能产生滞纳金。若需要重新打印，点击【作废】，作废成功后，状态变更为未打印，重新点击【打印】，携带最新银行端查询缴税凭证至银行缴款。</w:t>
      </w:r>
    </w:p>
    <w:p>
      <w:r>
        <w:rPr>
          <w:rFonts w:hint="eastAsia"/>
          <w:b/>
          <w:bCs/>
        </w:rPr>
        <w:t>注意事项</w:t>
      </w:r>
      <w:r>
        <w:rPr>
          <w:rFonts w:hint="eastAsia"/>
        </w:rPr>
        <w:t>：</w:t>
      </w:r>
    </w:p>
    <w:p>
      <w:pPr>
        <w:numPr>
          <w:ilvl w:val="0"/>
          <w:numId w:val="15"/>
        </w:numPr>
        <w:ind w:firstLine="420" w:firstLineChars="200"/>
      </w:pPr>
      <w:r>
        <w:rPr>
          <w:rFonts w:hint="eastAsia"/>
        </w:rPr>
        <w:t>只针对本地申报成功且欠税的记录进行缴款，如果客户端重装，申报数据丢失，只能通过其他渠道缴款。</w:t>
      </w:r>
    </w:p>
    <w:p>
      <w:pPr>
        <w:numPr>
          <w:ilvl w:val="0"/>
          <w:numId w:val="15"/>
        </w:numPr>
        <w:ind w:firstLine="420" w:firstLineChars="200"/>
      </w:pPr>
      <w:r>
        <w:rPr>
          <w:rFonts w:hint="eastAsia"/>
        </w:rPr>
        <w:t>打印状态为“已打印”，缴款状态为“已缴款”的，不允许作废。</w:t>
      </w:r>
    </w:p>
    <w:p>
      <w:pPr>
        <w:ind w:left="-430" w:leftChars="-205" w:firstLine="643" w:firstLineChars="200"/>
        <w:rPr>
          <w:rFonts w:ascii="楷体_GB2312" w:eastAsia="楷体_GB2312"/>
          <w:b/>
          <w:bCs/>
          <w:sz w:val="32"/>
          <w:szCs w:val="32"/>
        </w:rPr>
      </w:pPr>
      <w:bookmarkStart w:id="226" w:name="_Toc146"/>
      <w:bookmarkStart w:id="227" w:name="_Toc29400"/>
      <w:bookmarkStart w:id="228" w:name="_Toc19705081"/>
      <w:bookmarkStart w:id="229" w:name="_Toc9779"/>
      <w:bookmarkStart w:id="230" w:name="_Toc26037"/>
      <w:bookmarkStart w:id="231" w:name="_Toc12989"/>
      <w:bookmarkStart w:id="232" w:name="_Toc14197118"/>
      <w:bookmarkStart w:id="233" w:name="_Toc15127599"/>
      <w:bookmarkStart w:id="234" w:name="_Toc28903538"/>
      <w:r>
        <w:rPr>
          <w:rFonts w:ascii="楷体_GB2312" w:eastAsia="楷体_GB2312"/>
          <w:b/>
          <w:bCs/>
          <w:sz w:val="32"/>
          <w:szCs w:val="32"/>
        </w:rPr>
        <w:t>4</w:t>
      </w:r>
      <w:r>
        <w:rPr>
          <w:rFonts w:hint="eastAsia" w:ascii="楷体_GB2312" w:eastAsia="楷体_GB2312"/>
          <w:b/>
          <w:bCs/>
          <w:sz w:val="32"/>
          <w:szCs w:val="32"/>
        </w:rPr>
        <w:t>.4.3 银联缴税</w:t>
      </w:r>
      <w:bookmarkEnd w:id="226"/>
      <w:bookmarkEnd w:id="227"/>
      <w:bookmarkEnd w:id="228"/>
      <w:bookmarkEnd w:id="229"/>
      <w:bookmarkEnd w:id="230"/>
      <w:bookmarkEnd w:id="231"/>
      <w:bookmarkEnd w:id="232"/>
      <w:bookmarkEnd w:id="233"/>
      <w:bookmarkEnd w:id="234"/>
    </w:p>
    <w:p>
      <w:pPr>
        <w:rPr>
          <w:b/>
          <w:bCs/>
        </w:rPr>
      </w:pPr>
      <w:r>
        <w:rPr>
          <w:rFonts w:hint="eastAsia"/>
          <w:b/>
          <w:bCs/>
        </w:rPr>
        <w:t>填写说明</w:t>
      </w:r>
    </w:p>
    <w:p>
      <w:r>
        <w:rPr>
          <w:rFonts w:hint="eastAsia"/>
        </w:rPr>
        <w:t>申报表申报成功后，点击【税款缴纳】→【银联缴税】进入</w:t>
      </w:r>
      <w:r>
        <w:t>银联缴款</w:t>
      </w:r>
      <w:r>
        <w:rPr>
          <w:rFonts w:hint="eastAsia"/>
        </w:rPr>
        <w:t>界面</w:t>
      </w:r>
      <w:r>
        <w:t>，</w:t>
      </w:r>
      <w:r>
        <w:rPr>
          <w:rFonts w:hint="eastAsia"/>
        </w:rPr>
        <w:t>系统</w:t>
      </w:r>
      <w:r>
        <w:t>会弹</w:t>
      </w:r>
      <w:r>
        <w:rPr>
          <w:rFonts w:hint="eastAsia"/>
        </w:rPr>
        <w:t>出一条</w:t>
      </w:r>
      <w:r>
        <w:t>提示</w:t>
      </w:r>
      <w:r>
        <w:rPr>
          <w:rFonts w:hint="eastAsia"/>
        </w:rPr>
        <w:t>框。</w:t>
      </w:r>
    </w:p>
    <w:p>
      <w:r>
        <w:drawing>
          <wp:inline distT="0" distB="0" distL="114300" distR="114300">
            <wp:extent cx="5266690" cy="2607310"/>
            <wp:effectExtent l="9525" t="9525" r="19685" b="12065"/>
            <wp:docPr id="52" name="图片 3" descr="IMG_256"/>
            <wp:cNvGraphicFramePr/>
            <a:graphic xmlns:a="http://schemas.openxmlformats.org/drawingml/2006/main">
              <a:graphicData uri="http://schemas.openxmlformats.org/drawingml/2006/picture">
                <pic:pic xmlns:pic="http://schemas.openxmlformats.org/drawingml/2006/picture">
                  <pic:nvPicPr>
                    <pic:cNvPr id="52" name="图片 3" descr="IMG_256"/>
                    <pic:cNvPicPr/>
                  </pic:nvPicPr>
                  <pic:blipFill>
                    <a:blip r:embed="rId51"/>
                    <a:srcRect b="3683"/>
                    <a:stretch>
                      <a:fillRect/>
                    </a:stretch>
                  </pic:blipFill>
                  <pic:spPr>
                    <a:xfrm>
                      <a:off x="0" y="0"/>
                      <a:ext cx="5266690" cy="260731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rPr>
        <w:t>该</w:t>
      </w:r>
      <w:r>
        <w:t>提示只显示一次，倒计时结束后</w:t>
      </w:r>
      <w:r>
        <w:rPr>
          <w:rFonts w:hint="eastAsia"/>
        </w:rPr>
        <w:t>点击【关闭】即可关闭提示框。</w:t>
      </w:r>
    </w:p>
    <w:p>
      <w:r>
        <w:drawing>
          <wp:inline distT="0" distB="0" distL="114300" distR="114300">
            <wp:extent cx="5230495" cy="2579370"/>
            <wp:effectExtent l="9525" t="9525" r="17780" b="20955"/>
            <wp:docPr id="53" name="图片 4"/>
            <wp:cNvGraphicFramePr/>
            <a:graphic xmlns:a="http://schemas.openxmlformats.org/drawingml/2006/main">
              <a:graphicData uri="http://schemas.openxmlformats.org/drawingml/2006/picture">
                <pic:pic xmlns:pic="http://schemas.openxmlformats.org/drawingml/2006/picture">
                  <pic:nvPicPr>
                    <pic:cNvPr id="53" name="图片 4"/>
                    <pic:cNvPicPr/>
                  </pic:nvPicPr>
                  <pic:blipFill>
                    <a:blip r:embed="rId52"/>
                    <a:srcRect l="687" t="352" b="4362"/>
                    <a:stretch>
                      <a:fillRect/>
                    </a:stretch>
                  </pic:blipFill>
                  <pic:spPr>
                    <a:xfrm>
                      <a:off x="0" y="0"/>
                      <a:ext cx="5230495" cy="2579370"/>
                    </a:xfrm>
                    <a:prstGeom prst="rect">
                      <a:avLst/>
                    </a:prstGeom>
                    <a:noFill/>
                    <a:ln w="9525" cap="flat" cmpd="sng">
                      <a:solidFill>
                        <a:srgbClr val="BFBFBF"/>
                      </a:solidFill>
                      <a:prstDash val="solid"/>
                      <a:miter/>
                      <a:headEnd type="none" w="med" len="med"/>
                      <a:tailEnd type="none" w="med" len="med"/>
                    </a:ln>
                  </pic:spPr>
                </pic:pic>
              </a:graphicData>
            </a:graphic>
          </wp:inline>
        </w:drawing>
      </w:r>
    </w:p>
    <w:p>
      <w:r>
        <w:t>提示</w:t>
      </w:r>
      <w:r>
        <w:rPr>
          <w:rFonts w:hint="eastAsia"/>
        </w:rPr>
        <w:t>框</w:t>
      </w:r>
      <w:r>
        <w:t>关闭后，页面上显示</w:t>
      </w:r>
      <w:r>
        <w:rPr>
          <w:rFonts w:hint="eastAsia"/>
        </w:rPr>
        <w:t>姓名、证照类型、证照号码、税款所属期起止、报表类型、报表状态等</w:t>
      </w:r>
      <w:r>
        <w:t>待缴款信息。</w:t>
      </w:r>
    </w:p>
    <w:p>
      <w:r>
        <w:drawing>
          <wp:inline distT="0" distB="0" distL="114300" distR="114300">
            <wp:extent cx="5248910" cy="2598420"/>
            <wp:effectExtent l="9525" t="9525" r="18415" b="20955"/>
            <wp:docPr id="54" name="图片 5"/>
            <wp:cNvGraphicFramePr/>
            <a:graphic xmlns:a="http://schemas.openxmlformats.org/drawingml/2006/main">
              <a:graphicData uri="http://schemas.openxmlformats.org/drawingml/2006/picture">
                <pic:pic xmlns:pic="http://schemas.openxmlformats.org/drawingml/2006/picture">
                  <pic:nvPicPr>
                    <pic:cNvPr id="54" name="图片 5"/>
                    <pic:cNvPicPr/>
                  </pic:nvPicPr>
                  <pic:blipFill>
                    <a:blip r:embed="rId53"/>
                    <a:srcRect l="339" t="986" b="3026"/>
                    <a:stretch>
                      <a:fillRect/>
                    </a:stretch>
                  </pic:blipFill>
                  <pic:spPr>
                    <a:xfrm>
                      <a:off x="0" y="0"/>
                      <a:ext cx="5248910" cy="2598420"/>
                    </a:xfrm>
                    <a:prstGeom prst="rect">
                      <a:avLst/>
                    </a:prstGeom>
                    <a:noFill/>
                    <a:ln w="9525" cap="flat" cmpd="sng">
                      <a:solidFill>
                        <a:srgbClr val="BFBFBF"/>
                      </a:solidFill>
                      <a:prstDash val="solid"/>
                      <a:miter/>
                      <a:headEnd type="none" w="med" len="med"/>
                      <a:tailEnd type="none" w="med" len="med"/>
                    </a:ln>
                  </pic:spPr>
                </pic:pic>
              </a:graphicData>
            </a:graphic>
          </wp:inline>
        </w:drawing>
      </w:r>
    </w:p>
    <w:p>
      <w:r>
        <w:t>勾选</w:t>
      </w:r>
      <w:r>
        <w:rPr>
          <w:rFonts w:hint="eastAsia"/>
        </w:rPr>
        <w:t>待缴款</w:t>
      </w:r>
      <w:r>
        <w:t>记录</w:t>
      </w:r>
      <w:r>
        <w:rPr>
          <w:rFonts w:hint="eastAsia"/>
        </w:rPr>
        <w:t>后，</w:t>
      </w:r>
      <w:r>
        <w:t>点击</w:t>
      </w:r>
      <w:r>
        <w:rPr>
          <w:rFonts w:hint="eastAsia"/>
        </w:rPr>
        <w:t>【</w:t>
      </w:r>
      <w:r>
        <w:t>立即缴款</w:t>
      </w:r>
      <w:r>
        <w:rPr>
          <w:rFonts w:hint="eastAsia"/>
        </w:rPr>
        <w:t>】</w:t>
      </w:r>
      <w:r>
        <w:t>，会弹出一个提示，点击确定后发起缴款请求，请求成功后会用浏览器打开银联缴款页面</w:t>
      </w:r>
      <w:r>
        <w:rPr>
          <w:rFonts w:hint="eastAsia"/>
        </w:rPr>
        <w:t>，</w:t>
      </w:r>
      <w:r>
        <w:t>同时客户端</w:t>
      </w:r>
      <w:r>
        <w:rPr>
          <w:rFonts w:hint="eastAsia"/>
        </w:rPr>
        <w:t>银联缴税界面</w:t>
      </w:r>
      <w:r>
        <w:t>弹出对话框</w:t>
      </w:r>
      <w:r>
        <w:rPr>
          <w:rFonts w:hint="eastAsia"/>
        </w:rPr>
        <w:t>。</w:t>
      </w:r>
    </w:p>
    <w:p>
      <w:r>
        <w:drawing>
          <wp:inline distT="0" distB="0" distL="114300" distR="114300">
            <wp:extent cx="5266690" cy="2689225"/>
            <wp:effectExtent l="9525" t="9525" r="19685" b="25400"/>
            <wp:docPr id="55" name="图片 6"/>
            <wp:cNvGraphicFramePr/>
            <a:graphic xmlns:a="http://schemas.openxmlformats.org/drawingml/2006/main">
              <a:graphicData uri="http://schemas.openxmlformats.org/drawingml/2006/picture">
                <pic:pic xmlns:pic="http://schemas.openxmlformats.org/drawingml/2006/picture">
                  <pic:nvPicPr>
                    <pic:cNvPr id="55" name="图片 6"/>
                    <pic:cNvPicPr/>
                  </pic:nvPicPr>
                  <pic:blipFill>
                    <a:blip r:embed="rId54"/>
                    <a:srcRect t="658"/>
                    <a:stretch>
                      <a:fillRect/>
                    </a:stretch>
                  </pic:blipFill>
                  <pic:spPr>
                    <a:xfrm>
                      <a:off x="0" y="0"/>
                      <a:ext cx="5266690" cy="2689225"/>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rPr>
        <w:t>先在浏览器打开的银联缴款页面，录入该缴款银行卡办理时使用的姓名、证照号码和银行预留手机号等信息后点击【确认付款】，缴款成功则会跳转至缴款成功提示界面。</w:t>
      </w:r>
    </w:p>
    <w:p>
      <w:r>
        <w:drawing>
          <wp:inline distT="0" distB="0" distL="114300" distR="114300">
            <wp:extent cx="5266690" cy="2707005"/>
            <wp:effectExtent l="9525" t="9525" r="19685" b="26670"/>
            <wp:docPr id="56" name="图片 56"/>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55"/>
                    <a:stretch>
                      <a:fillRect/>
                    </a:stretch>
                  </pic:blipFill>
                  <pic:spPr>
                    <a:xfrm>
                      <a:off x="0" y="0"/>
                      <a:ext cx="5266690" cy="2707005"/>
                    </a:xfrm>
                    <a:prstGeom prst="rect">
                      <a:avLst/>
                    </a:prstGeom>
                    <a:noFill/>
                    <a:ln w="9525" cap="flat" cmpd="sng">
                      <a:solidFill>
                        <a:srgbClr val="BFBFBF"/>
                      </a:solidFill>
                      <a:prstDash val="solid"/>
                      <a:miter/>
                      <a:headEnd type="none" w="med" len="med"/>
                      <a:tailEnd type="none" w="med" len="med"/>
                    </a:ln>
                  </pic:spPr>
                </pic:pic>
              </a:graphicData>
            </a:graphic>
          </wp:inline>
        </w:drawing>
      </w:r>
    </w:p>
    <w:p>
      <w:r>
        <w:drawing>
          <wp:inline distT="0" distB="0" distL="114300" distR="114300">
            <wp:extent cx="5266690" cy="2707005"/>
            <wp:effectExtent l="9525" t="9525" r="19685" b="26670"/>
            <wp:docPr id="14" name="图片 8" descr="IMG_256"/>
            <wp:cNvGraphicFramePr/>
            <a:graphic xmlns:a="http://schemas.openxmlformats.org/drawingml/2006/main">
              <a:graphicData uri="http://schemas.openxmlformats.org/drawingml/2006/picture">
                <pic:pic xmlns:pic="http://schemas.openxmlformats.org/drawingml/2006/picture">
                  <pic:nvPicPr>
                    <pic:cNvPr id="14" name="图片 8" descr="IMG_256"/>
                    <pic:cNvPicPr/>
                  </pic:nvPicPr>
                  <pic:blipFill>
                    <a:blip r:embed="rId56"/>
                    <a:srcRect l="1373"/>
                    <a:stretch>
                      <a:fillRect/>
                    </a:stretch>
                  </pic:blipFill>
                  <pic:spPr>
                    <a:xfrm>
                      <a:off x="0" y="0"/>
                      <a:ext cx="5266690" cy="2707005"/>
                    </a:xfrm>
                    <a:prstGeom prst="rect">
                      <a:avLst/>
                    </a:prstGeom>
                    <a:noFill/>
                    <a:ln w="9525" cap="flat" cmpd="sng">
                      <a:solidFill>
                        <a:srgbClr val="BFBFBF"/>
                      </a:solidFill>
                      <a:prstDash val="solid"/>
                      <a:miter/>
                      <a:headEnd type="none" w="med" len="med"/>
                      <a:tailEnd type="none" w="med" len="med"/>
                    </a:ln>
                  </pic:spPr>
                </pic:pic>
              </a:graphicData>
            </a:graphic>
          </wp:inline>
        </w:drawing>
      </w:r>
    </w:p>
    <w:p>
      <w:r>
        <w:t>浏览器中完成缴款后根据缴款结果，在客户端中点击</w:t>
      </w:r>
      <w:r>
        <w:rPr>
          <w:rFonts w:hint="eastAsia"/>
        </w:rPr>
        <w:t>【</w:t>
      </w:r>
      <w:r>
        <w:t>支付完成</w:t>
      </w:r>
      <w:r>
        <w:rPr>
          <w:rFonts w:hint="eastAsia"/>
        </w:rPr>
        <w:t>】或【</w:t>
      </w:r>
      <w:r>
        <w:t>支付未完成</w:t>
      </w:r>
      <w:r>
        <w:rPr>
          <w:rFonts w:hint="eastAsia"/>
        </w:rPr>
        <w:t>】</w:t>
      </w:r>
      <w:r>
        <w:t>（</w:t>
      </w:r>
      <w:r>
        <w:rPr>
          <w:rFonts w:hint="eastAsia"/>
        </w:rPr>
        <w:t>若</w:t>
      </w:r>
      <w:r>
        <w:t>点击</w:t>
      </w:r>
      <w:r>
        <w:rPr>
          <w:rFonts w:hint="eastAsia"/>
        </w:rPr>
        <w:t>【</w:t>
      </w:r>
      <w:r>
        <w:t>支付完成</w:t>
      </w:r>
      <w:r>
        <w:rPr>
          <w:rFonts w:hint="eastAsia"/>
        </w:rPr>
        <w:t>】</w:t>
      </w:r>
      <w:r>
        <w:t>，客户端会检查缴款结果并在页面上显示）</w:t>
      </w:r>
      <w:r>
        <w:rPr>
          <w:rFonts w:hint="eastAsia"/>
        </w:rPr>
        <w:t>。</w:t>
      </w:r>
    </w:p>
    <w:p>
      <w:r>
        <w:drawing>
          <wp:inline distT="0" distB="0" distL="114300" distR="114300">
            <wp:extent cx="5239385" cy="2607310"/>
            <wp:effectExtent l="9525" t="9525" r="27940" b="12065"/>
            <wp:docPr id="57" name="图片 9"/>
            <wp:cNvGraphicFramePr/>
            <a:graphic xmlns:a="http://schemas.openxmlformats.org/drawingml/2006/main">
              <a:graphicData uri="http://schemas.openxmlformats.org/drawingml/2006/picture">
                <pic:pic xmlns:pic="http://schemas.openxmlformats.org/drawingml/2006/picture">
                  <pic:nvPicPr>
                    <pic:cNvPr id="57" name="图片 9"/>
                    <pic:cNvPicPr/>
                  </pic:nvPicPr>
                  <pic:blipFill>
                    <a:blip r:embed="rId57"/>
                    <a:srcRect l="517" b="3683"/>
                    <a:stretch>
                      <a:fillRect/>
                    </a:stretch>
                  </pic:blipFill>
                  <pic:spPr>
                    <a:xfrm>
                      <a:off x="0" y="0"/>
                      <a:ext cx="5239385" cy="2607310"/>
                    </a:xfrm>
                    <a:prstGeom prst="rect">
                      <a:avLst/>
                    </a:prstGeom>
                    <a:noFill/>
                    <a:ln w="9525" cap="flat" cmpd="sng">
                      <a:solidFill>
                        <a:srgbClr val="BFBFBF"/>
                      </a:solidFill>
                      <a:prstDash val="solid"/>
                      <a:miter/>
                      <a:headEnd type="none" w="med" len="med"/>
                      <a:tailEnd type="none" w="med" len="med"/>
                    </a:ln>
                  </pic:spPr>
                </pic:pic>
              </a:graphicData>
            </a:graphic>
          </wp:inline>
        </w:drawing>
      </w:r>
    </w:p>
    <w:p>
      <w:r>
        <w:rPr>
          <w:rFonts w:hint="eastAsia"/>
        </w:rPr>
        <w:t>缴款结果在页面上显示后点击【确定】即可。其他投资人需缴款按照以上步骤再次操作即可。</w:t>
      </w:r>
    </w:p>
    <w:p>
      <w:pPr>
        <w:numPr>
          <w:ilvl w:val="0"/>
          <w:numId w:val="16"/>
        </w:numPr>
        <w:rPr>
          <w:rFonts w:ascii="黑体" w:hAnsi="黑体" w:eastAsia="黑体"/>
          <w:b/>
          <w:bCs/>
          <w:sz w:val="32"/>
          <w:szCs w:val="32"/>
        </w:rPr>
      </w:pPr>
      <w:bookmarkStart w:id="235" w:name="_Toc28903539"/>
      <w:r>
        <w:rPr>
          <w:rFonts w:hint="eastAsia" w:ascii="黑体" w:hAnsi="黑体" w:eastAsia="黑体"/>
          <w:b/>
          <w:bCs/>
          <w:sz w:val="32"/>
          <w:szCs w:val="32"/>
        </w:rPr>
        <w:t>web端—生产经营申报</w:t>
      </w:r>
      <w:bookmarkEnd w:id="235"/>
    </w:p>
    <w:p>
      <w:pPr>
        <w:rPr>
          <w:rFonts w:ascii="楷体_GB2312" w:eastAsia="楷体_GB2312"/>
          <w:b/>
          <w:bCs/>
          <w:sz w:val="32"/>
          <w:szCs w:val="32"/>
        </w:rPr>
      </w:pPr>
      <w:bookmarkStart w:id="236" w:name="_Toc24963"/>
      <w:bookmarkStart w:id="237" w:name="_Toc20059"/>
      <w:bookmarkStart w:id="238" w:name="_Toc32597"/>
      <w:bookmarkStart w:id="239" w:name="_Toc27868"/>
      <w:bookmarkStart w:id="240" w:name="_Toc14143"/>
      <w:bookmarkStart w:id="241" w:name="_Toc28214"/>
      <w:bookmarkStart w:id="242" w:name="_Toc20302"/>
      <w:bookmarkStart w:id="243" w:name="_Toc28903540"/>
      <w:r>
        <w:rPr>
          <w:rFonts w:hint="eastAsia" w:ascii="楷体_GB2312" w:eastAsia="楷体_GB2312"/>
          <w:b/>
          <w:bCs/>
          <w:sz w:val="32"/>
          <w:szCs w:val="32"/>
        </w:rPr>
        <w:t>5.1. 经营所得个人所得税申报</w:t>
      </w:r>
      <w:bookmarkEnd w:id="236"/>
      <w:bookmarkEnd w:id="237"/>
      <w:bookmarkEnd w:id="238"/>
      <w:bookmarkEnd w:id="239"/>
      <w:bookmarkEnd w:id="240"/>
      <w:bookmarkEnd w:id="241"/>
      <w:bookmarkEnd w:id="242"/>
      <w:bookmarkEnd w:id="243"/>
    </w:p>
    <w:p>
      <w:pPr>
        <w:rPr>
          <w:rFonts w:ascii="楷体_GB2312" w:eastAsia="楷体_GB2312"/>
          <w:b/>
          <w:bCs/>
          <w:sz w:val="32"/>
          <w:szCs w:val="32"/>
        </w:rPr>
      </w:pPr>
      <w:bookmarkStart w:id="244" w:name="_Toc28903541"/>
      <w:r>
        <w:rPr>
          <w:rFonts w:ascii="楷体_GB2312" w:eastAsia="楷体_GB2312"/>
          <w:b/>
          <w:bCs/>
          <w:sz w:val="32"/>
          <w:szCs w:val="32"/>
        </w:rPr>
        <w:t>5</w:t>
      </w:r>
      <w:r>
        <w:rPr>
          <w:rFonts w:hint="eastAsia" w:ascii="楷体_GB2312" w:eastAsia="楷体_GB2312"/>
          <w:b/>
          <w:bCs/>
          <w:sz w:val="32"/>
          <w:szCs w:val="32"/>
        </w:rPr>
        <w:t>.</w:t>
      </w:r>
      <w:r>
        <w:rPr>
          <w:rFonts w:ascii="楷体_GB2312" w:eastAsia="楷体_GB2312"/>
          <w:b/>
          <w:bCs/>
          <w:sz w:val="32"/>
          <w:szCs w:val="32"/>
        </w:rPr>
        <w:t>1</w:t>
      </w:r>
      <w:r>
        <w:rPr>
          <w:rFonts w:hint="eastAsia" w:ascii="楷体_GB2312" w:eastAsia="楷体_GB2312"/>
          <w:b/>
          <w:bCs/>
          <w:sz w:val="32"/>
          <w:szCs w:val="32"/>
        </w:rPr>
        <w:t>.</w:t>
      </w:r>
      <w:r>
        <w:rPr>
          <w:rFonts w:ascii="楷体_GB2312" w:eastAsia="楷体_GB2312"/>
          <w:b/>
          <w:bCs/>
          <w:sz w:val="32"/>
          <w:szCs w:val="32"/>
        </w:rPr>
        <w:t>1</w:t>
      </w:r>
      <w:r>
        <w:rPr>
          <w:rFonts w:hint="eastAsia" w:ascii="楷体_GB2312" w:eastAsia="楷体_GB2312"/>
          <w:b/>
          <w:bCs/>
          <w:sz w:val="32"/>
          <w:szCs w:val="32"/>
        </w:rPr>
        <w:t xml:space="preserve"> WEB端登录</w:t>
      </w:r>
      <w:bookmarkEnd w:id="244"/>
    </w:p>
    <w:p>
      <w:pPr>
        <w:rPr>
          <w:b/>
          <w:bCs/>
        </w:rPr>
      </w:pPr>
      <w:r>
        <w:rPr>
          <w:rFonts w:hint="eastAsia"/>
        </w:rPr>
        <w:t>1、首先输入登录网址：</w:t>
      </w:r>
      <w:r>
        <w:fldChar w:fldCharType="begin"/>
      </w:r>
      <w:r>
        <w:instrText xml:space="preserve"> HYPERLINK "https://its.xinjiang.chinatax.gov.cn:8443/" </w:instrText>
      </w:r>
      <w:r>
        <w:fldChar w:fldCharType="separate"/>
      </w:r>
      <w:r>
        <w:rPr>
          <w:rStyle w:val="5"/>
        </w:rPr>
        <w:t>https://its.xinjiang.chinatax.gov.cn:8443/</w:t>
      </w:r>
      <w:r>
        <w:rPr>
          <w:rStyle w:val="5"/>
        </w:rPr>
        <w:fldChar w:fldCharType="end"/>
      </w:r>
    </w:p>
    <w:p>
      <w:pPr>
        <w:rPr>
          <w:b/>
          <w:bCs/>
        </w:rPr>
      </w:pPr>
    </w:p>
    <w:p>
      <w:r>
        <w:drawing>
          <wp:inline distT="0" distB="0" distL="114300" distR="114300">
            <wp:extent cx="5257800" cy="2571115"/>
            <wp:effectExtent l="0" t="0" r="0" b="63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58"/>
                    <a:stretch>
                      <a:fillRect/>
                    </a:stretch>
                  </pic:blipFill>
                  <pic:spPr>
                    <a:xfrm>
                      <a:off x="0" y="0"/>
                      <a:ext cx="5257800" cy="2571115"/>
                    </a:xfrm>
                    <a:prstGeom prst="rect">
                      <a:avLst/>
                    </a:prstGeom>
                    <a:noFill/>
                    <a:ln w="9525">
                      <a:noFill/>
                    </a:ln>
                  </pic:spPr>
                </pic:pic>
              </a:graphicData>
            </a:graphic>
          </wp:inline>
        </w:drawing>
      </w:r>
    </w:p>
    <w:p>
      <w:r>
        <mc:AlternateContent>
          <mc:Choice Requires="wps">
            <w:drawing>
              <wp:anchor distT="0" distB="0" distL="114300" distR="114300" simplePos="0" relativeHeight="251664384" behindDoc="0" locked="0" layoutInCell="1" allowOverlap="1">
                <wp:simplePos x="0" y="0"/>
                <wp:positionH relativeFrom="column">
                  <wp:posOffset>3804285</wp:posOffset>
                </wp:positionH>
                <wp:positionV relativeFrom="paragraph">
                  <wp:posOffset>450850</wp:posOffset>
                </wp:positionV>
                <wp:extent cx="447675" cy="161925"/>
                <wp:effectExtent l="13335" t="12700" r="5715" b="6350"/>
                <wp:wrapNone/>
                <wp:docPr id="33" name="流程图: 可选过程 33"/>
                <wp:cNvGraphicFramePr/>
                <a:graphic xmlns:a="http://schemas.openxmlformats.org/drawingml/2006/main">
                  <a:graphicData uri="http://schemas.microsoft.com/office/word/2010/wordprocessingShape">
                    <wps:wsp>
                      <wps:cNvSpPr>
                        <a:spLocks noChangeArrowheads="1"/>
                      </wps:cNvSpPr>
                      <wps:spPr bwMode="auto">
                        <a:xfrm>
                          <a:off x="0" y="0"/>
                          <a:ext cx="447675" cy="161925"/>
                        </a:xfrm>
                        <a:prstGeom prst="flowChartAlternateProcess">
                          <a:avLst/>
                        </a:prstGeom>
                        <a:noFill/>
                        <a:ln w="9525" cmpd="sng">
                          <a:solidFill>
                            <a:srgbClr val="FF0000"/>
                          </a:solidFill>
                          <a:miter lim="800000"/>
                        </a:ln>
                      </wps:spPr>
                      <wps:bodyPr rot="0" vert="horz" wrap="square" lIns="91440" tIns="45720" rIns="91440" bIns="45720" anchor="t" anchorCtr="0" upright="1">
                        <a:noAutofit/>
                      </wps:bodyPr>
                    </wps:wsp>
                  </a:graphicData>
                </a:graphic>
              </wp:anchor>
            </w:drawing>
          </mc:Choice>
          <mc:Fallback>
            <w:pict>
              <v:shape id="_x0000_s1026" o:spid="_x0000_s1026" o:spt="176" type="#_x0000_t176" style="position:absolute;left:0pt;margin-left:299.55pt;margin-top:35.5pt;height:12.75pt;width:35.25pt;z-index:251664384;mso-width-relative:page;mso-height-relative:page;" filled="f" stroked="t" coordsize="21600,21600" o:gfxdata="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vVUmD2AAAAAkBAAAPAAAAAAAAAAEAIAAAACIA&#10;AABkcnMvZG93bnJldi54bWxQSwECFAAUAAAACACHTuJA6FRLmkICAAAqBAAADgAAAAAAAAABACAA&#10;AAAnAQAAZHJzL2Uyb0RvYy54bWxQSwUGAAAAAAYABgBZAQAA2wUAAAAA&#10;">
                <v:fill on="f" focussize="0,0"/>
                <v:stroke color="#FF0000" miterlimit="8" joinstyle="miter"/>
                <v:imagedata o:title=""/>
                <o:lock v:ext="edit" aspectratio="f"/>
              </v:shape>
            </w:pict>
          </mc:Fallback>
        </mc:AlternateContent>
      </w:r>
      <w:r>
        <w:drawing>
          <wp:inline distT="0" distB="0" distL="0" distR="0">
            <wp:extent cx="5261610" cy="2475865"/>
            <wp:effectExtent l="0" t="0" r="0" b="63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5261610" cy="2475865"/>
                    </a:xfrm>
                    <a:prstGeom prst="rect">
                      <a:avLst/>
                    </a:prstGeom>
                    <a:noFill/>
                    <a:ln>
                      <a:noFill/>
                    </a:ln>
                  </pic:spPr>
                </pic:pic>
              </a:graphicData>
            </a:graphic>
          </wp:inline>
        </w:drawing>
      </w:r>
    </w:p>
    <w:p>
      <w:pPr>
        <w:rPr>
          <w:b/>
          <w:bCs/>
        </w:rPr>
      </w:pPr>
      <w:r>
        <w:rPr>
          <w:rFonts w:hint="eastAsia"/>
          <w:b/>
          <w:bCs/>
        </w:rPr>
        <w:t>前提：需要先在手机App登录成功</w:t>
      </w:r>
    </w:p>
    <w:p>
      <w:r>
        <w:drawing>
          <wp:inline distT="0" distB="0" distL="0" distR="0">
            <wp:extent cx="4712970" cy="2475865"/>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716842" cy="2477648"/>
                    </a:xfrm>
                    <a:prstGeom prst="rect">
                      <a:avLst/>
                    </a:prstGeom>
                    <a:noFill/>
                    <a:ln>
                      <a:noFill/>
                    </a:ln>
                  </pic:spPr>
                </pic:pic>
              </a:graphicData>
            </a:graphic>
          </wp:inline>
        </w:drawing>
      </w:r>
    </w:p>
    <w:p>
      <w:pPr>
        <w:rPr>
          <w:rFonts w:ascii="楷体_GB2312" w:eastAsia="楷体_GB2312"/>
          <w:b/>
          <w:bCs/>
          <w:sz w:val="32"/>
          <w:szCs w:val="32"/>
        </w:rPr>
      </w:pPr>
      <w:bookmarkStart w:id="245" w:name="_Toc3306"/>
      <w:bookmarkStart w:id="246" w:name="_Toc28903542"/>
      <w:r>
        <w:rPr>
          <w:rFonts w:ascii="楷体_GB2312" w:eastAsia="楷体_GB2312"/>
          <w:b/>
          <w:bCs/>
          <w:sz w:val="32"/>
          <w:szCs w:val="32"/>
        </w:rPr>
        <w:t>5</w:t>
      </w:r>
      <w:r>
        <w:rPr>
          <w:rFonts w:hint="eastAsia" w:ascii="楷体_GB2312" w:eastAsia="楷体_GB2312"/>
          <w:b/>
          <w:bCs/>
          <w:sz w:val="32"/>
          <w:szCs w:val="32"/>
        </w:rPr>
        <w:t>.1.</w:t>
      </w:r>
      <w:r>
        <w:rPr>
          <w:rFonts w:ascii="楷体_GB2312" w:eastAsia="楷体_GB2312"/>
          <w:b/>
          <w:bCs/>
          <w:sz w:val="32"/>
          <w:szCs w:val="32"/>
        </w:rPr>
        <w:t>2</w:t>
      </w:r>
      <w:r>
        <w:rPr>
          <w:rFonts w:hint="eastAsia" w:ascii="楷体_GB2312" w:eastAsia="楷体_GB2312"/>
          <w:b/>
          <w:bCs/>
          <w:sz w:val="32"/>
          <w:szCs w:val="32"/>
        </w:rPr>
        <w:t>经营所得个人所得税月（季）度申报</w:t>
      </w:r>
      <w:bookmarkEnd w:id="245"/>
      <w:r>
        <w:rPr>
          <w:rFonts w:hint="eastAsia" w:ascii="楷体_GB2312" w:eastAsia="楷体_GB2312"/>
          <w:b/>
          <w:bCs/>
          <w:sz w:val="32"/>
          <w:szCs w:val="32"/>
        </w:rPr>
        <w:t>（A表）</w:t>
      </w:r>
      <w:bookmarkEnd w:id="246"/>
    </w:p>
    <w:p>
      <w:r>
        <w:rPr>
          <w:rFonts w:hint="eastAsia"/>
        </w:rPr>
        <w:t>本表适用于查账征收经营</w:t>
      </w:r>
      <w:r>
        <w:t>所得</w:t>
      </w:r>
      <w:r>
        <w:rPr>
          <w:rFonts w:hint="eastAsia"/>
        </w:rPr>
        <w:t>个人所得税的个体工商户业主、企事业单位承包承租经营者、个人独资企业投资者和合伙企业自然人合伙人、</w:t>
      </w:r>
      <w:r>
        <w:t>从事其他生产、经营活动</w:t>
      </w:r>
      <w:r>
        <w:rPr>
          <w:rFonts w:hint="eastAsia"/>
        </w:rPr>
        <w:t>取</w:t>
      </w:r>
      <w:r>
        <w:t>得的所得的个</w:t>
      </w:r>
      <w:r>
        <w:rPr>
          <w:rFonts w:hint="eastAsia"/>
        </w:rPr>
        <w:t>人的预缴纳税申报，以及实行核定征收的纳税申报。</w:t>
      </w:r>
    </w:p>
    <w:p>
      <w:r>
        <w:rPr>
          <w:rFonts w:hint="eastAsia"/>
        </w:rPr>
        <w:t xml:space="preserve">合伙企业有两个或两个以上自然人合伙人的，应分别填报本表。             </w:t>
      </w:r>
    </w:p>
    <w:p>
      <w:r>
        <w:rPr>
          <w:rFonts w:hint="eastAsia"/>
        </w:rPr>
        <w:t>实行查账征收的个体工商户、个人独资企业、合伙企业，纳税人应在</w:t>
      </w:r>
      <w:r>
        <w:t>月度或者季度终了</w:t>
      </w:r>
      <w:r>
        <w:rPr>
          <w:rFonts w:hint="eastAsia"/>
        </w:rPr>
        <w:t>后</w:t>
      </w:r>
      <w:r>
        <w:t>十五日内</w:t>
      </w:r>
      <w:r>
        <w:rPr>
          <w:rFonts w:hint="eastAsia"/>
        </w:rPr>
        <w:t>办理预缴纳税申报；实行核定征收的，纳税人应在</w:t>
      </w:r>
      <w:r>
        <w:t>月度或者季度终了</w:t>
      </w:r>
      <w:r>
        <w:rPr>
          <w:rFonts w:hint="eastAsia"/>
        </w:rPr>
        <w:t>后</w:t>
      </w:r>
      <w:r>
        <w:t>十五日内</w:t>
      </w:r>
      <w:r>
        <w:rPr>
          <w:rFonts w:hint="eastAsia"/>
        </w:rPr>
        <w:t>办理纳税申报。</w:t>
      </w:r>
    </w:p>
    <w:p>
      <w:r>
        <w:rPr>
          <w:rFonts w:hint="eastAsia"/>
        </w:rPr>
        <w:t>有综合所得又有经营所得，则投资者减除费用、专项扣除、专项附加扣除、依法确定的其他扣除，只能在综合所得中扣除。</w:t>
      </w:r>
    </w:p>
    <w:p>
      <w:pPr>
        <w:rPr>
          <w:b/>
          <w:bCs/>
        </w:rPr>
      </w:pPr>
      <w:r>
        <w:rPr>
          <w:rFonts w:hint="eastAsia"/>
          <w:b/>
          <w:bCs/>
        </w:rPr>
        <w:t>操作步骤：</w:t>
      </w:r>
    </w:p>
    <w:p>
      <w:pPr>
        <w:numPr>
          <w:ilvl w:val="0"/>
          <w:numId w:val="17"/>
        </w:numPr>
        <w:ind w:firstLine="420" w:firstLineChars="200"/>
      </w:pPr>
      <w:r>
        <w:rPr>
          <w:rFonts w:hint="eastAsia"/>
        </w:rPr>
        <w:t>点击【经营所得个人所得税月（季）度申报】（A表），选择</w:t>
      </w:r>
      <w:r>
        <w:t>对应需要申报的年份</w:t>
      </w:r>
      <w:r>
        <w:rPr>
          <w:rFonts w:hint="eastAsia"/>
        </w:rPr>
        <w:t>，录入被投资单位统一社会信用代码，相关信息自动带出。如被投资单位类型是合伙企业则会带出合伙人分配比例；征收方式（大类）分为“查账征收”和“核定征收”，需选择征收方式（小类）；</w:t>
      </w:r>
    </w:p>
    <w:p>
      <w:r>
        <w:drawing>
          <wp:inline distT="0" distB="0" distL="114300" distR="114300">
            <wp:extent cx="5255895" cy="3146425"/>
            <wp:effectExtent l="9525" t="9525" r="11430" b="25400"/>
            <wp:docPr id="9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4"/>
                    <pic:cNvPicPr>
                      <a:picLocks noChangeAspect="1"/>
                    </pic:cNvPicPr>
                  </pic:nvPicPr>
                  <pic:blipFill>
                    <a:blip r:embed="rId61"/>
                    <a:stretch>
                      <a:fillRect/>
                    </a:stretch>
                  </pic:blipFill>
                  <pic:spPr>
                    <a:xfrm>
                      <a:off x="0" y="0"/>
                      <a:ext cx="5255895" cy="3146425"/>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17"/>
        </w:numPr>
        <w:ind w:firstLine="420" w:firstLineChars="200"/>
      </w:pPr>
      <w:r>
        <w:rPr>
          <w:rFonts w:hint="eastAsia"/>
        </w:rPr>
        <w:t>根据不同的征收方式（小类），录入相应计税信息；</w:t>
      </w:r>
    </w:p>
    <w:p>
      <w:r>
        <w:drawing>
          <wp:inline distT="0" distB="0" distL="114300" distR="114300">
            <wp:extent cx="5255895" cy="3431540"/>
            <wp:effectExtent l="9525" t="9525" r="11430" b="26035"/>
            <wp:docPr id="1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5"/>
                    <pic:cNvPicPr>
                      <a:picLocks noChangeAspect="1"/>
                    </pic:cNvPicPr>
                  </pic:nvPicPr>
                  <pic:blipFill>
                    <a:blip r:embed="rId62"/>
                    <a:stretch>
                      <a:fillRect/>
                    </a:stretch>
                  </pic:blipFill>
                  <pic:spPr>
                    <a:xfrm>
                      <a:off x="0" y="0"/>
                      <a:ext cx="5255895" cy="3431540"/>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17"/>
        </w:numPr>
        <w:ind w:firstLine="420" w:firstLineChars="200"/>
      </w:pPr>
      <w:r>
        <w:rPr>
          <w:rFonts w:hint="eastAsia"/>
        </w:rPr>
        <w:t>选填减免税额和税收协定优惠事项，若无则直接点击</w:t>
      </w:r>
      <w:r>
        <w:rPr>
          <w:rFonts w:hint="eastAsia"/>
          <w:bCs/>
        </w:rPr>
        <w:t>【</w:t>
      </w:r>
      <w:r>
        <w:rPr>
          <w:rFonts w:hint="eastAsia"/>
        </w:rPr>
        <w:t>下一步</w:t>
      </w:r>
      <w:r>
        <w:rPr>
          <w:rFonts w:hint="eastAsia"/>
          <w:bCs/>
        </w:rPr>
        <w:t>】；</w:t>
      </w:r>
    </w:p>
    <w:p>
      <w:r>
        <w:drawing>
          <wp:inline distT="0" distB="0" distL="114300" distR="114300">
            <wp:extent cx="5255895" cy="4218940"/>
            <wp:effectExtent l="9525" t="9525" r="11430" b="19685"/>
            <wp:docPr id="11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6"/>
                    <pic:cNvPicPr>
                      <a:picLocks noChangeAspect="1"/>
                    </pic:cNvPicPr>
                  </pic:nvPicPr>
                  <pic:blipFill>
                    <a:blip r:embed="rId63"/>
                    <a:stretch>
                      <a:fillRect/>
                    </a:stretch>
                  </pic:blipFill>
                  <pic:spPr>
                    <a:xfrm>
                      <a:off x="0" y="0"/>
                      <a:ext cx="5255895" cy="4218940"/>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17"/>
        </w:numPr>
        <w:ind w:firstLine="420" w:firstLineChars="200"/>
      </w:pPr>
      <w:r>
        <w:rPr>
          <w:rFonts w:hint="eastAsia"/>
        </w:rPr>
        <w:t>确认申报信息后点击【提交】，如企业类型为合伙企业，则计算公式和明细自动带出合伙企业合伙人分配比例，可在申报成功的页面立即缴款或查看申报记录。</w:t>
      </w:r>
    </w:p>
    <w:p>
      <w:r>
        <w:drawing>
          <wp:inline distT="0" distB="0" distL="114300" distR="114300">
            <wp:extent cx="5255895" cy="6409690"/>
            <wp:effectExtent l="9525" t="9525" r="11430" b="19685"/>
            <wp:docPr id="12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7"/>
                    <pic:cNvPicPr>
                      <a:picLocks noChangeAspect="1"/>
                    </pic:cNvPicPr>
                  </pic:nvPicPr>
                  <pic:blipFill>
                    <a:blip r:embed="rId64"/>
                    <a:srcRect b="8932"/>
                    <a:stretch>
                      <a:fillRect/>
                    </a:stretch>
                  </pic:blipFill>
                  <pic:spPr>
                    <a:xfrm>
                      <a:off x="0" y="0"/>
                      <a:ext cx="5255895" cy="6409690"/>
                    </a:xfrm>
                    <a:prstGeom prst="rect">
                      <a:avLst/>
                    </a:prstGeom>
                    <a:noFill/>
                    <a:ln w="9525" cap="flat" cmpd="sng">
                      <a:solidFill>
                        <a:srgbClr val="D9D9D9"/>
                      </a:solidFill>
                      <a:prstDash val="solid"/>
                      <a:miter/>
                      <a:headEnd type="none" w="med" len="med"/>
                      <a:tailEnd type="none" w="med" len="med"/>
                    </a:ln>
                  </pic:spPr>
                </pic:pic>
              </a:graphicData>
            </a:graphic>
          </wp:inline>
        </w:drawing>
      </w:r>
    </w:p>
    <w:p/>
    <w:p>
      <w:pPr>
        <w:rPr>
          <w:rFonts w:ascii="楷体_GB2312" w:eastAsia="楷体_GB2312"/>
          <w:b/>
          <w:bCs/>
          <w:sz w:val="32"/>
          <w:szCs w:val="32"/>
        </w:rPr>
      </w:pPr>
      <w:r>
        <w:rPr>
          <w:rFonts w:ascii="楷体_GB2312" w:eastAsia="楷体_GB2312"/>
          <w:b/>
          <w:bCs/>
          <w:sz w:val="32"/>
          <w:szCs w:val="32"/>
        </w:rPr>
        <w:t>5</w:t>
      </w:r>
      <w:r>
        <w:rPr>
          <w:rFonts w:hint="eastAsia" w:ascii="楷体_GB2312" w:eastAsia="楷体_GB2312"/>
          <w:b/>
          <w:bCs/>
          <w:sz w:val="32"/>
          <w:szCs w:val="32"/>
        </w:rPr>
        <w:t>.1.3经营所得个人所得税年度申报（ITS）</w:t>
      </w:r>
    </w:p>
    <w:p>
      <w:r>
        <w:rPr>
          <w:rFonts w:hint="eastAsia"/>
        </w:rPr>
        <w:t>《经营所得个人所得税年度申报》适用于查账征收的个体工商户业主、企事业单位承包承租经营者、个人独资企业投资者和合伙企业自然人合伙人在中国境内取得经营所得的个人所得税2019年及以后纳税年度的汇算清缴。</w:t>
      </w:r>
    </w:p>
    <w:p>
      <w:pPr>
        <w:rPr>
          <w:b/>
          <w:bCs/>
        </w:rPr>
      </w:pPr>
      <w:r>
        <w:rPr>
          <w:rFonts w:hint="eastAsia"/>
          <w:b/>
          <w:bCs/>
        </w:rPr>
        <w:t>操作步骤：</w:t>
      </w:r>
    </w:p>
    <w:p>
      <w:pPr>
        <w:numPr>
          <w:ilvl w:val="0"/>
          <w:numId w:val="18"/>
        </w:numPr>
        <w:tabs>
          <w:tab w:val="clear" w:pos="312"/>
        </w:tabs>
        <w:ind w:firstLine="420" w:firstLineChars="200"/>
      </w:pPr>
      <w:r>
        <w:rPr>
          <w:rFonts w:hint="eastAsia"/>
        </w:rPr>
        <w:t>点击经营所得个人所得税年度申报（ITS），选择申报年度，点击确定。</w:t>
      </w:r>
    </w:p>
    <w:p>
      <w:r>
        <w:drawing>
          <wp:inline distT="0" distB="0" distL="114300" distR="114300">
            <wp:extent cx="5271770" cy="2216150"/>
            <wp:effectExtent l="0" t="0" r="5080" b="12700"/>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65"/>
                    <a:stretch>
                      <a:fillRect/>
                    </a:stretch>
                  </pic:blipFill>
                  <pic:spPr>
                    <a:xfrm>
                      <a:off x="0" y="0"/>
                      <a:ext cx="5271770" cy="2216150"/>
                    </a:xfrm>
                    <a:prstGeom prst="rect">
                      <a:avLst/>
                    </a:prstGeom>
                    <a:noFill/>
                    <a:ln w="9525">
                      <a:noFill/>
                    </a:ln>
                  </pic:spPr>
                </pic:pic>
              </a:graphicData>
            </a:graphic>
          </wp:inline>
        </w:drawing>
      </w:r>
    </w:p>
    <w:p>
      <w:pPr>
        <w:numPr>
          <w:ilvl w:val="0"/>
          <w:numId w:val="18"/>
        </w:numPr>
        <w:tabs>
          <w:tab w:val="clear" w:pos="312"/>
        </w:tabs>
        <w:ind w:firstLine="420" w:firstLineChars="200"/>
      </w:pPr>
      <w:r>
        <w:rPr>
          <w:rFonts w:hint="eastAsia"/>
        </w:rPr>
        <w:t>录入被投资单位社会信用代码，选择相应单位所在省份，点击搜索，确认添加，选择相应单位信息，点击下一步；录入收入成本信息，若存在</w:t>
      </w:r>
      <w:r>
        <w:t>其中国债利息收入</w:t>
      </w:r>
      <w:r>
        <w:rPr>
          <w:rFonts w:hint="eastAsia"/>
        </w:rPr>
        <w:t>，填入相应金额，点击下一步，录入纳税调整增加/减少额，点击下一步；录入其他税前减免事项，</w:t>
      </w:r>
      <w:r>
        <w:t>弥补以前年度亏损</w:t>
      </w:r>
      <w:r>
        <w:rPr>
          <w:rFonts w:hint="eastAsia"/>
        </w:rPr>
        <w:t>，</w:t>
      </w:r>
      <w:r>
        <w:t>投资抵扣</w:t>
      </w:r>
      <w:r>
        <w:rPr>
          <w:rFonts w:hint="eastAsia"/>
        </w:rPr>
        <w:t>，</w:t>
      </w:r>
      <w:r>
        <w:t>准予扣除的个人捐赠支出</w:t>
      </w:r>
      <w:r>
        <w:rPr>
          <w:rFonts w:hint="eastAsia"/>
        </w:rPr>
        <w:t>，是否有综合所得，点击下一步；核对申报信息，点击提交即可。</w:t>
      </w:r>
    </w:p>
    <w:p>
      <w:r>
        <w:drawing>
          <wp:inline distT="0" distB="0" distL="114300" distR="114300">
            <wp:extent cx="5262880" cy="3865245"/>
            <wp:effectExtent l="0" t="0" r="13970" b="1905"/>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66"/>
                    <a:stretch>
                      <a:fillRect/>
                    </a:stretch>
                  </pic:blipFill>
                  <pic:spPr>
                    <a:xfrm>
                      <a:off x="0" y="0"/>
                      <a:ext cx="5262880" cy="3865245"/>
                    </a:xfrm>
                    <a:prstGeom prst="rect">
                      <a:avLst/>
                    </a:prstGeom>
                    <a:noFill/>
                    <a:ln w="9525">
                      <a:noFill/>
                    </a:ln>
                  </pic:spPr>
                </pic:pic>
              </a:graphicData>
            </a:graphic>
          </wp:inline>
        </w:drawing>
      </w:r>
      <w:r>
        <w:drawing>
          <wp:inline distT="0" distB="0" distL="114300" distR="114300">
            <wp:extent cx="5273675" cy="3432175"/>
            <wp:effectExtent l="0" t="0" r="3175" b="15875"/>
            <wp:docPr id="6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
                    <pic:cNvPicPr>
                      <a:picLocks noChangeAspect="1"/>
                    </pic:cNvPicPr>
                  </pic:nvPicPr>
                  <pic:blipFill>
                    <a:blip r:embed="rId67"/>
                    <a:stretch>
                      <a:fillRect/>
                    </a:stretch>
                  </pic:blipFill>
                  <pic:spPr>
                    <a:xfrm>
                      <a:off x="0" y="0"/>
                      <a:ext cx="5273675" cy="3432175"/>
                    </a:xfrm>
                    <a:prstGeom prst="rect">
                      <a:avLst/>
                    </a:prstGeom>
                    <a:noFill/>
                    <a:ln w="9525">
                      <a:noFill/>
                    </a:ln>
                  </pic:spPr>
                </pic:pic>
              </a:graphicData>
            </a:graphic>
          </wp:inline>
        </w:drawing>
      </w:r>
    </w:p>
    <w:p>
      <w:r>
        <w:drawing>
          <wp:inline distT="0" distB="0" distL="114300" distR="114300">
            <wp:extent cx="5271135" cy="3834765"/>
            <wp:effectExtent l="0" t="0" r="5715" b="13335"/>
            <wp:docPr id="6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
                    <pic:cNvPicPr>
                      <a:picLocks noChangeAspect="1"/>
                    </pic:cNvPicPr>
                  </pic:nvPicPr>
                  <pic:blipFill>
                    <a:blip r:embed="rId68"/>
                    <a:stretch>
                      <a:fillRect/>
                    </a:stretch>
                  </pic:blipFill>
                  <pic:spPr>
                    <a:xfrm>
                      <a:off x="0" y="0"/>
                      <a:ext cx="5271135" cy="3834765"/>
                    </a:xfrm>
                    <a:prstGeom prst="rect">
                      <a:avLst/>
                    </a:prstGeom>
                    <a:noFill/>
                    <a:ln w="9525">
                      <a:noFill/>
                    </a:ln>
                  </pic:spPr>
                </pic:pic>
              </a:graphicData>
            </a:graphic>
          </wp:inline>
        </w:drawing>
      </w:r>
    </w:p>
    <w:p>
      <w:r>
        <w:drawing>
          <wp:inline distT="0" distB="0" distL="114300" distR="114300">
            <wp:extent cx="5273675" cy="3900170"/>
            <wp:effectExtent l="0" t="0" r="3175" b="5080"/>
            <wp:docPr id="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
                    <pic:cNvPicPr>
                      <a:picLocks noChangeAspect="1"/>
                    </pic:cNvPicPr>
                  </pic:nvPicPr>
                  <pic:blipFill>
                    <a:blip r:embed="rId69"/>
                    <a:stretch>
                      <a:fillRect/>
                    </a:stretch>
                  </pic:blipFill>
                  <pic:spPr>
                    <a:xfrm>
                      <a:off x="0" y="0"/>
                      <a:ext cx="5273675" cy="3900170"/>
                    </a:xfrm>
                    <a:prstGeom prst="rect">
                      <a:avLst/>
                    </a:prstGeom>
                    <a:noFill/>
                    <a:ln w="9525">
                      <a:noFill/>
                    </a:ln>
                  </pic:spPr>
                </pic:pic>
              </a:graphicData>
            </a:graphic>
          </wp:inline>
        </w:drawing>
      </w:r>
    </w:p>
    <w:p>
      <w:r>
        <w:drawing>
          <wp:inline distT="0" distB="0" distL="114300" distR="114300">
            <wp:extent cx="5264785" cy="3705225"/>
            <wp:effectExtent l="0" t="0" r="12065" b="952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70"/>
                    <a:stretch>
                      <a:fillRect/>
                    </a:stretch>
                  </pic:blipFill>
                  <pic:spPr>
                    <a:xfrm>
                      <a:off x="0" y="0"/>
                      <a:ext cx="5264785" cy="3705225"/>
                    </a:xfrm>
                    <a:prstGeom prst="rect">
                      <a:avLst/>
                    </a:prstGeom>
                    <a:noFill/>
                    <a:ln w="9525">
                      <a:noFill/>
                    </a:ln>
                  </pic:spPr>
                </pic:pic>
              </a:graphicData>
            </a:graphic>
          </wp:inline>
        </w:drawing>
      </w:r>
    </w:p>
    <w:p>
      <w:r>
        <w:drawing>
          <wp:inline distT="0" distB="0" distL="114300" distR="114300">
            <wp:extent cx="5269865" cy="3314700"/>
            <wp:effectExtent l="0" t="0" r="6985" b="0"/>
            <wp:docPr id="7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1"/>
                    <pic:cNvPicPr>
                      <a:picLocks noChangeAspect="1"/>
                    </pic:cNvPicPr>
                  </pic:nvPicPr>
                  <pic:blipFill>
                    <a:blip r:embed="rId71"/>
                    <a:stretch>
                      <a:fillRect/>
                    </a:stretch>
                  </pic:blipFill>
                  <pic:spPr>
                    <a:xfrm>
                      <a:off x="0" y="0"/>
                      <a:ext cx="5269865" cy="3314700"/>
                    </a:xfrm>
                    <a:prstGeom prst="rect">
                      <a:avLst/>
                    </a:prstGeom>
                    <a:noFill/>
                    <a:ln w="9525">
                      <a:noFill/>
                    </a:ln>
                  </pic:spPr>
                </pic:pic>
              </a:graphicData>
            </a:graphic>
          </wp:inline>
        </w:drawing>
      </w:r>
      <w:r>
        <w:drawing>
          <wp:inline distT="0" distB="0" distL="114300" distR="114300">
            <wp:extent cx="5266690" cy="3943985"/>
            <wp:effectExtent l="0" t="0" r="10160" b="18415"/>
            <wp:docPr id="7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2"/>
                    <pic:cNvPicPr>
                      <a:picLocks noChangeAspect="1"/>
                    </pic:cNvPicPr>
                  </pic:nvPicPr>
                  <pic:blipFill>
                    <a:blip r:embed="rId72"/>
                    <a:stretch>
                      <a:fillRect/>
                    </a:stretch>
                  </pic:blipFill>
                  <pic:spPr>
                    <a:xfrm>
                      <a:off x="0" y="0"/>
                      <a:ext cx="5266690" cy="3943985"/>
                    </a:xfrm>
                    <a:prstGeom prst="rect">
                      <a:avLst/>
                    </a:prstGeom>
                    <a:noFill/>
                    <a:ln w="9525">
                      <a:noFill/>
                    </a:ln>
                  </pic:spPr>
                </pic:pic>
              </a:graphicData>
            </a:graphic>
          </wp:inline>
        </w:drawing>
      </w:r>
    </w:p>
    <w:p>
      <w:pPr>
        <w:rPr>
          <w:rFonts w:ascii="楷体_GB2312" w:eastAsia="楷体_GB2312"/>
          <w:b/>
          <w:bCs/>
          <w:sz w:val="32"/>
          <w:szCs w:val="32"/>
        </w:rPr>
      </w:pPr>
      <w:bookmarkStart w:id="247" w:name="_Toc15139"/>
      <w:bookmarkStart w:id="248" w:name="_Toc17852"/>
      <w:bookmarkStart w:id="249" w:name="_Toc7192"/>
      <w:bookmarkStart w:id="250" w:name="_Toc7063"/>
      <w:bookmarkStart w:id="251" w:name="_Toc7825"/>
      <w:bookmarkStart w:id="252" w:name="_Toc13823"/>
      <w:bookmarkStart w:id="253" w:name="_Toc28903543"/>
      <w:r>
        <w:rPr>
          <w:rFonts w:ascii="楷体_GB2312" w:eastAsia="楷体_GB2312"/>
          <w:b/>
          <w:bCs/>
          <w:sz w:val="32"/>
          <w:szCs w:val="32"/>
        </w:rPr>
        <w:t>5</w:t>
      </w:r>
      <w:r>
        <w:rPr>
          <w:rFonts w:hint="eastAsia" w:ascii="楷体_GB2312" w:eastAsia="楷体_GB2312"/>
          <w:b/>
          <w:bCs/>
          <w:sz w:val="32"/>
          <w:szCs w:val="32"/>
        </w:rPr>
        <w:t>.2. 申报辅助功能</w:t>
      </w:r>
      <w:bookmarkEnd w:id="247"/>
      <w:bookmarkEnd w:id="248"/>
      <w:bookmarkEnd w:id="249"/>
      <w:bookmarkEnd w:id="250"/>
      <w:bookmarkEnd w:id="251"/>
      <w:bookmarkEnd w:id="252"/>
      <w:bookmarkEnd w:id="253"/>
    </w:p>
    <w:p>
      <w:r>
        <w:rPr>
          <w:rFonts w:hint="eastAsia"/>
        </w:rPr>
        <w:t>纳税人办理纳税申报后，发现申报表填写的金额、所得项目等存在错误，可通过本功能进行更正和作废申报。</w:t>
      </w:r>
    </w:p>
    <w:p>
      <w:pPr>
        <w:rPr>
          <w:rFonts w:ascii="楷体_GB2312" w:eastAsia="楷体_GB2312"/>
          <w:b/>
          <w:bCs/>
          <w:sz w:val="32"/>
          <w:szCs w:val="32"/>
        </w:rPr>
      </w:pPr>
      <w:bookmarkStart w:id="254" w:name="_Toc11704"/>
      <w:r>
        <w:rPr>
          <w:rFonts w:ascii="楷体_GB2312" w:eastAsia="楷体_GB2312"/>
          <w:b/>
          <w:bCs/>
          <w:sz w:val="32"/>
          <w:szCs w:val="32"/>
        </w:rPr>
        <w:t>5</w:t>
      </w:r>
      <w:r>
        <w:rPr>
          <w:rFonts w:hint="eastAsia" w:ascii="楷体_GB2312" w:eastAsia="楷体_GB2312"/>
          <w:b/>
          <w:bCs/>
          <w:sz w:val="32"/>
          <w:szCs w:val="32"/>
        </w:rPr>
        <w:t>.2.1 申报更正</w:t>
      </w:r>
      <w:bookmarkEnd w:id="254"/>
    </w:p>
    <w:p>
      <w:r>
        <w:rPr>
          <w:rFonts w:hint="eastAsia"/>
        </w:rPr>
        <w:t>本功能用于已申报成功发现有误的报表可进行更正重新申报。</w:t>
      </w:r>
    </w:p>
    <w:p>
      <w:r>
        <w:rPr>
          <w:rFonts w:hint="eastAsia"/>
          <w:b/>
          <w:bCs/>
        </w:rPr>
        <w:t>操作步骤</w:t>
      </w:r>
      <w:r>
        <w:rPr>
          <w:rFonts w:hint="eastAsia"/>
        </w:rPr>
        <w:t>：</w:t>
      </w:r>
    </w:p>
    <w:p>
      <w:r>
        <w:rPr>
          <w:rFonts w:hint="eastAsia"/>
        </w:rPr>
        <w:t>点击【申报管理】-【已申报】-【未完成】或【已完成】，选择对应申报项目点击【查看】，需要更正则点击【修改】，即可对报表信息进行更正，再重新申报即可。</w:t>
      </w:r>
    </w:p>
    <w:p>
      <w:r>
        <w:drawing>
          <wp:inline distT="0" distB="0" distL="114300" distR="114300">
            <wp:extent cx="5255895" cy="2426970"/>
            <wp:effectExtent l="9525" t="9525" r="11430" b="20955"/>
            <wp:docPr id="11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8"/>
                    <pic:cNvPicPr>
                      <a:picLocks noChangeAspect="1"/>
                    </pic:cNvPicPr>
                  </pic:nvPicPr>
                  <pic:blipFill>
                    <a:blip r:embed="rId73"/>
                    <a:stretch>
                      <a:fillRect/>
                    </a:stretch>
                  </pic:blipFill>
                  <pic:spPr>
                    <a:xfrm>
                      <a:off x="0" y="0"/>
                      <a:ext cx="5255895" cy="2426970"/>
                    </a:xfrm>
                    <a:prstGeom prst="rect">
                      <a:avLst/>
                    </a:prstGeom>
                    <a:noFill/>
                    <a:ln w="9525" cap="flat" cmpd="sng">
                      <a:solidFill>
                        <a:srgbClr val="D9D9D9"/>
                      </a:solidFill>
                      <a:prstDash val="solid"/>
                      <a:miter/>
                      <a:headEnd type="none" w="med" len="med"/>
                      <a:tailEnd type="none" w="med" len="med"/>
                    </a:ln>
                  </pic:spPr>
                </pic:pic>
              </a:graphicData>
            </a:graphic>
          </wp:inline>
        </w:drawing>
      </w:r>
    </w:p>
    <w:p>
      <w:r>
        <mc:AlternateContent>
          <mc:Choice Requires="wps">
            <w:drawing>
              <wp:anchor distT="0" distB="0" distL="114300" distR="114300" simplePos="0" relativeHeight="251663360" behindDoc="0" locked="0" layoutInCell="1" allowOverlap="1">
                <wp:simplePos x="0" y="0"/>
                <wp:positionH relativeFrom="column">
                  <wp:posOffset>4138295</wp:posOffset>
                </wp:positionH>
                <wp:positionV relativeFrom="paragraph">
                  <wp:posOffset>1282065</wp:posOffset>
                </wp:positionV>
                <wp:extent cx="352425" cy="200025"/>
                <wp:effectExtent l="0" t="0" r="0" b="0"/>
                <wp:wrapNone/>
                <wp:docPr id="116" name="矩形 116"/>
                <wp:cNvGraphicFramePr/>
                <a:graphic xmlns:a="http://schemas.openxmlformats.org/drawingml/2006/main">
                  <a:graphicData uri="http://schemas.microsoft.com/office/word/2010/wordprocessingShape">
                    <wps:wsp>
                      <wps:cNvSpPr/>
                      <wps:spPr>
                        <a:xfrm>
                          <a:off x="0" y="0"/>
                          <a:ext cx="352425" cy="200025"/>
                        </a:xfrm>
                        <a:prstGeom prst="rect">
                          <a:avLst/>
                        </a:prstGeom>
                        <a:noFill/>
                        <a:ln w="9525">
                          <a:noFill/>
                        </a:ln>
                        <a:effectLst/>
                      </wps:spPr>
                      <wps:bodyPr wrap="square" upright="1"/>
                    </wps:wsp>
                  </a:graphicData>
                </a:graphic>
              </wp:anchor>
            </w:drawing>
          </mc:Choice>
          <mc:Fallback>
            <w:pict>
              <v:rect id="_x0000_s1026" o:spid="_x0000_s1026" o:spt="1" style="position:absolute;left:0pt;margin-left:325.85pt;margin-top:100.95pt;height:15.75pt;width:27.75pt;z-index:251663360;mso-width-relative:page;mso-height-relative:page;" filled="f" stroked="f" coordsize="21600,21600" o:gfxdata="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">
                <v:fill on="f" focussize="0,0"/>
                <v:stroke on="f"/>
                <v:imagedata o:title=""/>
                <o:lock v:ext="edit" aspectratio="f"/>
              </v:rect>
            </w:pict>
          </mc:Fallback>
        </mc:AlternateContent>
      </w:r>
      <w:r>
        <w:drawing>
          <wp:inline distT="0" distB="0" distL="114300" distR="114300">
            <wp:extent cx="5255895" cy="5782310"/>
            <wp:effectExtent l="9525" t="9525" r="11430" b="18415"/>
            <wp:docPr id="12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9"/>
                    <pic:cNvPicPr>
                      <a:picLocks noChangeAspect="1"/>
                    </pic:cNvPicPr>
                  </pic:nvPicPr>
                  <pic:blipFill>
                    <a:blip r:embed="rId74"/>
                    <a:stretch>
                      <a:fillRect/>
                    </a:stretch>
                  </pic:blipFill>
                  <pic:spPr>
                    <a:xfrm>
                      <a:off x="0" y="0"/>
                      <a:ext cx="5255895" cy="578231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b/>
          <w:bCs/>
        </w:rPr>
      </w:pPr>
      <w:r>
        <w:rPr>
          <w:rFonts w:hint="eastAsia"/>
          <w:b/>
          <w:bCs/>
        </w:rPr>
        <w:t>注意事项：</w:t>
      </w:r>
    </w:p>
    <w:p>
      <w:pPr>
        <w:numPr>
          <w:ilvl w:val="0"/>
          <w:numId w:val="19"/>
        </w:numPr>
        <w:ind w:firstLine="420" w:firstLineChars="200"/>
      </w:pPr>
      <w:r>
        <w:rPr>
          <w:rFonts w:hint="eastAsia"/>
        </w:rPr>
        <w:t>经营所得个人所得税月（季）度申报（A表）</w:t>
      </w:r>
    </w:p>
    <w:p>
      <w:pPr>
        <w:numPr>
          <w:ilvl w:val="0"/>
          <w:numId w:val="20"/>
        </w:numPr>
        <w:ind w:firstLine="420" w:firstLineChars="200"/>
      </w:pPr>
      <w:r>
        <w:rPr>
          <w:rFonts w:hint="eastAsia"/>
        </w:rPr>
        <w:t>相同纳税人、相同被投资单位、相同年度已进行经营所得年度B表申报，则不允许更正A表；</w:t>
      </w:r>
    </w:p>
    <w:p>
      <w:pPr>
        <w:numPr>
          <w:ilvl w:val="0"/>
          <w:numId w:val="20"/>
        </w:numPr>
        <w:ind w:firstLine="420" w:firstLineChars="200"/>
      </w:pPr>
      <w:r>
        <w:rPr>
          <w:rFonts w:hint="eastAsia"/>
        </w:rPr>
        <w:t>A表已申报信息中存在税款所属期止大于当前税款所属期止的申报记录，则属于后期已申报，存在后期已申报时，不允许更正；</w:t>
      </w:r>
    </w:p>
    <w:p>
      <w:pPr>
        <w:numPr>
          <w:ilvl w:val="0"/>
          <w:numId w:val="20"/>
        </w:numPr>
        <w:ind w:firstLine="420" w:firstLineChars="200"/>
      </w:pPr>
      <w:r>
        <w:rPr>
          <w:rFonts w:hint="eastAsia"/>
        </w:rPr>
        <w:t>被投资单位信息不可修改。</w:t>
      </w:r>
    </w:p>
    <w:p>
      <w:pPr>
        <w:numPr>
          <w:ilvl w:val="0"/>
          <w:numId w:val="20"/>
        </w:numPr>
        <w:ind w:firstLine="420" w:firstLineChars="200"/>
      </w:pPr>
      <w:r>
        <w:rPr>
          <w:rFonts w:hint="eastAsia"/>
        </w:rPr>
        <w:t>若点击了【立即缴费】并生成订单，在没有完成缴税或者订单未作废情况下，则不能进行更正。</w:t>
      </w:r>
    </w:p>
    <w:p>
      <w:pPr>
        <w:rPr>
          <w:rFonts w:ascii="楷体_GB2312" w:eastAsia="楷体_GB2312"/>
          <w:b/>
          <w:bCs/>
          <w:sz w:val="32"/>
          <w:szCs w:val="32"/>
        </w:rPr>
      </w:pPr>
      <w:bookmarkStart w:id="255" w:name="_Toc29921"/>
      <w:r>
        <w:rPr>
          <w:rFonts w:ascii="楷体_GB2312" w:eastAsia="楷体_GB2312"/>
          <w:b/>
          <w:bCs/>
          <w:sz w:val="32"/>
          <w:szCs w:val="32"/>
        </w:rPr>
        <w:t>5</w:t>
      </w:r>
      <w:r>
        <w:rPr>
          <w:rFonts w:hint="eastAsia" w:ascii="楷体_GB2312" w:eastAsia="楷体_GB2312"/>
          <w:b/>
          <w:bCs/>
          <w:sz w:val="32"/>
          <w:szCs w:val="32"/>
        </w:rPr>
        <w:t>.2.2申报作废</w:t>
      </w:r>
      <w:bookmarkEnd w:id="255"/>
    </w:p>
    <w:p>
      <w:r>
        <w:rPr>
          <w:rFonts w:hint="eastAsia"/>
        </w:rPr>
        <w:t>本功能用于已申报成功发现有误的报表可进行作废，发生已开票或发生抵缴业务时，则无法作废。</w:t>
      </w:r>
    </w:p>
    <w:p>
      <w:pPr>
        <w:rPr>
          <w:b/>
          <w:bCs/>
          <w:iCs/>
        </w:rPr>
      </w:pPr>
      <w:r>
        <w:rPr>
          <w:rFonts w:hint="eastAsia"/>
          <w:b/>
          <w:bCs/>
          <w:iCs/>
        </w:rPr>
        <w:t>操作步骤：</w:t>
      </w:r>
    </w:p>
    <w:p>
      <w:pPr>
        <w:numPr>
          <w:ilvl w:val="0"/>
          <w:numId w:val="21"/>
        </w:numPr>
        <w:ind w:firstLine="420" w:firstLineChars="200"/>
      </w:pPr>
      <w:r>
        <w:rPr>
          <w:rFonts w:hint="eastAsia"/>
        </w:rPr>
        <w:t>点击【申报管理】-【已申报】-【未完成】或【已完成】，选择对应申报项目点击【作废】；</w:t>
      </w:r>
    </w:p>
    <w:p>
      <w:r>
        <w:drawing>
          <wp:inline distT="0" distB="0" distL="114300" distR="114300">
            <wp:extent cx="5255895" cy="2189480"/>
            <wp:effectExtent l="9525" t="9525" r="11430" b="10795"/>
            <wp:docPr id="1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0"/>
                    <pic:cNvPicPr>
                      <a:picLocks noChangeAspect="1"/>
                    </pic:cNvPicPr>
                  </pic:nvPicPr>
                  <pic:blipFill>
                    <a:blip r:embed="rId75"/>
                    <a:stretch>
                      <a:fillRect/>
                    </a:stretch>
                  </pic:blipFill>
                  <pic:spPr>
                    <a:xfrm>
                      <a:off x="0" y="0"/>
                      <a:ext cx="5255895" cy="2189480"/>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1"/>
        </w:numPr>
        <w:ind w:firstLine="420" w:firstLineChars="200"/>
      </w:pPr>
      <w:r>
        <w:rPr>
          <w:rFonts w:hint="eastAsia"/>
        </w:rPr>
        <w:t>点击【已作废】，可查看已作废成功的申报项目。</w:t>
      </w:r>
    </w:p>
    <w:p>
      <w:r>
        <w:drawing>
          <wp:inline distT="0" distB="0" distL="114300" distR="114300">
            <wp:extent cx="5255895" cy="2117090"/>
            <wp:effectExtent l="9525" t="9525" r="11430" b="26035"/>
            <wp:docPr id="11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31"/>
                    <pic:cNvPicPr>
                      <a:picLocks noChangeAspect="1"/>
                    </pic:cNvPicPr>
                  </pic:nvPicPr>
                  <pic:blipFill>
                    <a:blip r:embed="rId76"/>
                    <a:stretch>
                      <a:fillRect/>
                    </a:stretch>
                  </pic:blipFill>
                  <pic:spPr>
                    <a:xfrm>
                      <a:off x="0" y="0"/>
                      <a:ext cx="5255895" cy="211709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b/>
          <w:bCs/>
        </w:rPr>
      </w:pPr>
      <w:r>
        <w:rPr>
          <w:rFonts w:hint="eastAsia"/>
          <w:b/>
          <w:bCs/>
        </w:rPr>
        <w:t>注意事项：</w:t>
      </w:r>
    </w:p>
    <w:p>
      <w:pPr>
        <w:numPr>
          <w:ilvl w:val="0"/>
          <w:numId w:val="22"/>
        </w:numPr>
        <w:ind w:firstLine="420" w:firstLineChars="200"/>
      </w:pPr>
      <w:r>
        <w:rPr>
          <w:rFonts w:hint="eastAsia"/>
        </w:rPr>
        <w:t>经营所得个人所得税月（季）度申报（A表）</w:t>
      </w:r>
    </w:p>
    <w:p>
      <w:pPr>
        <w:numPr>
          <w:ilvl w:val="0"/>
          <w:numId w:val="23"/>
        </w:numPr>
        <w:ind w:firstLine="420" w:firstLineChars="200"/>
      </w:pPr>
      <w:r>
        <w:rPr>
          <w:rFonts w:hint="eastAsia"/>
        </w:rPr>
        <w:t>相同纳税人、相同被投资单位、相同年度已进行经营所得年度B表申报，则不允许作废A表；</w:t>
      </w:r>
    </w:p>
    <w:p>
      <w:pPr>
        <w:numPr>
          <w:ilvl w:val="0"/>
          <w:numId w:val="23"/>
        </w:numPr>
        <w:ind w:firstLine="420" w:firstLineChars="200"/>
      </w:pPr>
      <w:r>
        <w:rPr>
          <w:rFonts w:hint="eastAsia"/>
        </w:rPr>
        <w:t>A表已申报信息中存在税款所属期止大于当前税款所属期止的申报记录，则属于后期已申报，存在后期已申报时，不允许作废。</w:t>
      </w:r>
    </w:p>
    <w:p>
      <w:pPr>
        <w:rPr>
          <w:rFonts w:ascii="楷体_GB2312" w:eastAsia="楷体_GB2312"/>
          <w:b/>
          <w:bCs/>
          <w:sz w:val="32"/>
          <w:szCs w:val="32"/>
        </w:rPr>
      </w:pPr>
      <w:bookmarkStart w:id="256" w:name="_Toc16059"/>
      <w:bookmarkStart w:id="257" w:name="_Toc20421"/>
      <w:bookmarkStart w:id="258" w:name="_Toc4151"/>
      <w:bookmarkStart w:id="259" w:name="_Toc15787"/>
      <w:bookmarkStart w:id="260" w:name="_Toc24780"/>
      <w:bookmarkStart w:id="261" w:name="_Toc19941"/>
      <w:bookmarkStart w:id="262" w:name="_Toc28903544"/>
      <w:r>
        <w:rPr>
          <w:rFonts w:ascii="楷体_GB2312" w:eastAsia="楷体_GB2312"/>
          <w:b/>
          <w:bCs/>
          <w:sz w:val="32"/>
          <w:szCs w:val="32"/>
        </w:rPr>
        <w:t>5</w:t>
      </w:r>
      <w:r>
        <w:rPr>
          <w:rFonts w:hint="eastAsia" w:ascii="楷体_GB2312" w:eastAsia="楷体_GB2312"/>
          <w:b/>
          <w:bCs/>
          <w:sz w:val="32"/>
          <w:szCs w:val="32"/>
        </w:rPr>
        <w:t>.3. 缴款</w:t>
      </w:r>
      <w:bookmarkEnd w:id="256"/>
      <w:bookmarkEnd w:id="257"/>
      <w:bookmarkEnd w:id="258"/>
      <w:bookmarkEnd w:id="259"/>
      <w:bookmarkEnd w:id="260"/>
      <w:bookmarkEnd w:id="261"/>
      <w:bookmarkEnd w:id="262"/>
    </w:p>
    <w:p>
      <w:r>
        <w:rPr>
          <w:rFonts w:hint="eastAsia"/>
        </w:rPr>
        <w:t>本功能适用于纳税人在完成各个申报或更正申报后，生成应补税款时，通过该模块完成税款缴纳。</w:t>
      </w:r>
    </w:p>
    <w:p>
      <w:pPr>
        <w:rPr>
          <w:rFonts w:ascii="楷体_GB2312" w:eastAsia="楷体_GB2312"/>
          <w:b/>
          <w:bCs/>
          <w:sz w:val="32"/>
          <w:szCs w:val="32"/>
        </w:rPr>
      </w:pPr>
      <w:bookmarkStart w:id="263" w:name="_Toc10073"/>
      <w:bookmarkStart w:id="264" w:name="_Toc31229"/>
      <w:bookmarkStart w:id="265" w:name="_Toc19352"/>
      <w:bookmarkStart w:id="266" w:name="_Toc32454"/>
      <w:bookmarkStart w:id="267" w:name="_Toc24134"/>
      <w:bookmarkStart w:id="268" w:name="_Toc9546"/>
      <w:bookmarkStart w:id="269" w:name="_Toc28330"/>
      <w:r>
        <w:rPr>
          <w:rFonts w:ascii="楷体_GB2312" w:eastAsia="楷体_GB2312"/>
          <w:b/>
          <w:bCs/>
          <w:sz w:val="32"/>
          <w:szCs w:val="32"/>
        </w:rPr>
        <w:t>5</w:t>
      </w:r>
      <w:r>
        <w:rPr>
          <w:rFonts w:hint="eastAsia" w:ascii="楷体_GB2312" w:eastAsia="楷体_GB2312"/>
          <w:b/>
          <w:bCs/>
          <w:sz w:val="32"/>
          <w:szCs w:val="32"/>
        </w:rPr>
        <w:t>.3.1 网上缴税</w:t>
      </w:r>
      <w:bookmarkEnd w:id="263"/>
      <w:bookmarkEnd w:id="264"/>
      <w:bookmarkEnd w:id="265"/>
      <w:bookmarkEnd w:id="266"/>
      <w:bookmarkEnd w:id="267"/>
      <w:bookmarkEnd w:id="268"/>
      <w:bookmarkEnd w:id="269"/>
    </w:p>
    <w:p>
      <w:r>
        <w:rPr>
          <w:rFonts w:hint="eastAsia"/>
        </w:rPr>
        <w:t>纳税人完成申报表提交后，可进行税款缴纳操作，缴款方式分为三方协议缴税、银联在线支付、银行端凭证支付。</w:t>
      </w:r>
    </w:p>
    <w:p>
      <w:pPr>
        <w:rPr>
          <w:rFonts w:ascii="楷体_GB2312" w:eastAsia="楷体_GB2312"/>
          <w:b/>
          <w:bCs/>
          <w:sz w:val="32"/>
          <w:szCs w:val="32"/>
        </w:rPr>
      </w:pPr>
      <w:bookmarkStart w:id="270" w:name="_Toc27865"/>
      <w:bookmarkStart w:id="271" w:name="_Toc19573"/>
      <w:r>
        <w:rPr>
          <w:rFonts w:ascii="楷体_GB2312" w:eastAsia="楷体_GB2312"/>
          <w:b/>
          <w:bCs/>
          <w:sz w:val="32"/>
          <w:szCs w:val="32"/>
        </w:rPr>
        <w:t>5</w:t>
      </w:r>
      <w:r>
        <w:rPr>
          <w:rFonts w:hint="eastAsia" w:ascii="楷体_GB2312" w:eastAsia="楷体_GB2312"/>
          <w:b/>
          <w:bCs/>
          <w:sz w:val="32"/>
          <w:szCs w:val="32"/>
        </w:rPr>
        <w:t>.3.1.1三方协议缴税</w:t>
      </w:r>
      <w:bookmarkEnd w:id="270"/>
      <w:bookmarkEnd w:id="271"/>
    </w:p>
    <w:p>
      <w:r>
        <w:rPr>
          <w:rFonts w:hint="eastAsia"/>
        </w:rPr>
        <w:t>本功能适用于已签订三方协议的纳税人在缴款时进行选择。</w:t>
      </w:r>
    </w:p>
    <w:p>
      <w:pPr>
        <w:rPr>
          <w:b/>
          <w:bCs/>
        </w:rPr>
      </w:pPr>
      <w:r>
        <w:rPr>
          <w:rFonts w:hint="eastAsia"/>
          <w:b/>
          <w:bCs/>
        </w:rPr>
        <w:t>操作步骤：</w:t>
      </w:r>
    </w:p>
    <w:p>
      <w:pPr>
        <w:numPr>
          <w:ilvl w:val="0"/>
          <w:numId w:val="24"/>
        </w:numPr>
        <w:ind w:firstLine="420" w:firstLineChars="200"/>
      </w:pPr>
      <w:r>
        <w:rPr>
          <w:rFonts w:hint="eastAsia"/>
        </w:rPr>
        <w:t>点击【申报管理】-【已申报】-【未完成】，选择对应申报项目进行缴税，如有多条未缴款记录可点击【立即缴税】（仅同一个税款所属机关、收款国库的申报可合并缴税）；</w:t>
      </w:r>
    </w:p>
    <w:p>
      <w:r>
        <w:drawing>
          <wp:inline distT="0" distB="0" distL="114300" distR="114300">
            <wp:extent cx="5255895" cy="2392045"/>
            <wp:effectExtent l="9525" t="9525" r="11430" b="17780"/>
            <wp:docPr id="11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32"/>
                    <pic:cNvPicPr>
                      <a:picLocks noChangeAspect="1"/>
                    </pic:cNvPicPr>
                  </pic:nvPicPr>
                  <pic:blipFill>
                    <a:blip r:embed="rId77"/>
                    <a:stretch>
                      <a:fillRect/>
                    </a:stretch>
                  </pic:blipFill>
                  <pic:spPr>
                    <a:xfrm>
                      <a:off x="0" y="0"/>
                      <a:ext cx="5255895" cy="2392045"/>
                    </a:xfrm>
                    <a:prstGeom prst="rect">
                      <a:avLst/>
                    </a:prstGeom>
                    <a:noFill/>
                    <a:ln w="9525" cap="flat" cmpd="sng">
                      <a:solidFill>
                        <a:srgbClr val="D9D9D9"/>
                      </a:solidFill>
                      <a:prstDash val="solid"/>
                      <a:miter/>
                      <a:headEnd type="none" w="med" len="med"/>
                      <a:tailEnd type="none" w="med" len="med"/>
                    </a:ln>
                  </pic:spPr>
                </pic:pic>
              </a:graphicData>
            </a:graphic>
          </wp:inline>
        </w:drawing>
      </w:r>
    </w:p>
    <w:p>
      <w:r>
        <w:drawing>
          <wp:inline distT="0" distB="0" distL="114300" distR="114300">
            <wp:extent cx="5255895" cy="2192655"/>
            <wp:effectExtent l="9525" t="9525" r="11430" b="26670"/>
            <wp:docPr id="115" name="图片 33" descr="F:\赵春涛\操作手册\1月1上线\1操作手册\Xshot-0066.pngXshot-0066"/>
            <wp:cNvGraphicFramePr/>
            <a:graphic xmlns:a="http://schemas.openxmlformats.org/drawingml/2006/main">
              <a:graphicData uri="http://schemas.openxmlformats.org/drawingml/2006/picture">
                <pic:pic xmlns:pic="http://schemas.openxmlformats.org/drawingml/2006/picture">
                  <pic:nvPicPr>
                    <pic:cNvPr id="115" name="图片 33" descr="F:\赵春涛\操作手册\1月1上线\1操作手册\Xshot-0066.pngXshot-0066"/>
                    <pic:cNvPicPr preferRelativeResize="0"/>
                  </pic:nvPicPr>
                  <pic:blipFill>
                    <a:blip r:embed="rId78"/>
                    <a:stretch>
                      <a:fillRect/>
                    </a:stretch>
                  </pic:blipFill>
                  <pic:spPr>
                    <a:xfrm>
                      <a:off x="0" y="0"/>
                      <a:ext cx="5255895" cy="2192655"/>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4"/>
        </w:numPr>
        <w:ind w:firstLine="420" w:firstLineChars="200"/>
      </w:pPr>
      <w:r>
        <w:rPr>
          <w:rFonts w:hint="eastAsia"/>
        </w:rPr>
        <w:t>支付方式选择【三方协议缴款】，点击【立即支付】；</w:t>
      </w:r>
    </w:p>
    <w:p>
      <w:r>
        <w:drawing>
          <wp:inline distT="0" distB="0" distL="114300" distR="114300">
            <wp:extent cx="5255895" cy="2329180"/>
            <wp:effectExtent l="9525" t="9525" r="11430" b="23495"/>
            <wp:docPr id="111" name="图片 34" descr="F:\赵春涛\操作手册\1月1上线\1操作手册\Xshot-0067.pngXshot-0067"/>
            <wp:cNvGraphicFramePr/>
            <a:graphic xmlns:a="http://schemas.openxmlformats.org/drawingml/2006/main">
              <a:graphicData uri="http://schemas.openxmlformats.org/drawingml/2006/picture">
                <pic:pic xmlns:pic="http://schemas.openxmlformats.org/drawingml/2006/picture">
                  <pic:nvPicPr>
                    <pic:cNvPr id="111" name="图片 34" descr="F:\赵春涛\操作手册\1月1上线\1操作手册\Xshot-0067.pngXshot-0067"/>
                    <pic:cNvPicPr preferRelativeResize="0"/>
                  </pic:nvPicPr>
                  <pic:blipFill>
                    <a:blip r:embed="rId79"/>
                    <a:stretch>
                      <a:fillRect/>
                    </a:stretch>
                  </pic:blipFill>
                  <pic:spPr>
                    <a:xfrm>
                      <a:off x="0" y="0"/>
                      <a:ext cx="5255895" cy="2329180"/>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4"/>
        </w:numPr>
        <w:ind w:firstLine="420" w:firstLineChars="200"/>
      </w:pPr>
      <w:r>
        <w:rPr>
          <w:rFonts w:hint="eastAsia"/>
        </w:rPr>
        <w:t>确认此次缴税所使用的三方协议缴款账户，点击【确定】发起扣款请求完成缴税。</w:t>
      </w:r>
    </w:p>
    <w:p>
      <w:pPr>
        <w:rPr>
          <w:rFonts w:ascii="楷体_GB2312" w:eastAsia="楷体_GB2312"/>
          <w:b/>
          <w:bCs/>
          <w:sz w:val="32"/>
          <w:szCs w:val="32"/>
        </w:rPr>
      </w:pPr>
      <w:r>
        <w:rPr>
          <w:rFonts w:ascii="楷体_GB2312" w:eastAsia="楷体_GB2312"/>
          <w:b/>
          <w:bCs/>
          <w:sz w:val="32"/>
          <w:szCs w:val="32"/>
        </w:rPr>
        <w:drawing>
          <wp:inline distT="0" distB="0" distL="114300" distR="114300">
            <wp:extent cx="5255895" cy="1847850"/>
            <wp:effectExtent l="9525" t="9525" r="11430" b="9525"/>
            <wp:docPr id="110" name="图片 35"/>
            <wp:cNvGraphicFramePr/>
            <a:graphic xmlns:a="http://schemas.openxmlformats.org/drawingml/2006/main">
              <a:graphicData uri="http://schemas.openxmlformats.org/drawingml/2006/picture">
                <pic:pic xmlns:pic="http://schemas.openxmlformats.org/drawingml/2006/picture">
                  <pic:nvPicPr>
                    <pic:cNvPr id="110" name="图片 35"/>
                    <pic:cNvPicPr preferRelativeResize="0"/>
                  </pic:nvPicPr>
                  <pic:blipFill>
                    <a:blip r:embed="rId80"/>
                    <a:stretch>
                      <a:fillRect/>
                    </a:stretch>
                  </pic:blipFill>
                  <pic:spPr>
                    <a:xfrm>
                      <a:off x="0" y="0"/>
                      <a:ext cx="5255895" cy="184785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rFonts w:ascii="楷体_GB2312" w:eastAsia="楷体_GB2312"/>
          <w:b/>
          <w:bCs/>
          <w:sz w:val="32"/>
          <w:szCs w:val="32"/>
        </w:rPr>
      </w:pPr>
      <w:bookmarkStart w:id="272" w:name="_Toc19328"/>
      <w:bookmarkStart w:id="273" w:name="_Toc24439"/>
      <w:r>
        <w:rPr>
          <w:rFonts w:ascii="楷体_GB2312" w:eastAsia="楷体_GB2312"/>
          <w:b/>
          <w:bCs/>
          <w:sz w:val="32"/>
          <w:szCs w:val="32"/>
        </w:rPr>
        <w:t>5</w:t>
      </w:r>
      <w:r>
        <w:rPr>
          <w:rFonts w:hint="eastAsia" w:ascii="楷体_GB2312" w:eastAsia="楷体_GB2312"/>
          <w:b/>
          <w:bCs/>
          <w:sz w:val="32"/>
          <w:szCs w:val="32"/>
        </w:rPr>
        <w:t>.3.1.2银联</w:t>
      </w:r>
      <w:bookmarkEnd w:id="272"/>
      <w:bookmarkEnd w:id="273"/>
      <w:r>
        <w:rPr>
          <w:rFonts w:hint="eastAsia" w:ascii="楷体_GB2312" w:eastAsia="楷体_GB2312"/>
          <w:b/>
          <w:bCs/>
          <w:sz w:val="32"/>
          <w:szCs w:val="32"/>
        </w:rPr>
        <w:t>在线支付</w:t>
      </w:r>
    </w:p>
    <w:p>
      <w:r>
        <w:rPr>
          <w:rFonts w:hint="eastAsia"/>
        </w:rPr>
        <w:t>未签订三方协议缴款的纳税人，可选择银联在线支付完成缴款。</w:t>
      </w:r>
    </w:p>
    <w:p>
      <w:pPr>
        <w:rPr>
          <w:b/>
          <w:bCs/>
        </w:rPr>
      </w:pPr>
      <w:r>
        <w:rPr>
          <w:rFonts w:hint="eastAsia"/>
          <w:b/>
          <w:bCs/>
        </w:rPr>
        <w:t>操作步骤：</w:t>
      </w:r>
    </w:p>
    <w:p>
      <w:pPr>
        <w:numPr>
          <w:ilvl w:val="0"/>
          <w:numId w:val="25"/>
        </w:numPr>
        <w:ind w:firstLine="420" w:firstLineChars="200"/>
      </w:pPr>
      <w:r>
        <w:rPr>
          <w:rFonts w:hint="eastAsia"/>
        </w:rPr>
        <w:t>点击【申报管理】-【已申报】-【未完成】，选择对应申报项目进行缴税，如有多条未缴款记录可点击【立即缴税】（仅同一个税款所属机关、收款国库的申报可合并缴税）；</w:t>
      </w:r>
    </w:p>
    <w:p>
      <w:r>
        <w:drawing>
          <wp:inline distT="0" distB="0" distL="114300" distR="114300">
            <wp:extent cx="5255895" cy="2392045"/>
            <wp:effectExtent l="9525" t="9525" r="11430" b="17780"/>
            <wp:docPr id="11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36"/>
                    <pic:cNvPicPr>
                      <a:picLocks noChangeAspect="1"/>
                    </pic:cNvPicPr>
                  </pic:nvPicPr>
                  <pic:blipFill>
                    <a:blip r:embed="rId77"/>
                    <a:stretch>
                      <a:fillRect/>
                    </a:stretch>
                  </pic:blipFill>
                  <pic:spPr>
                    <a:xfrm>
                      <a:off x="0" y="0"/>
                      <a:ext cx="5255895" cy="2392045"/>
                    </a:xfrm>
                    <a:prstGeom prst="rect">
                      <a:avLst/>
                    </a:prstGeom>
                    <a:noFill/>
                    <a:ln w="9525" cap="flat" cmpd="sng">
                      <a:solidFill>
                        <a:srgbClr val="D9D9D9"/>
                      </a:solidFill>
                      <a:prstDash val="solid"/>
                      <a:miter/>
                      <a:headEnd type="none" w="med" len="med"/>
                      <a:tailEnd type="none" w="med" len="med"/>
                    </a:ln>
                  </pic:spPr>
                </pic:pic>
              </a:graphicData>
            </a:graphic>
          </wp:inline>
        </w:drawing>
      </w:r>
    </w:p>
    <w:p>
      <w:r>
        <w:drawing>
          <wp:inline distT="0" distB="0" distL="114300" distR="114300">
            <wp:extent cx="5269230" cy="2199005"/>
            <wp:effectExtent l="0" t="0" r="7620" b="10795"/>
            <wp:docPr id="10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7"/>
                    <pic:cNvPicPr>
                      <a:picLocks noChangeAspect="1"/>
                    </pic:cNvPicPr>
                  </pic:nvPicPr>
                  <pic:blipFill>
                    <a:blip r:embed="rId81"/>
                    <a:stretch>
                      <a:fillRect/>
                    </a:stretch>
                  </pic:blipFill>
                  <pic:spPr>
                    <a:xfrm>
                      <a:off x="0" y="0"/>
                      <a:ext cx="5269230" cy="2199005"/>
                    </a:xfrm>
                    <a:prstGeom prst="rect">
                      <a:avLst/>
                    </a:prstGeom>
                    <a:noFill/>
                    <a:ln w="9525">
                      <a:noFill/>
                    </a:ln>
                  </pic:spPr>
                </pic:pic>
              </a:graphicData>
            </a:graphic>
          </wp:inline>
        </w:drawing>
      </w:r>
    </w:p>
    <w:p>
      <w:pPr>
        <w:numPr>
          <w:ilvl w:val="0"/>
          <w:numId w:val="25"/>
        </w:numPr>
        <w:ind w:firstLine="420" w:firstLineChars="200"/>
      </w:pPr>
      <w:r>
        <w:rPr>
          <w:rFonts w:hint="eastAsia"/>
        </w:rPr>
        <w:t>支付方式选择【银联在线支付】，点击【立即支付】；</w:t>
      </w:r>
    </w:p>
    <w:p>
      <w:r>
        <w:drawing>
          <wp:inline distT="0" distB="0" distL="114300" distR="114300">
            <wp:extent cx="5255895" cy="2329180"/>
            <wp:effectExtent l="9525" t="9525" r="11430" b="23495"/>
            <wp:docPr id="107" name="图片 38"/>
            <wp:cNvGraphicFramePr/>
            <a:graphic xmlns:a="http://schemas.openxmlformats.org/drawingml/2006/main">
              <a:graphicData uri="http://schemas.openxmlformats.org/drawingml/2006/picture">
                <pic:pic xmlns:pic="http://schemas.openxmlformats.org/drawingml/2006/picture">
                  <pic:nvPicPr>
                    <pic:cNvPr id="107" name="图片 38"/>
                    <pic:cNvPicPr preferRelativeResize="0"/>
                  </pic:nvPicPr>
                  <pic:blipFill>
                    <a:blip r:embed="rId82"/>
                    <a:stretch>
                      <a:fillRect/>
                    </a:stretch>
                  </pic:blipFill>
                  <pic:spPr>
                    <a:xfrm>
                      <a:off x="0" y="0"/>
                      <a:ext cx="5255895" cy="2329180"/>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5"/>
        </w:numPr>
        <w:ind w:firstLine="420" w:firstLineChars="200"/>
      </w:pPr>
      <w:r>
        <w:rPr>
          <w:rFonts w:hint="eastAsia"/>
        </w:rPr>
        <w:t>选择直接付款或者登录付款，发起扣款请求完成缴税。</w:t>
      </w:r>
    </w:p>
    <w:p>
      <w:r>
        <w:drawing>
          <wp:inline distT="0" distB="0" distL="114300" distR="114300">
            <wp:extent cx="5255895" cy="2303780"/>
            <wp:effectExtent l="9525" t="9525" r="11430" b="10795"/>
            <wp:docPr id="109" name="图片 39"/>
            <wp:cNvGraphicFramePr/>
            <a:graphic xmlns:a="http://schemas.openxmlformats.org/drawingml/2006/main">
              <a:graphicData uri="http://schemas.openxmlformats.org/drawingml/2006/picture">
                <pic:pic xmlns:pic="http://schemas.openxmlformats.org/drawingml/2006/picture">
                  <pic:nvPicPr>
                    <pic:cNvPr id="109" name="图片 39"/>
                    <pic:cNvPicPr preferRelativeResize="0"/>
                  </pic:nvPicPr>
                  <pic:blipFill>
                    <a:blip r:embed="rId83"/>
                    <a:stretch>
                      <a:fillRect/>
                    </a:stretch>
                  </pic:blipFill>
                  <pic:spPr>
                    <a:xfrm>
                      <a:off x="0" y="0"/>
                      <a:ext cx="5255895" cy="230378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rFonts w:ascii="楷体_GB2312" w:eastAsia="楷体_GB2312"/>
          <w:b/>
          <w:bCs/>
          <w:sz w:val="32"/>
          <w:szCs w:val="32"/>
        </w:rPr>
      </w:pPr>
      <w:r>
        <w:rPr>
          <w:rFonts w:ascii="楷体_GB2312" w:eastAsia="楷体_GB2312"/>
          <w:b/>
          <w:bCs/>
          <w:sz w:val="32"/>
          <w:szCs w:val="32"/>
        </w:rPr>
        <w:t>5</w:t>
      </w:r>
      <w:r>
        <w:rPr>
          <w:rFonts w:hint="eastAsia" w:ascii="楷体_GB2312" w:eastAsia="楷体_GB2312"/>
          <w:b/>
          <w:bCs/>
          <w:sz w:val="32"/>
          <w:szCs w:val="32"/>
        </w:rPr>
        <w:t>.3.1.3银行端凭证支付</w:t>
      </w:r>
    </w:p>
    <w:p>
      <w:r>
        <w:rPr>
          <w:rFonts w:hint="eastAsia"/>
        </w:rPr>
        <w:t>纳税人在缴税支付时可选择银行端凭证支付，在线生成银行端缴税凭证。</w:t>
      </w:r>
    </w:p>
    <w:p>
      <w:pPr>
        <w:rPr>
          <w:b/>
          <w:bCs/>
        </w:rPr>
      </w:pPr>
      <w:r>
        <w:rPr>
          <w:rFonts w:hint="eastAsia"/>
          <w:b/>
          <w:bCs/>
        </w:rPr>
        <w:t>操作步骤：</w:t>
      </w:r>
    </w:p>
    <w:p>
      <w:pPr>
        <w:numPr>
          <w:ilvl w:val="0"/>
          <w:numId w:val="26"/>
        </w:numPr>
        <w:ind w:firstLine="420" w:firstLineChars="200"/>
      </w:pPr>
      <w:r>
        <w:rPr>
          <w:rFonts w:hint="eastAsia"/>
        </w:rPr>
        <w:t>点击【申报管理】-【已申报】-【未完成】，选择对应申报项目进行缴税，如有多条未缴款记录可点击【立即缴税】（仅同一个税款所属机关、收款国库的申报可合并缴税）；</w:t>
      </w:r>
    </w:p>
    <w:p>
      <w:r>
        <w:drawing>
          <wp:inline distT="0" distB="0" distL="114300" distR="114300">
            <wp:extent cx="5255895" cy="2392045"/>
            <wp:effectExtent l="9525" t="9525" r="11430" b="17780"/>
            <wp:docPr id="10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0"/>
                    <pic:cNvPicPr>
                      <a:picLocks noChangeAspect="1"/>
                    </pic:cNvPicPr>
                  </pic:nvPicPr>
                  <pic:blipFill>
                    <a:blip r:embed="rId77"/>
                    <a:stretch>
                      <a:fillRect/>
                    </a:stretch>
                  </pic:blipFill>
                  <pic:spPr>
                    <a:xfrm>
                      <a:off x="0" y="0"/>
                      <a:ext cx="5255895" cy="2392045"/>
                    </a:xfrm>
                    <a:prstGeom prst="rect">
                      <a:avLst/>
                    </a:prstGeom>
                    <a:noFill/>
                    <a:ln w="9525" cap="flat" cmpd="sng">
                      <a:solidFill>
                        <a:srgbClr val="D9D9D9"/>
                      </a:solidFill>
                      <a:prstDash val="solid"/>
                      <a:miter/>
                      <a:headEnd type="none" w="med" len="med"/>
                      <a:tailEnd type="none" w="med" len="med"/>
                    </a:ln>
                  </pic:spPr>
                </pic:pic>
              </a:graphicData>
            </a:graphic>
          </wp:inline>
        </w:drawing>
      </w:r>
    </w:p>
    <w:p>
      <w:r>
        <w:drawing>
          <wp:inline distT="0" distB="0" distL="114300" distR="114300">
            <wp:extent cx="5269230" cy="2199005"/>
            <wp:effectExtent l="0" t="0" r="7620" b="10795"/>
            <wp:docPr id="10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1"/>
                    <pic:cNvPicPr>
                      <a:picLocks noChangeAspect="1"/>
                    </pic:cNvPicPr>
                  </pic:nvPicPr>
                  <pic:blipFill>
                    <a:blip r:embed="rId81"/>
                    <a:stretch>
                      <a:fillRect/>
                    </a:stretch>
                  </pic:blipFill>
                  <pic:spPr>
                    <a:xfrm>
                      <a:off x="0" y="0"/>
                      <a:ext cx="5269230" cy="2199005"/>
                    </a:xfrm>
                    <a:prstGeom prst="rect">
                      <a:avLst/>
                    </a:prstGeom>
                    <a:noFill/>
                    <a:ln w="9525">
                      <a:noFill/>
                    </a:ln>
                  </pic:spPr>
                </pic:pic>
              </a:graphicData>
            </a:graphic>
          </wp:inline>
        </w:drawing>
      </w:r>
    </w:p>
    <w:p>
      <w:pPr>
        <w:numPr>
          <w:ilvl w:val="0"/>
          <w:numId w:val="26"/>
        </w:numPr>
        <w:ind w:firstLine="420" w:firstLineChars="200"/>
      </w:pPr>
      <w:r>
        <w:rPr>
          <w:rFonts w:hint="eastAsia"/>
        </w:rPr>
        <w:t>支付方式选择【银行端凭证支付】，点击【立即支付】；</w:t>
      </w:r>
    </w:p>
    <w:p>
      <w:r>
        <w:drawing>
          <wp:inline distT="0" distB="0" distL="114300" distR="114300">
            <wp:extent cx="5255895" cy="2322195"/>
            <wp:effectExtent l="9525" t="9525" r="11430" b="11430"/>
            <wp:docPr id="106"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42"/>
                    <pic:cNvPicPr>
                      <a:picLocks noChangeAspect="1"/>
                    </pic:cNvPicPr>
                  </pic:nvPicPr>
                  <pic:blipFill>
                    <a:blip r:embed="rId84"/>
                    <a:stretch>
                      <a:fillRect/>
                    </a:stretch>
                  </pic:blipFill>
                  <pic:spPr>
                    <a:xfrm>
                      <a:off x="0" y="0"/>
                      <a:ext cx="5255895" cy="2322195"/>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6"/>
        </w:numPr>
        <w:ind w:firstLine="420" w:firstLineChars="200"/>
      </w:pPr>
      <w:r>
        <w:rPr>
          <w:rFonts w:hint="eastAsia"/>
        </w:rPr>
        <w:t>纳税人在线生成银行端缴税凭证后，可下载打印，持纸质凭证前往可办理业务的银行窗口完成支付。</w:t>
      </w:r>
    </w:p>
    <w:p>
      <w:r>
        <w:drawing>
          <wp:inline distT="0" distB="0" distL="114300" distR="114300">
            <wp:extent cx="5255895" cy="2971800"/>
            <wp:effectExtent l="9525" t="9525" r="11430" b="9525"/>
            <wp:docPr id="102" name="图片 43"/>
            <wp:cNvGraphicFramePr/>
            <a:graphic xmlns:a="http://schemas.openxmlformats.org/drawingml/2006/main">
              <a:graphicData uri="http://schemas.openxmlformats.org/drawingml/2006/picture">
                <pic:pic xmlns:pic="http://schemas.openxmlformats.org/drawingml/2006/picture">
                  <pic:nvPicPr>
                    <pic:cNvPr id="102" name="图片 43"/>
                    <pic:cNvPicPr preferRelativeResize="0"/>
                  </pic:nvPicPr>
                  <pic:blipFill>
                    <a:blip r:embed="rId85"/>
                    <a:stretch>
                      <a:fillRect/>
                    </a:stretch>
                  </pic:blipFill>
                  <pic:spPr>
                    <a:xfrm>
                      <a:off x="0" y="0"/>
                      <a:ext cx="5255895" cy="297180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rFonts w:ascii="楷体_GB2312" w:eastAsia="楷体_GB2312"/>
          <w:b/>
          <w:bCs/>
          <w:sz w:val="32"/>
          <w:szCs w:val="32"/>
        </w:rPr>
      </w:pPr>
      <w:bookmarkStart w:id="274" w:name="_Toc26833"/>
      <w:bookmarkStart w:id="275" w:name="_Toc30103"/>
      <w:bookmarkStart w:id="276" w:name="_Toc23684"/>
      <w:bookmarkStart w:id="277" w:name="_Toc18269"/>
      <w:bookmarkStart w:id="278" w:name="_Toc9363"/>
      <w:bookmarkStart w:id="279" w:name="_Toc28747"/>
      <w:bookmarkStart w:id="280" w:name="_Toc28903545"/>
      <w:r>
        <w:rPr>
          <w:rFonts w:ascii="楷体_GB2312" w:eastAsia="楷体_GB2312"/>
          <w:b/>
          <w:bCs/>
          <w:sz w:val="32"/>
          <w:szCs w:val="32"/>
        </w:rPr>
        <w:t>5</w:t>
      </w:r>
      <w:r>
        <w:rPr>
          <w:rFonts w:hint="eastAsia" w:ascii="楷体_GB2312" w:eastAsia="楷体_GB2312"/>
          <w:b/>
          <w:bCs/>
          <w:sz w:val="32"/>
          <w:szCs w:val="32"/>
        </w:rPr>
        <w:t>.4已缴税查询</w:t>
      </w:r>
      <w:bookmarkEnd w:id="274"/>
      <w:bookmarkEnd w:id="275"/>
      <w:bookmarkEnd w:id="276"/>
      <w:bookmarkEnd w:id="277"/>
      <w:bookmarkEnd w:id="278"/>
      <w:bookmarkEnd w:id="279"/>
      <w:bookmarkEnd w:id="280"/>
    </w:p>
    <w:p>
      <w:r>
        <w:rPr>
          <w:rFonts w:hint="eastAsia"/>
        </w:rPr>
        <w:t>点击【申报管理】-【已申报】-【已完成】，纳税人可查看已缴税情况。</w:t>
      </w:r>
    </w:p>
    <w:p>
      <w:r>
        <w:drawing>
          <wp:inline distT="0" distB="0" distL="114300" distR="114300">
            <wp:extent cx="5255895" cy="2411730"/>
            <wp:effectExtent l="9525" t="9525" r="11430" b="17145"/>
            <wp:docPr id="101"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4"/>
                    <pic:cNvPicPr>
                      <a:picLocks noChangeAspect="1"/>
                    </pic:cNvPicPr>
                  </pic:nvPicPr>
                  <pic:blipFill>
                    <a:blip r:embed="rId86"/>
                    <a:stretch>
                      <a:fillRect/>
                    </a:stretch>
                  </pic:blipFill>
                  <pic:spPr>
                    <a:xfrm>
                      <a:off x="0" y="0"/>
                      <a:ext cx="5255895" cy="2411730"/>
                    </a:xfrm>
                    <a:prstGeom prst="rect">
                      <a:avLst/>
                    </a:prstGeom>
                    <a:noFill/>
                    <a:ln w="9525" cap="flat" cmpd="sng">
                      <a:solidFill>
                        <a:srgbClr val="D9D9D9"/>
                      </a:solidFill>
                      <a:prstDash val="solid"/>
                      <a:miter/>
                      <a:headEnd type="none" w="med" len="med"/>
                      <a:tailEnd type="none" w="med" len="med"/>
                    </a:ln>
                  </pic:spPr>
                </pic:pic>
              </a:graphicData>
            </a:graphic>
          </wp:inline>
        </w:drawing>
      </w:r>
    </w:p>
    <w:p>
      <w:pPr>
        <w:rPr>
          <w:rFonts w:ascii="楷体_GB2312" w:eastAsia="楷体_GB2312"/>
          <w:b/>
          <w:bCs/>
          <w:sz w:val="32"/>
          <w:szCs w:val="32"/>
        </w:rPr>
      </w:pPr>
      <w:bookmarkStart w:id="281" w:name="_Toc18814"/>
      <w:bookmarkStart w:id="282" w:name="_Toc1039"/>
      <w:bookmarkStart w:id="283" w:name="_Toc20618"/>
      <w:bookmarkStart w:id="284" w:name="_Toc14559"/>
      <w:r>
        <w:rPr>
          <w:rFonts w:ascii="楷体_GB2312" w:eastAsia="楷体_GB2312"/>
          <w:b/>
          <w:bCs/>
          <w:sz w:val="32"/>
          <w:szCs w:val="32"/>
        </w:rPr>
        <w:t>5</w:t>
      </w:r>
      <w:r>
        <w:rPr>
          <w:rFonts w:hint="eastAsia" w:ascii="楷体_GB2312" w:eastAsia="楷体_GB2312"/>
          <w:b/>
          <w:bCs/>
          <w:sz w:val="32"/>
          <w:szCs w:val="32"/>
        </w:rPr>
        <w:t>.4.1 电子税票下载</w:t>
      </w:r>
      <w:bookmarkEnd w:id="281"/>
      <w:bookmarkEnd w:id="282"/>
      <w:bookmarkEnd w:id="283"/>
      <w:bookmarkEnd w:id="284"/>
    </w:p>
    <w:p>
      <w:r>
        <w:rPr>
          <w:rFonts w:hint="eastAsia"/>
        </w:rPr>
        <w:t>当纳税人在</w:t>
      </w:r>
      <w:r>
        <w:rPr>
          <w:rFonts w:hint="eastAsia"/>
          <w:bCs/>
        </w:rPr>
        <w:t>自然人办税服务平台缴款方式选择为银行端现金缴税时，可通过此功能打印税收电子缴款书，银行端查询缴税</w:t>
      </w:r>
      <w:r>
        <w:rPr>
          <w:rFonts w:hint="eastAsia"/>
        </w:rPr>
        <w:t>凭证生成后，请留意凭证提示的限缴日期，务必及时缴纳税款。纳税人可携带《银行端查询缴税凭证》前往线下银行柜台缴税。</w:t>
      </w:r>
    </w:p>
    <w:p>
      <w:pPr>
        <w:rPr>
          <w:b/>
          <w:bCs/>
        </w:rPr>
      </w:pPr>
      <w:r>
        <w:rPr>
          <w:rFonts w:hint="eastAsia"/>
          <w:b/>
          <w:bCs/>
        </w:rPr>
        <w:t>操作步骤：</w:t>
      </w:r>
    </w:p>
    <w:p>
      <w:pPr>
        <w:numPr>
          <w:ilvl w:val="0"/>
          <w:numId w:val="27"/>
        </w:numPr>
        <w:ind w:firstLine="420" w:firstLineChars="200"/>
      </w:pPr>
      <w:r>
        <w:rPr>
          <w:rFonts w:hint="eastAsia"/>
        </w:rPr>
        <w:t>点击【申报管理】-【已申报】-【已完成】，选择对应申报项目点击【查看】；</w:t>
      </w:r>
    </w:p>
    <w:p>
      <w:r>
        <w:drawing>
          <wp:inline distT="0" distB="0" distL="114300" distR="114300">
            <wp:extent cx="5255895" cy="2339975"/>
            <wp:effectExtent l="9525" t="9525" r="11430" b="12700"/>
            <wp:docPr id="103" name="图片 45"/>
            <wp:cNvGraphicFramePr/>
            <a:graphic xmlns:a="http://schemas.openxmlformats.org/drawingml/2006/main">
              <a:graphicData uri="http://schemas.openxmlformats.org/drawingml/2006/picture">
                <pic:pic xmlns:pic="http://schemas.openxmlformats.org/drawingml/2006/picture">
                  <pic:nvPicPr>
                    <pic:cNvPr id="103" name="图片 45"/>
                    <pic:cNvPicPr preferRelativeResize="0"/>
                  </pic:nvPicPr>
                  <pic:blipFill>
                    <a:blip r:embed="rId87"/>
                    <a:stretch>
                      <a:fillRect/>
                    </a:stretch>
                  </pic:blipFill>
                  <pic:spPr>
                    <a:xfrm>
                      <a:off x="0" y="0"/>
                      <a:ext cx="5255895" cy="2339975"/>
                    </a:xfrm>
                    <a:prstGeom prst="rect">
                      <a:avLst/>
                    </a:prstGeom>
                    <a:noFill/>
                    <a:ln w="9525" cap="flat" cmpd="sng">
                      <a:solidFill>
                        <a:srgbClr val="D9D9D9"/>
                      </a:solidFill>
                      <a:prstDash val="solid"/>
                      <a:miter/>
                      <a:headEnd type="none" w="med" len="med"/>
                      <a:tailEnd type="none" w="med" len="med"/>
                    </a:ln>
                  </pic:spPr>
                </pic:pic>
              </a:graphicData>
            </a:graphic>
          </wp:inline>
        </w:drawing>
      </w:r>
    </w:p>
    <w:p>
      <w:pPr>
        <w:numPr>
          <w:ilvl w:val="0"/>
          <w:numId w:val="27"/>
        </w:numPr>
        <w:ind w:firstLine="420" w:firstLineChars="200"/>
      </w:pPr>
      <w:r>
        <w:rPr>
          <w:rFonts w:hint="eastAsia"/>
        </w:rPr>
        <w:t>选择【缴款凭证】后点击【预览】，即可生成银行端查询缴税凭证。</w:t>
      </w:r>
    </w:p>
    <w:p>
      <w:r>
        <w:drawing>
          <wp:inline distT="0" distB="0" distL="114300" distR="114300">
            <wp:extent cx="5255895" cy="2271395"/>
            <wp:effectExtent l="9525" t="9525" r="11430" b="24130"/>
            <wp:docPr id="10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6"/>
                    <pic:cNvPicPr>
                      <a:picLocks noChangeAspect="1"/>
                    </pic:cNvPicPr>
                  </pic:nvPicPr>
                  <pic:blipFill>
                    <a:blip r:embed="rId88"/>
                    <a:stretch>
                      <a:fillRect/>
                    </a:stretch>
                  </pic:blipFill>
                  <pic:spPr>
                    <a:xfrm>
                      <a:off x="0" y="0"/>
                      <a:ext cx="5255895" cy="2271395"/>
                    </a:xfrm>
                    <a:prstGeom prst="rect">
                      <a:avLst/>
                    </a:prstGeom>
                    <a:noFill/>
                    <a:ln w="9525" cap="flat" cmpd="sng">
                      <a:solidFill>
                        <a:srgbClr val="D9D9D9"/>
                      </a:solidFill>
                      <a:prstDash val="solid"/>
                      <a:miter/>
                      <a:headEnd type="none" w="med" len="med"/>
                      <a:tailEnd type="none" w="med" len="med"/>
                    </a:ln>
                  </pic:spPr>
                </pic:pic>
              </a:graphicData>
            </a:graphic>
          </wp:inline>
        </w:drawing>
      </w:r>
    </w:p>
    <w:p>
      <w:r>
        <w:drawing>
          <wp:inline distT="0" distB="0" distL="114300" distR="114300">
            <wp:extent cx="5255895" cy="2971800"/>
            <wp:effectExtent l="9525" t="9525" r="11430" b="9525"/>
            <wp:docPr id="99" name="图片 47"/>
            <wp:cNvGraphicFramePr/>
            <a:graphic xmlns:a="http://schemas.openxmlformats.org/drawingml/2006/main">
              <a:graphicData uri="http://schemas.openxmlformats.org/drawingml/2006/picture">
                <pic:pic xmlns:pic="http://schemas.openxmlformats.org/drawingml/2006/picture">
                  <pic:nvPicPr>
                    <pic:cNvPr id="99" name="图片 47"/>
                    <pic:cNvPicPr preferRelativeResize="0"/>
                  </pic:nvPicPr>
                  <pic:blipFill>
                    <a:blip r:embed="rId85"/>
                    <a:stretch>
                      <a:fillRect/>
                    </a:stretch>
                  </pic:blipFill>
                  <pic:spPr>
                    <a:xfrm>
                      <a:off x="0" y="0"/>
                      <a:ext cx="5255895" cy="2971800"/>
                    </a:xfrm>
                    <a:prstGeom prst="rect">
                      <a:avLst/>
                    </a:prstGeom>
                    <a:noFill/>
                    <a:ln w="9525" cap="flat" cmpd="sng">
                      <a:solidFill>
                        <a:srgbClr val="D9D9D9"/>
                      </a:solidFill>
                      <a:prstDash val="solid"/>
                      <a:miter/>
                      <a:headEnd type="none" w="med" len="med"/>
                      <a:tailEnd type="none" w="med" len="med"/>
                    </a:ln>
                  </pic:spPr>
                </pic:pic>
              </a:graphicData>
            </a:graphic>
          </wp:inline>
        </w:drawing>
      </w:r>
    </w:p>
    <w:p/>
    <w:p/>
    <w:p/>
    <w:p/>
    <w:p/>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285EC87"/>
    <w:multiLevelType w:val="singleLevel"/>
    <w:tmpl w:val="8285EC87"/>
    <w:lvl w:ilvl="0" w:tentative="0">
      <w:start w:val="1"/>
      <w:numFmt w:val="bullet"/>
      <w:lvlText w:val=""/>
      <w:lvlJc w:val="left"/>
      <w:pPr>
        <w:ind w:left="420" w:hanging="420"/>
      </w:pPr>
      <w:rPr>
        <w:rFonts w:hint="default" w:ascii="Wingdings" w:hAnsi="Wingdings"/>
      </w:rPr>
    </w:lvl>
  </w:abstractNum>
  <w:abstractNum w:abstractNumId="1">
    <w:nsid w:val="A90596D6"/>
    <w:multiLevelType w:val="singleLevel"/>
    <w:tmpl w:val="A90596D6"/>
    <w:lvl w:ilvl="0" w:tentative="0">
      <w:start w:val="1"/>
      <w:numFmt w:val="chineseCounting"/>
      <w:suff w:val="nothing"/>
      <w:lvlText w:val="%1、"/>
      <w:lvlJc w:val="left"/>
      <w:pPr>
        <w:ind w:left="0" w:firstLine="420"/>
      </w:pPr>
      <w:rPr>
        <w:rFonts w:hint="eastAsia"/>
      </w:rPr>
    </w:lvl>
  </w:abstractNum>
  <w:abstractNum w:abstractNumId="2">
    <w:nsid w:val="AAEB4D7B"/>
    <w:multiLevelType w:val="singleLevel"/>
    <w:tmpl w:val="AAEB4D7B"/>
    <w:lvl w:ilvl="0" w:tentative="0">
      <w:start w:val="1"/>
      <w:numFmt w:val="decimal"/>
      <w:suff w:val="nothing"/>
      <w:lvlText w:val="%1．"/>
      <w:lvlJc w:val="left"/>
      <w:pPr>
        <w:ind w:left="0" w:firstLine="400"/>
      </w:pPr>
      <w:rPr>
        <w:rFonts w:hint="default"/>
      </w:rPr>
    </w:lvl>
  </w:abstractNum>
  <w:abstractNum w:abstractNumId="3">
    <w:nsid w:val="AC83AF54"/>
    <w:multiLevelType w:val="singleLevel"/>
    <w:tmpl w:val="AC83AF54"/>
    <w:lvl w:ilvl="0" w:tentative="0">
      <w:start w:val="1"/>
      <w:numFmt w:val="chineseCounting"/>
      <w:suff w:val="nothing"/>
      <w:lvlText w:val="%1、"/>
      <w:lvlJc w:val="left"/>
      <w:pPr>
        <w:ind w:left="0" w:firstLine="420"/>
      </w:pPr>
      <w:rPr>
        <w:rFonts w:hint="eastAsia"/>
      </w:rPr>
    </w:lvl>
  </w:abstractNum>
  <w:abstractNum w:abstractNumId="4">
    <w:nsid w:val="D58DE94C"/>
    <w:multiLevelType w:val="singleLevel"/>
    <w:tmpl w:val="D58DE94C"/>
    <w:lvl w:ilvl="0" w:tentative="0">
      <w:start w:val="1"/>
      <w:numFmt w:val="decimal"/>
      <w:suff w:val="nothing"/>
      <w:lvlText w:val="%1．"/>
      <w:lvlJc w:val="left"/>
      <w:pPr>
        <w:ind w:left="0" w:firstLine="400"/>
      </w:pPr>
      <w:rPr>
        <w:rFonts w:hint="default"/>
      </w:rPr>
    </w:lvl>
  </w:abstractNum>
  <w:abstractNum w:abstractNumId="5">
    <w:nsid w:val="D9693890"/>
    <w:multiLevelType w:val="singleLevel"/>
    <w:tmpl w:val="D9693890"/>
    <w:lvl w:ilvl="0" w:tentative="0">
      <w:start w:val="1"/>
      <w:numFmt w:val="chineseCounting"/>
      <w:suff w:val="nothing"/>
      <w:lvlText w:val="%1、"/>
      <w:lvlJc w:val="left"/>
      <w:pPr>
        <w:ind w:left="0" w:firstLine="420"/>
      </w:pPr>
      <w:rPr>
        <w:rFonts w:hint="eastAsia"/>
      </w:rPr>
    </w:lvl>
  </w:abstractNum>
  <w:abstractNum w:abstractNumId="6">
    <w:nsid w:val="DBC35CA4"/>
    <w:multiLevelType w:val="singleLevel"/>
    <w:tmpl w:val="DBC35CA4"/>
    <w:lvl w:ilvl="0" w:tentative="0">
      <w:start w:val="5"/>
      <w:numFmt w:val="decimal"/>
      <w:suff w:val="nothing"/>
      <w:lvlText w:val="%1、"/>
      <w:lvlJc w:val="left"/>
      <w:pPr>
        <w:ind w:left="0" w:firstLine="0"/>
      </w:pPr>
      <w:rPr>
        <w:rFonts w:hint="eastAsia"/>
      </w:rPr>
    </w:lvl>
  </w:abstractNum>
  <w:abstractNum w:abstractNumId="7">
    <w:nsid w:val="DD878463"/>
    <w:multiLevelType w:val="singleLevel"/>
    <w:tmpl w:val="DD878463"/>
    <w:lvl w:ilvl="0" w:tentative="0">
      <w:start w:val="1"/>
      <w:numFmt w:val="decimal"/>
      <w:suff w:val="nothing"/>
      <w:lvlText w:val="%1．"/>
      <w:lvlJc w:val="left"/>
      <w:pPr>
        <w:ind w:left="0" w:firstLine="400"/>
      </w:pPr>
      <w:rPr>
        <w:rFonts w:hint="default"/>
      </w:rPr>
    </w:lvl>
  </w:abstractNum>
  <w:abstractNum w:abstractNumId="8">
    <w:nsid w:val="E2DCAFDC"/>
    <w:multiLevelType w:val="singleLevel"/>
    <w:tmpl w:val="E2DCAFDC"/>
    <w:lvl w:ilvl="0" w:tentative="0">
      <w:start w:val="1"/>
      <w:numFmt w:val="decimal"/>
      <w:suff w:val="nothing"/>
      <w:lvlText w:val="%1．"/>
      <w:lvlJc w:val="left"/>
      <w:pPr>
        <w:ind w:left="0" w:firstLine="400"/>
      </w:pPr>
      <w:rPr>
        <w:rFonts w:hint="default"/>
      </w:rPr>
    </w:lvl>
  </w:abstractNum>
  <w:abstractNum w:abstractNumId="9">
    <w:nsid w:val="E3F646B4"/>
    <w:multiLevelType w:val="singleLevel"/>
    <w:tmpl w:val="E3F646B4"/>
    <w:lvl w:ilvl="0" w:tentative="0">
      <w:start w:val="1"/>
      <w:numFmt w:val="decimal"/>
      <w:suff w:val="nothing"/>
      <w:lvlText w:val="%1．"/>
      <w:lvlJc w:val="left"/>
      <w:pPr>
        <w:ind w:left="0" w:firstLine="400"/>
      </w:pPr>
      <w:rPr>
        <w:rFonts w:hint="default"/>
      </w:rPr>
    </w:lvl>
  </w:abstractNum>
  <w:abstractNum w:abstractNumId="10">
    <w:nsid w:val="F944049E"/>
    <w:multiLevelType w:val="singleLevel"/>
    <w:tmpl w:val="F944049E"/>
    <w:lvl w:ilvl="0" w:tentative="0">
      <w:start w:val="1"/>
      <w:numFmt w:val="bullet"/>
      <w:lvlText w:val=""/>
      <w:lvlJc w:val="left"/>
      <w:pPr>
        <w:ind w:left="420" w:hanging="420"/>
      </w:pPr>
      <w:rPr>
        <w:rFonts w:hint="default" w:ascii="Wingdings" w:hAnsi="Wingdings"/>
      </w:rPr>
    </w:lvl>
  </w:abstractNum>
  <w:abstractNum w:abstractNumId="11">
    <w:nsid w:val="0648F6EE"/>
    <w:multiLevelType w:val="singleLevel"/>
    <w:tmpl w:val="0648F6EE"/>
    <w:lvl w:ilvl="0" w:tentative="0">
      <w:start w:val="1"/>
      <w:numFmt w:val="decimal"/>
      <w:lvlText w:val="(%1)"/>
      <w:lvlJc w:val="left"/>
      <w:pPr>
        <w:ind w:left="425" w:hanging="425"/>
      </w:pPr>
      <w:rPr>
        <w:rFonts w:hint="default"/>
      </w:rPr>
    </w:lvl>
  </w:abstractNum>
  <w:abstractNum w:abstractNumId="12">
    <w:nsid w:val="085C0460"/>
    <w:multiLevelType w:val="singleLevel"/>
    <w:tmpl w:val="085C0460"/>
    <w:lvl w:ilvl="0" w:tentative="0">
      <w:start w:val="1"/>
      <w:numFmt w:val="decimal"/>
      <w:suff w:val="nothing"/>
      <w:lvlText w:val="%1．"/>
      <w:lvlJc w:val="left"/>
      <w:pPr>
        <w:ind w:left="0" w:firstLine="400"/>
      </w:pPr>
      <w:rPr>
        <w:rFonts w:hint="default"/>
      </w:rPr>
    </w:lvl>
  </w:abstractNum>
  <w:abstractNum w:abstractNumId="13">
    <w:nsid w:val="0CAB7F22"/>
    <w:multiLevelType w:val="singleLevel"/>
    <w:tmpl w:val="0CAB7F22"/>
    <w:lvl w:ilvl="0" w:tentative="0">
      <w:start w:val="1"/>
      <w:numFmt w:val="decimal"/>
      <w:suff w:val="nothing"/>
      <w:lvlText w:val="%1．"/>
      <w:lvlJc w:val="left"/>
      <w:pPr>
        <w:ind w:left="0" w:firstLine="400"/>
      </w:pPr>
      <w:rPr>
        <w:rFonts w:hint="default"/>
      </w:rPr>
    </w:lvl>
  </w:abstractNum>
  <w:abstractNum w:abstractNumId="14">
    <w:nsid w:val="0F7A9C0D"/>
    <w:multiLevelType w:val="singleLevel"/>
    <w:tmpl w:val="0F7A9C0D"/>
    <w:lvl w:ilvl="0" w:tentative="0">
      <w:start w:val="1"/>
      <w:numFmt w:val="decimal"/>
      <w:suff w:val="nothing"/>
      <w:lvlText w:val="%1．"/>
      <w:lvlJc w:val="left"/>
      <w:pPr>
        <w:ind w:left="0" w:firstLine="400"/>
      </w:pPr>
      <w:rPr>
        <w:rFonts w:hint="default"/>
      </w:rPr>
    </w:lvl>
  </w:abstractNum>
  <w:abstractNum w:abstractNumId="15">
    <w:nsid w:val="22617B91"/>
    <w:multiLevelType w:val="singleLevel"/>
    <w:tmpl w:val="22617B91"/>
    <w:lvl w:ilvl="0" w:tentative="0">
      <w:start w:val="1"/>
      <w:numFmt w:val="chineseCounting"/>
      <w:suff w:val="nothing"/>
      <w:lvlText w:val="（%1）"/>
      <w:lvlJc w:val="left"/>
      <w:pPr>
        <w:ind w:left="0" w:firstLine="420"/>
      </w:pPr>
      <w:rPr>
        <w:rFonts w:hint="eastAsia"/>
      </w:rPr>
    </w:lvl>
  </w:abstractNum>
  <w:abstractNum w:abstractNumId="16">
    <w:nsid w:val="23062F90"/>
    <w:multiLevelType w:val="singleLevel"/>
    <w:tmpl w:val="23062F90"/>
    <w:lvl w:ilvl="0" w:tentative="0">
      <w:start w:val="1"/>
      <w:numFmt w:val="decimal"/>
      <w:suff w:val="nothing"/>
      <w:lvlText w:val="%1．"/>
      <w:lvlJc w:val="left"/>
      <w:pPr>
        <w:ind w:left="0" w:firstLine="400"/>
      </w:pPr>
      <w:rPr>
        <w:rFonts w:hint="default"/>
      </w:rPr>
    </w:lvl>
  </w:abstractNum>
  <w:abstractNum w:abstractNumId="17">
    <w:nsid w:val="2BC49E5F"/>
    <w:multiLevelType w:val="singleLevel"/>
    <w:tmpl w:val="2BC49E5F"/>
    <w:lvl w:ilvl="0" w:tentative="0">
      <w:start w:val="1"/>
      <w:numFmt w:val="chineseCounting"/>
      <w:suff w:val="nothing"/>
      <w:lvlText w:val="%1、"/>
      <w:lvlJc w:val="left"/>
      <w:pPr>
        <w:ind w:left="0" w:firstLine="420"/>
      </w:pPr>
      <w:rPr>
        <w:rFonts w:hint="eastAsia"/>
      </w:rPr>
    </w:lvl>
  </w:abstractNum>
  <w:abstractNum w:abstractNumId="18">
    <w:nsid w:val="2D3218A5"/>
    <w:multiLevelType w:val="multilevel"/>
    <w:tmpl w:val="2D3218A5"/>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9">
    <w:nsid w:val="3118066A"/>
    <w:multiLevelType w:val="singleLevel"/>
    <w:tmpl w:val="3118066A"/>
    <w:lvl w:ilvl="0" w:tentative="0">
      <w:start w:val="1"/>
      <w:numFmt w:val="decimal"/>
      <w:lvlText w:val="%1."/>
      <w:lvlJc w:val="left"/>
      <w:pPr>
        <w:tabs>
          <w:tab w:val="left" w:pos="312"/>
        </w:tabs>
      </w:pPr>
    </w:lvl>
  </w:abstractNum>
  <w:abstractNum w:abstractNumId="20">
    <w:nsid w:val="46D90D18"/>
    <w:multiLevelType w:val="singleLevel"/>
    <w:tmpl w:val="46D90D18"/>
    <w:lvl w:ilvl="0" w:tentative="0">
      <w:start w:val="1"/>
      <w:numFmt w:val="decimal"/>
      <w:suff w:val="nothing"/>
      <w:lvlText w:val="%1．"/>
      <w:lvlJc w:val="left"/>
      <w:pPr>
        <w:ind w:left="0" w:firstLine="400"/>
      </w:pPr>
      <w:rPr>
        <w:rFonts w:hint="default"/>
      </w:rPr>
    </w:lvl>
  </w:abstractNum>
  <w:abstractNum w:abstractNumId="21">
    <w:nsid w:val="5F4A1C2A"/>
    <w:multiLevelType w:val="singleLevel"/>
    <w:tmpl w:val="5F4A1C2A"/>
    <w:lvl w:ilvl="0" w:tentative="0">
      <w:start w:val="1"/>
      <w:numFmt w:val="decimal"/>
      <w:lvlText w:val="(%1)"/>
      <w:lvlJc w:val="left"/>
      <w:pPr>
        <w:ind w:left="425" w:hanging="425"/>
      </w:pPr>
      <w:rPr>
        <w:rFonts w:hint="default"/>
      </w:rPr>
    </w:lvl>
  </w:abstractNum>
  <w:abstractNum w:abstractNumId="22">
    <w:nsid w:val="608B4687"/>
    <w:multiLevelType w:val="singleLevel"/>
    <w:tmpl w:val="608B4687"/>
    <w:lvl w:ilvl="0" w:tentative="0">
      <w:start w:val="1"/>
      <w:numFmt w:val="decimal"/>
      <w:suff w:val="nothing"/>
      <w:lvlText w:val="%1．"/>
      <w:lvlJc w:val="left"/>
      <w:pPr>
        <w:ind w:left="0" w:firstLine="400"/>
      </w:pPr>
      <w:rPr>
        <w:rFonts w:hint="default"/>
      </w:rPr>
    </w:lvl>
  </w:abstractNum>
  <w:abstractNum w:abstractNumId="23">
    <w:nsid w:val="62BD5C22"/>
    <w:multiLevelType w:val="singleLevel"/>
    <w:tmpl w:val="62BD5C22"/>
    <w:lvl w:ilvl="0" w:tentative="0">
      <w:start w:val="1"/>
      <w:numFmt w:val="decimal"/>
      <w:suff w:val="nothing"/>
      <w:lvlText w:val="%1．"/>
      <w:lvlJc w:val="left"/>
      <w:pPr>
        <w:ind w:left="0" w:firstLine="400"/>
      </w:pPr>
      <w:rPr>
        <w:rFonts w:hint="default"/>
      </w:rPr>
    </w:lvl>
  </w:abstractNum>
  <w:abstractNum w:abstractNumId="24">
    <w:nsid w:val="75906BB4"/>
    <w:multiLevelType w:val="multilevel"/>
    <w:tmpl w:val="75906B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7BD7FF29"/>
    <w:multiLevelType w:val="singleLevel"/>
    <w:tmpl w:val="7BD7FF29"/>
    <w:lvl w:ilvl="0" w:tentative="0">
      <w:start w:val="1"/>
      <w:numFmt w:val="decimal"/>
      <w:suff w:val="nothing"/>
      <w:lvlText w:val="%1．"/>
      <w:lvlJc w:val="left"/>
      <w:pPr>
        <w:ind w:left="0" w:firstLine="400"/>
      </w:pPr>
      <w:rPr>
        <w:rFonts w:hint="default"/>
      </w:rPr>
    </w:lvl>
  </w:abstractNum>
  <w:abstractNum w:abstractNumId="26">
    <w:nsid w:val="7E287A56"/>
    <w:multiLevelType w:val="singleLevel"/>
    <w:tmpl w:val="7E287A56"/>
    <w:lvl w:ilvl="0" w:tentative="0">
      <w:start w:val="1"/>
      <w:numFmt w:val="decimal"/>
      <w:suff w:val="nothing"/>
      <w:lvlText w:val="%1．"/>
      <w:lvlJc w:val="left"/>
      <w:pPr>
        <w:ind w:left="0" w:firstLine="400"/>
      </w:pPr>
      <w:rPr>
        <w:rFonts w:hint="default"/>
      </w:rPr>
    </w:lvl>
  </w:abstractNum>
  <w:num w:numId="1">
    <w:abstractNumId w:val="2"/>
  </w:num>
  <w:num w:numId="2">
    <w:abstractNumId w:val="8"/>
  </w:num>
  <w:num w:numId="3">
    <w:abstractNumId w:val="3"/>
  </w:num>
  <w:num w:numId="4">
    <w:abstractNumId w:val="5"/>
  </w:num>
  <w:num w:numId="5">
    <w:abstractNumId w:val="15"/>
  </w:num>
  <w:num w:numId="6">
    <w:abstractNumId w:val="12"/>
  </w:num>
  <w:num w:numId="7">
    <w:abstractNumId w:val="25"/>
  </w:num>
  <w:num w:numId="8">
    <w:abstractNumId w:val="1"/>
  </w:num>
  <w:num w:numId="9">
    <w:abstractNumId w:val="14"/>
  </w:num>
  <w:num w:numId="10">
    <w:abstractNumId w:val="17"/>
  </w:num>
  <w:num w:numId="11">
    <w:abstractNumId w:val="9"/>
  </w:num>
  <w:num w:numId="12">
    <w:abstractNumId w:val="18"/>
  </w:num>
  <w:num w:numId="13">
    <w:abstractNumId w:val="24"/>
  </w:num>
  <w:num w:numId="14">
    <w:abstractNumId w:val="22"/>
  </w:num>
  <w:num w:numId="15">
    <w:abstractNumId w:val="16"/>
  </w:num>
  <w:num w:numId="16">
    <w:abstractNumId w:val="6"/>
  </w:num>
  <w:num w:numId="17">
    <w:abstractNumId w:val="7"/>
  </w:num>
  <w:num w:numId="18">
    <w:abstractNumId w:val="19"/>
  </w:num>
  <w:num w:numId="19">
    <w:abstractNumId w:val="0"/>
  </w:num>
  <w:num w:numId="20">
    <w:abstractNumId w:val="21"/>
  </w:num>
  <w:num w:numId="21">
    <w:abstractNumId w:val="26"/>
  </w:num>
  <w:num w:numId="22">
    <w:abstractNumId w:val="10"/>
  </w:num>
  <w:num w:numId="23">
    <w:abstractNumId w:val="11"/>
  </w:num>
  <w:num w:numId="24">
    <w:abstractNumId w:val="4"/>
  </w:num>
  <w:num w:numId="25">
    <w:abstractNumId w:val="13"/>
  </w:num>
  <w:num w:numId="26">
    <w:abstractNumId w:val="23"/>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408"/>
    <w:rsid w:val="002319B8"/>
    <w:rsid w:val="00250058"/>
    <w:rsid w:val="00387137"/>
    <w:rsid w:val="004F0346"/>
    <w:rsid w:val="00523445"/>
    <w:rsid w:val="006A2408"/>
    <w:rsid w:val="00A21571"/>
    <w:rsid w:val="00A73E3C"/>
    <w:rsid w:val="00EC3B55"/>
    <w:rsid w:val="00FB1478"/>
    <w:rsid w:val="5B157849"/>
    <w:rsid w:val="621C3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styleId="5">
    <w:name w:val="Hyperlink"/>
    <w:basedOn w:val="4"/>
    <w:unhideWhenUsed/>
    <w:uiPriority w:val="99"/>
    <w:rPr>
      <w:color w:val="0563C1" w:themeColor="hyperlink"/>
      <w:u w:val="single"/>
      <w14:textFill>
        <w14:solidFill>
          <w14:schemeClr w14:val="hlink"/>
        </w14:solidFill>
      </w14:textFill>
    </w:rPr>
  </w:style>
  <w:style w:type="character" w:customStyle="1" w:styleId="7">
    <w:name w:val="页眉 字符"/>
    <w:basedOn w:val="4"/>
    <w:link w:val="3"/>
    <w:qFormat/>
    <w:uiPriority w:val="99"/>
    <w:rPr>
      <w:sz w:val="18"/>
      <w:szCs w:val="18"/>
    </w:rPr>
  </w:style>
  <w:style w:type="character" w:customStyle="1" w:styleId="8">
    <w:name w:val="页脚 字符"/>
    <w:basedOn w:val="4"/>
    <w:link w:val="2"/>
    <w:qFormat/>
    <w:uiPriority w:val="99"/>
    <w:rPr>
      <w:sz w:val="18"/>
      <w:szCs w:val="18"/>
    </w:rPr>
  </w:style>
</w:styles>
</file>

<file path=word/_rels/document.xml.rels><?xml version="1.0" encoding="UTF-8" standalone="yes"?>
<Relationships xmlns="http://schemas.openxmlformats.org/package/2006/relationships"><Relationship Id="rId91" Type="http://schemas.openxmlformats.org/officeDocument/2006/relationships/fontTable" Target="fontTable.xml"/><Relationship Id="rId90" Type="http://schemas.openxmlformats.org/officeDocument/2006/relationships/numbering" Target="numbering.xml"/><Relationship Id="rId9" Type="http://schemas.openxmlformats.org/officeDocument/2006/relationships/image" Target="media/image6.png"/><Relationship Id="rId89" Type="http://schemas.openxmlformats.org/officeDocument/2006/relationships/customXml" Target="../customXml/item1.xml"/><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5.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4.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3.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image" Target="media/image2.png"/><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image" Target="media/image1.png"/><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emf"/><Relationship Id="rId16" Type="http://schemas.openxmlformats.org/officeDocument/2006/relationships/oleObject" Target="embeddings/oleObject2.bin"/><Relationship Id="rId15" Type="http://schemas.openxmlformats.org/officeDocument/2006/relationships/image" Target="media/image11.emf"/><Relationship Id="rId14" Type="http://schemas.openxmlformats.org/officeDocument/2006/relationships/oleObject" Target="embeddings/oleObject1.bin"/><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58</Pages>
  <Words>2775</Words>
  <Characters>15822</Characters>
  <Lines>131</Lines>
  <Paragraphs>37</Paragraphs>
  <TotalTime>0</TotalTime>
  <ScaleCrop>false</ScaleCrop>
  <LinksUpToDate>false</LinksUpToDate>
  <CharactersWithSpaces>18560</CharactersWithSpaces>
  <Application>WPS Office_10.8.2.6870_F1E327BC-269C-435d-A152-05C5408002CA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2020-01-03T04:48:00Z</dcterms:created>
  <dc:creator>12366</dc:creator>
  <cp:lastModifiedBy> </cp:lastModifiedBy>
  <dcterms:modified xsi:type="dcterms:W3CDTF">2020-01-06T09:59:30Z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2052-10.8.2.6870</vt:lpwstr>
  </property>
</Properties>
</file>