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关于调整残疾、孤老人员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和烈属所得减征个人所得税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有关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" w:eastAsia="zh-CN" w:bidi="ar"/>
        </w:rPr>
        <w:t>（征求意见稿）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根据《中华人民共和国个人所得税法》第五条规定，结合新疆实际，现将残疾、孤老人员和烈属所得减征个人所得税有关</w:t>
      </w: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" w:eastAsia="zh-CN" w:bidi="ar"/>
        </w:rPr>
        <w:t>事项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通知如下：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残疾、孤老人员和烈属取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得综合所得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，年应纳个人所得税不超过8000元的（含），免征个人所得税；超过的部分，依法征收个人所得税。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残疾、孤老人员和烈属取得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经营所得，年应纳个人所得税不超过8000元的（含），免征个人所得税；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超过的部分，依法征收个人所得税。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三、纳税人同时取得综合所得和经营所得，可以选择其中一个所得项目享受减征个人所得税政策，不得重复享受。纳税人同时有残疾、孤老人员和烈属两种以上身份的，可以选择其中一种身份享受减征个人所得税政策，不得重复享受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四、各级税务、民政、财政、退役军人事务、残联等部门应加强协作配合和信息共享，确保个人所得税优惠政策落实到位。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五、本通知自2026年1月1日起执行。《自治区人民政府关于同意对残疾、孤老人员和烈属减半征收个人所得税的批复》（新政函[1994]132号）同时废止。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0FF6FFC"/>
    <w:rsid w:val="4A1947CF"/>
    <w:rsid w:val="72DFDE94"/>
    <w:rsid w:val="76BAE41A"/>
    <w:rsid w:val="7CFE7CE3"/>
    <w:rsid w:val="EFEE5722"/>
    <w:rsid w:val="F7B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5">
    <w:name w:val="content-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atLeast"/>
      <w:jc w:val="left"/>
    </w:pPr>
    <w:rPr>
      <w:kern w:val="0"/>
      <w:sz w:val="42"/>
      <w:szCs w:val="4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zhulp</cp:lastModifiedBy>
  <cp:lastPrinted>2025-09-03T13:12:59Z</cp:lastPrinted>
  <dcterms:modified xsi:type="dcterms:W3CDTF">2025-09-03T13:13:02Z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