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E1322">
      <w:pPr>
        <w:spacing w:line="480" w:lineRule="exac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附件：</w:t>
      </w:r>
    </w:p>
    <w:p w14:paraId="3654EEFF">
      <w:pPr>
        <w:spacing w:line="48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国家税务总局巴音郭楞蒙古自治州税务局稽查局</w:t>
      </w:r>
    </w:p>
    <w:p w14:paraId="654505F1">
      <w:pPr>
        <w:spacing w:line="480" w:lineRule="exact"/>
        <w:jc w:val="center"/>
        <w:rPr>
          <w:rFonts w:hint="eastAsia" w:ascii="仿宋_GB2312" w:hAnsi="仿宋_GB2312" w:eastAsia="仿宋_GB2312" w:cs="仿宋_GB2312"/>
          <w:b/>
          <w:bCs/>
          <w:sz w:val="2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2026年第二季度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随机抽查事项清单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重点第二批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</w:p>
    <w:tbl>
      <w:tblPr>
        <w:tblStyle w:val="6"/>
        <w:tblW w:w="9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246"/>
        <w:gridCol w:w="265"/>
        <w:gridCol w:w="1855"/>
        <w:gridCol w:w="2150"/>
        <w:gridCol w:w="2314"/>
      </w:tblGrid>
      <w:tr w14:paraId="19A6A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59" w:type="dxa"/>
            <w:noWrap w:val="0"/>
            <w:vAlign w:val="center"/>
          </w:tcPr>
          <w:p w14:paraId="32F7372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公示事项</w:t>
            </w:r>
          </w:p>
        </w:tc>
        <w:tc>
          <w:tcPr>
            <w:tcW w:w="8830" w:type="dxa"/>
            <w:gridSpan w:val="5"/>
            <w:noWrap w:val="0"/>
            <w:vAlign w:val="center"/>
          </w:tcPr>
          <w:p w14:paraId="0B7A506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公示内容</w:t>
            </w:r>
          </w:p>
        </w:tc>
      </w:tr>
      <w:tr w14:paraId="7D15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959" w:type="dxa"/>
            <w:noWrap w:val="0"/>
            <w:vAlign w:val="center"/>
          </w:tcPr>
          <w:p w14:paraId="15981CB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随机抽查项目</w:t>
            </w:r>
          </w:p>
        </w:tc>
        <w:tc>
          <w:tcPr>
            <w:tcW w:w="8830" w:type="dxa"/>
            <w:gridSpan w:val="5"/>
            <w:noWrap w:val="0"/>
            <w:vAlign w:val="center"/>
          </w:tcPr>
          <w:p w14:paraId="7AD2E72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税务稽查随机抽查（202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年第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季度随机抽查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对象—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重点第二批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</w:tr>
      <w:tr w14:paraId="6633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959" w:type="dxa"/>
            <w:noWrap w:val="0"/>
            <w:vAlign w:val="center"/>
          </w:tcPr>
          <w:p w14:paraId="75D2248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随机抽查依据</w:t>
            </w:r>
          </w:p>
        </w:tc>
        <w:tc>
          <w:tcPr>
            <w:tcW w:w="2246" w:type="dxa"/>
            <w:noWrap w:val="0"/>
            <w:tcMar>
              <w:left w:w="28" w:type="dxa"/>
              <w:right w:w="28" w:type="dxa"/>
            </w:tcMar>
            <w:vAlign w:val="top"/>
          </w:tcPr>
          <w:p w14:paraId="6275DD8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《中华人民共和国税收征收管理法》第五十四条、第五十七条、第五十八条</w:t>
            </w:r>
          </w:p>
        </w:tc>
        <w:tc>
          <w:tcPr>
            <w:tcW w:w="2120" w:type="dxa"/>
            <w:gridSpan w:val="2"/>
            <w:noWrap w:val="0"/>
            <w:tcMar>
              <w:left w:w="28" w:type="dxa"/>
              <w:right w:w="28" w:type="dxa"/>
            </w:tcMar>
            <w:vAlign w:val="top"/>
          </w:tcPr>
          <w:p w14:paraId="698F5A5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《国务院办公厅关于推广随机抽查规范事中事后监管的通知》（国办发〔2015〕58号）</w:t>
            </w:r>
          </w:p>
        </w:tc>
        <w:tc>
          <w:tcPr>
            <w:tcW w:w="2150" w:type="dxa"/>
            <w:noWrap w:val="0"/>
            <w:tcMar>
              <w:left w:w="28" w:type="dxa"/>
              <w:right w:w="28" w:type="dxa"/>
            </w:tcMar>
            <w:vAlign w:val="top"/>
          </w:tcPr>
          <w:p w14:paraId="7C6B80E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24"/>
                <w:lang w:val="en-US" w:eastAsia="zh-CN"/>
              </w:rPr>
              <w:t>《国家税务总局关于印发&lt;推进税务稽查随机抽查实施方案&gt;的通知》（税总发〔2015〕104号）</w:t>
            </w:r>
          </w:p>
        </w:tc>
        <w:tc>
          <w:tcPr>
            <w:tcW w:w="2314" w:type="dxa"/>
            <w:noWrap w:val="0"/>
            <w:tcMar>
              <w:left w:w="28" w:type="dxa"/>
              <w:right w:w="28" w:type="dxa"/>
            </w:tcMar>
            <w:vAlign w:val="top"/>
          </w:tcPr>
          <w:p w14:paraId="19D82B6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《新疆维吾尔自治区人民政府办公厅关于印发&lt;推广随机抽查规范事中事后监管实施方案&gt;的通知》（新政办发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24"/>
                <w:lang w:val="en-US" w:eastAsia="zh-CN"/>
              </w:rPr>
              <w:t>〔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2016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24"/>
                <w:lang w:val="en-US" w:eastAsia="zh-CN"/>
              </w:rPr>
              <w:t>〕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17号）</w:t>
            </w:r>
          </w:p>
        </w:tc>
      </w:tr>
      <w:tr w14:paraId="306D8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59" w:type="dxa"/>
            <w:noWrap w:val="0"/>
            <w:vAlign w:val="center"/>
          </w:tcPr>
          <w:p w14:paraId="2917F14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随机抽查主体</w:t>
            </w:r>
          </w:p>
        </w:tc>
        <w:tc>
          <w:tcPr>
            <w:tcW w:w="8830" w:type="dxa"/>
            <w:gridSpan w:val="5"/>
            <w:noWrap w:val="0"/>
            <w:vAlign w:val="center"/>
          </w:tcPr>
          <w:p w14:paraId="254B93A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国家税务总局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巴音郭楞蒙古自治州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税务局稽查局</w:t>
            </w:r>
          </w:p>
        </w:tc>
      </w:tr>
      <w:tr w14:paraId="7E298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959" w:type="dxa"/>
            <w:noWrap w:val="0"/>
            <w:vAlign w:val="center"/>
          </w:tcPr>
          <w:p w14:paraId="3DB0533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随机抽查方式</w:t>
            </w:r>
          </w:p>
        </w:tc>
        <w:tc>
          <w:tcPr>
            <w:tcW w:w="8830" w:type="dxa"/>
            <w:gridSpan w:val="5"/>
            <w:noWrap w:val="0"/>
            <w:vAlign w:val="top"/>
          </w:tcPr>
          <w:p w14:paraId="702BFDFB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采取定向抽取方式，从税务稽查双随机工作平台“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重点企业稽查对象名录库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”中，随机抽取抽查对象。</w:t>
            </w:r>
          </w:p>
        </w:tc>
      </w:tr>
      <w:tr w14:paraId="38DC1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959" w:type="dxa"/>
            <w:noWrap w:val="0"/>
            <w:vAlign w:val="center"/>
          </w:tcPr>
          <w:p w14:paraId="5BE122E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随机抽查对象</w:t>
            </w:r>
          </w:p>
        </w:tc>
        <w:tc>
          <w:tcPr>
            <w:tcW w:w="8830" w:type="dxa"/>
            <w:gridSpan w:val="5"/>
            <w:noWrap w:val="0"/>
            <w:vAlign w:val="top"/>
          </w:tcPr>
          <w:p w14:paraId="7C25CC21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纳税人、扣缴义务人和其他涉税当事人履行纳税义务、扣缴税款义务情况及其他税法遵从情况。</w:t>
            </w:r>
          </w:p>
        </w:tc>
      </w:tr>
      <w:tr w14:paraId="4FB7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959" w:type="dxa"/>
            <w:noWrap w:val="0"/>
            <w:vAlign w:val="center"/>
          </w:tcPr>
          <w:p w14:paraId="6BCBFF2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随机抽查内容</w:t>
            </w:r>
          </w:p>
        </w:tc>
        <w:tc>
          <w:tcPr>
            <w:tcW w:w="8830" w:type="dxa"/>
            <w:gridSpan w:val="5"/>
            <w:noWrap w:val="0"/>
            <w:vAlign w:val="top"/>
          </w:tcPr>
          <w:p w14:paraId="269483B9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不缴或者少缴税款行为，是否有不缴或者少缴已扣、已收税款行为，是否有逃避追缴欠税行为，是否有违规取得国家出口退税款、骗取国家出口退税款行为，是否有应扣未扣、应收而不收税款行为，是否有虚开发票行为，是否有其他不遵从税法行为。</w:t>
            </w:r>
          </w:p>
        </w:tc>
      </w:tr>
      <w:tr w14:paraId="3FFD1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59" w:type="dxa"/>
            <w:noWrap w:val="0"/>
            <w:vAlign w:val="center"/>
          </w:tcPr>
          <w:p w14:paraId="57A32AD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检查所属期间</w:t>
            </w:r>
          </w:p>
        </w:tc>
        <w:tc>
          <w:tcPr>
            <w:tcW w:w="8830" w:type="dxa"/>
            <w:gridSpan w:val="5"/>
            <w:noWrap w:val="0"/>
            <w:vAlign w:val="top"/>
          </w:tcPr>
          <w:p w14:paraId="0093EA08">
            <w:pPr>
              <w:spacing w:line="30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年1月1日-20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年12月31日（如检查发现此期间以外明显的税收违法嫌疑或线索不受此限）。</w:t>
            </w:r>
          </w:p>
        </w:tc>
      </w:tr>
      <w:tr w14:paraId="16EA6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59" w:type="dxa"/>
            <w:noWrap w:val="0"/>
            <w:vAlign w:val="center"/>
          </w:tcPr>
          <w:p w14:paraId="409E2B7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检查手段</w:t>
            </w:r>
          </w:p>
        </w:tc>
        <w:tc>
          <w:tcPr>
            <w:tcW w:w="8830" w:type="dxa"/>
            <w:gridSpan w:val="5"/>
            <w:noWrap w:val="0"/>
            <w:vAlign w:val="center"/>
          </w:tcPr>
          <w:p w14:paraId="267F2C33">
            <w:pPr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检查纳税人的账簿、记账凭证、报表和有关资料，检查扣缴义务人代扣代缴、代收代缴税款账簿、记账凭证和有关资料。</w:t>
            </w:r>
          </w:p>
          <w:p w14:paraId="3527EAE3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到纳税人的生产、经营场所和货物存放地检查纳税人应纳税的商品、货物或者其他财产，检查扣缴义务人与代扣代缴、代收代缴税款有关的经营情况。</w:t>
            </w:r>
          </w:p>
          <w:p w14:paraId="5394886C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责成纳税人、扣缴义务人提供与纳税或者代扣代缴、代收代缴税款有关的文件、证明材料和有关资料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  <w:p w14:paraId="3374FC44">
            <w:pPr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询问纳税人、扣缴义务人与纳税或者代扣代缴、代收代缴税款有关的问题和情况。</w:t>
            </w:r>
          </w:p>
          <w:p w14:paraId="68AA6910">
            <w:pPr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到车站、码头、机场、邮政企业及其分支机构检查纳税人托运、邮寄应纳税商品、货物或者其他财产的有关单据、凭证和有关资料。</w:t>
            </w:r>
          </w:p>
          <w:p w14:paraId="7FCC0D56">
            <w:pPr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县以上税务局(分局)局长批准，凭全国统一格式的检查存款账户许可证明，查询从事生产、经营的纳税人、扣缴义务人在银行或者其他金融机构的存款账户。税务机关在调查税收违法案件时，经设区的市、自治州以上税务局(分局)局长批准，可以查询案件涉嫌人员的储蓄存款。税务机关查询所获得的资料，不得用于税收以外的用途。</w:t>
            </w:r>
          </w:p>
          <w:p w14:paraId="2A0B8F46">
            <w:pPr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税务机关依法进行税务检查时，有权向有关单位和个人调查纳税人、扣缴义务人和其他当事人与纳税或者代扣代缴、代收代缴税款有关的情况，有关单位和个人有义务向税务机关如实提供有关资料及证明材料。</w:t>
            </w:r>
          </w:p>
          <w:p w14:paraId="4AFC1949">
            <w:pPr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税务机关调查税务违法案件时，对与案件有关的情况和资料，可以记录、录音、录像、照相和复制。</w:t>
            </w:r>
          </w:p>
        </w:tc>
      </w:tr>
      <w:tr w14:paraId="01A67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959" w:type="dxa"/>
            <w:vMerge w:val="restart"/>
            <w:noWrap w:val="0"/>
            <w:vAlign w:val="center"/>
          </w:tcPr>
          <w:p w14:paraId="1F49D52F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随机抽查结果</w:t>
            </w:r>
          </w:p>
        </w:tc>
        <w:tc>
          <w:tcPr>
            <w:tcW w:w="2511" w:type="dxa"/>
            <w:gridSpan w:val="2"/>
            <w:noWrap w:val="0"/>
            <w:vAlign w:val="center"/>
          </w:tcPr>
          <w:p w14:paraId="6F0EA15F">
            <w:pPr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纳税人识别号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7512AEE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纳税人名称</w:t>
            </w:r>
          </w:p>
        </w:tc>
      </w:tr>
      <w:tr w14:paraId="42ED0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1B46B81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34981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91652826584783685R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2CF3F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焉耆富兴石业有限公司</w:t>
            </w:r>
          </w:p>
        </w:tc>
      </w:tr>
      <w:tr w14:paraId="3702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548890B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2538C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91652822MA7FW1ET7K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6EF04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新疆汇洋能源科技有限公司</w:t>
            </w:r>
          </w:p>
        </w:tc>
      </w:tr>
      <w:tr w14:paraId="407D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7321867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1E7B7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zh-CN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91652801MA791XGW7D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4EEA6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新疆汇良新材料科技有限公司</w:t>
            </w:r>
          </w:p>
        </w:tc>
      </w:tr>
      <w:tr w14:paraId="78CD9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2D517F2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2FB23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zh-CN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916528226864559656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0F7E8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轮台县母亲河商贸有限责任公司</w:t>
            </w:r>
          </w:p>
        </w:tc>
      </w:tr>
      <w:tr w14:paraId="7FD1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3C55ACC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0F2E6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zh-CN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91652822MA775XAL9G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0D309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轮台县汇众混凝土有限公司</w:t>
            </w:r>
          </w:p>
        </w:tc>
      </w:tr>
      <w:tr w14:paraId="0CF96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1D85A85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447B2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zh-CN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91652822MA78G2T479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469BB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轮台春运油田技术服务有限公司</w:t>
            </w:r>
          </w:p>
        </w:tc>
      </w:tr>
      <w:tr w14:paraId="56753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54FE5BB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3E9BA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91652801MA79FEUC7B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428A1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库尔勒同创伟业投资发展有限公司</w:t>
            </w:r>
          </w:p>
        </w:tc>
      </w:tr>
      <w:tr w14:paraId="57F87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7AD0492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5D194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916528015893021314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1CF76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巴州优博燃气设备有限公司</w:t>
            </w:r>
          </w:p>
        </w:tc>
      </w:tr>
      <w:tr w14:paraId="6809F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6F8E9F2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76D4F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91652801053180586M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73EBE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巴州顺邦水泥制品有限公司</w:t>
            </w:r>
          </w:p>
        </w:tc>
      </w:tr>
      <w:tr w14:paraId="72E66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2346387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33E62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91652824MA7811HG4T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2A5CD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巴州汇金砂石料有限公司</w:t>
            </w:r>
          </w:p>
        </w:tc>
      </w:tr>
      <w:tr w14:paraId="09D3E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0A3B5D1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5BE8C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916528265688598625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4C487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焉耆兴隆农机销售有限公司</w:t>
            </w:r>
          </w:p>
        </w:tc>
      </w:tr>
      <w:tr w14:paraId="522D8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2C6DD44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532C9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91652822754593471A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2299A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新疆神天科技服务有限公司</w:t>
            </w:r>
          </w:p>
        </w:tc>
      </w:tr>
      <w:tr w14:paraId="7A277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284F2AC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38501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91653129MA776LB147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2ADC8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新疆喀喇昆仑建设集团有限公司</w:t>
            </w:r>
          </w:p>
        </w:tc>
      </w:tr>
      <w:tr w14:paraId="6EB8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63F1737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350CD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91652823MA780MM74J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4D818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尉犁中祥商贸有限公司</w:t>
            </w:r>
          </w:p>
        </w:tc>
      </w:tr>
      <w:tr w14:paraId="23553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67F0727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7419B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91652823663642813L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5EDBE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尉犁县永发塑业有限责任公司</w:t>
            </w:r>
          </w:p>
        </w:tc>
      </w:tr>
      <w:tr w14:paraId="45A64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3EB9D6C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5B23A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91652824MACMRQGW0M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4D04B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若羌国宏建筑工程有限公司</w:t>
            </w:r>
          </w:p>
        </w:tc>
      </w:tr>
      <w:tr w14:paraId="662D3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64241CA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36BAB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91652801781770461F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389B7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库尔勒郑豫石油物资有限公司</w:t>
            </w:r>
          </w:p>
        </w:tc>
      </w:tr>
      <w:tr w14:paraId="1DC43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45F8672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254E6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91652801328829402T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4B630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库尔勒金晟纺织器材有限公司</w:t>
            </w:r>
          </w:p>
        </w:tc>
      </w:tr>
      <w:tr w14:paraId="77F1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57BC4B3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1831C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91652828MACL19BE22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0153B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和硕县峰润供应链管理有限公司</w:t>
            </w:r>
          </w:p>
        </w:tc>
      </w:tr>
      <w:tr w14:paraId="2A8E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3F169DE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665C6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91652828MABJJF0M94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31896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和硕县宝硕矿业开发有限责任公</w:t>
            </w:r>
            <w:bookmarkStart w:id="0" w:name="_GoBack"/>
            <w:bookmarkEnd w:id="0"/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司</w:t>
            </w:r>
          </w:p>
        </w:tc>
      </w:tr>
      <w:tr w14:paraId="68634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5D9DAE1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7EC67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91652822MA780E451M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64A8D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巴州长一石油技术服务有限公司</w:t>
            </w:r>
          </w:p>
        </w:tc>
      </w:tr>
      <w:tr w14:paraId="7F7E2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2880C21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49F40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916528226792933474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28626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巴州长岭燃气有限公司</w:t>
            </w:r>
          </w:p>
        </w:tc>
      </w:tr>
      <w:tr w14:paraId="2F97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6A35CCE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2551C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000000"/>
                <w:kern w:val="0"/>
                <w:sz w:val="27"/>
                <w:szCs w:val="27"/>
                <w:u w:val="none"/>
                <w:lang w:val="en-US" w:eastAsia="zh-CN" w:bidi="ar"/>
              </w:rPr>
              <w:t>91652801580220500B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4709C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巴州盛磊石油技术服务有限公司</w:t>
            </w:r>
          </w:p>
        </w:tc>
      </w:tr>
      <w:tr w14:paraId="3C6E3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959" w:type="dxa"/>
            <w:vMerge w:val="continue"/>
            <w:tcBorders/>
            <w:noWrap w:val="0"/>
            <w:vAlign w:val="center"/>
          </w:tcPr>
          <w:p w14:paraId="2856CFE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 w:val="0"/>
            <w:vAlign w:val="center"/>
          </w:tcPr>
          <w:p w14:paraId="69B81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916528250620574759</w:t>
            </w:r>
          </w:p>
        </w:tc>
        <w:tc>
          <w:tcPr>
            <w:tcW w:w="6319" w:type="dxa"/>
            <w:gridSpan w:val="3"/>
            <w:noWrap w:val="0"/>
            <w:vAlign w:val="center"/>
          </w:tcPr>
          <w:p w14:paraId="12F49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MicrosoftYaHei" w:hAnsi="MicrosoftYaHei" w:eastAsia="MicrosoftYaHei" w:cs="MicrosoftYaHei"/>
                <w:i w:val="0"/>
                <w:iCs w:val="0"/>
                <w:color w:val="333333"/>
                <w:kern w:val="0"/>
                <w:sz w:val="27"/>
                <w:szCs w:val="27"/>
                <w:u w:val="none"/>
                <w:lang w:val="en-US" w:eastAsia="zh-CN" w:bidi="ar"/>
              </w:rPr>
              <w:t>巴州峰源鑫达混凝土有限公司</w:t>
            </w:r>
          </w:p>
        </w:tc>
      </w:tr>
    </w:tbl>
    <w:p w14:paraId="1B76DD81">
      <w:pPr>
        <w:spacing w:line="240" w:lineRule="auto"/>
        <w:rPr>
          <w:sz w:val="24"/>
        </w:rPr>
      </w:pPr>
    </w:p>
    <w:sectPr>
      <w:pgSz w:w="11906" w:h="16838"/>
      <w:pgMar w:top="1418" w:right="1418" w:bottom="1134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YaHei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620D"/>
    <w:rsid w:val="00034701"/>
    <w:rsid w:val="00074DB5"/>
    <w:rsid w:val="000861B0"/>
    <w:rsid w:val="000D15EF"/>
    <w:rsid w:val="0014088A"/>
    <w:rsid w:val="001F67BA"/>
    <w:rsid w:val="00202BB9"/>
    <w:rsid w:val="00265226"/>
    <w:rsid w:val="002F0A0F"/>
    <w:rsid w:val="00301FC9"/>
    <w:rsid w:val="0030581F"/>
    <w:rsid w:val="00397803"/>
    <w:rsid w:val="003B7FFA"/>
    <w:rsid w:val="003F113C"/>
    <w:rsid w:val="00401EE2"/>
    <w:rsid w:val="004833B5"/>
    <w:rsid w:val="00547CA3"/>
    <w:rsid w:val="00577100"/>
    <w:rsid w:val="005D0598"/>
    <w:rsid w:val="00641354"/>
    <w:rsid w:val="006552B5"/>
    <w:rsid w:val="00677044"/>
    <w:rsid w:val="006950B9"/>
    <w:rsid w:val="007413A6"/>
    <w:rsid w:val="007F4D3A"/>
    <w:rsid w:val="00847FF0"/>
    <w:rsid w:val="00851B71"/>
    <w:rsid w:val="008B61CD"/>
    <w:rsid w:val="00930EB3"/>
    <w:rsid w:val="00A610C9"/>
    <w:rsid w:val="00A921B4"/>
    <w:rsid w:val="00AA2600"/>
    <w:rsid w:val="00AC2888"/>
    <w:rsid w:val="00AC70D0"/>
    <w:rsid w:val="00B321A4"/>
    <w:rsid w:val="00B93F62"/>
    <w:rsid w:val="00BE5AEB"/>
    <w:rsid w:val="00C06AFB"/>
    <w:rsid w:val="00C822B9"/>
    <w:rsid w:val="00D4033E"/>
    <w:rsid w:val="00D91391"/>
    <w:rsid w:val="00DA4592"/>
    <w:rsid w:val="00F0234A"/>
    <w:rsid w:val="00F35128"/>
    <w:rsid w:val="00F6352D"/>
    <w:rsid w:val="00F740AF"/>
    <w:rsid w:val="00FB7C56"/>
    <w:rsid w:val="00FC18CB"/>
    <w:rsid w:val="011757AB"/>
    <w:rsid w:val="023E7FF6"/>
    <w:rsid w:val="024E2671"/>
    <w:rsid w:val="032020D5"/>
    <w:rsid w:val="03425450"/>
    <w:rsid w:val="03B0116B"/>
    <w:rsid w:val="03F90E9F"/>
    <w:rsid w:val="04BD0A9B"/>
    <w:rsid w:val="063C179A"/>
    <w:rsid w:val="06F3302C"/>
    <w:rsid w:val="096D581E"/>
    <w:rsid w:val="0B88041D"/>
    <w:rsid w:val="0BDC2195"/>
    <w:rsid w:val="0F18574B"/>
    <w:rsid w:val="0F767F81"/>
    <w:rsid w:val="105F2508"/>
    <w:rsid w:val="10CD48BD"/>
    <w:rsid w:val="11F8214F"/>
    <w:rsid w:val="122A13F3"/>
    <w:rsid w:val="133A22AD"/>
    <w:rsid w:val="139A4667"/>
    <w:rsid w:val="148B2361"/>
    <w:rsid w:val="14FA5695"/>
    <w:rsid w:val="150C3F88"/>
    <w:rsid w:val="166302BD"/>
    <w:rsid w:val="16D84A4B"/>
    <w:rsid w:val="16E672C0"/>
    <w:rsid w:val="18CA6D19"/>
    <w:rsid w:val="19B2156C"/>
    <w:rsid w:val="1A6061A0"/>
    <w:rsid w:val="1AD140EA"/>
    <w:rsid w:val="1B1E1E32"/>
    <w:rsid w:val="1C1B3C48"/>
    <w:rsid w:val="1C3D7684"/>
    <w:rsid w:val="1C7C4C81"/>
    <w:rsid w:val="201E2FB6"/>
    <w:rsid w:val="215E33A3"/>
    <w:rsid w:val="218568AE"/>
    <w:rsid w:val="220B2EEC"/>
    <w:rsid w:val="22D959C2"/>
    <w:rsid w:val="238E5B73"/>
    <w:rsid w:val="24F9468D"/>
    <w:rsid w:val="26081467"/>
    <w:rsid w:val="26DB3B57"/>
    <w:rsid w:val="27D23F7E"/>
    <w:rsid w:val="29F0753A"/>
    <w:rsid w:val="2BEE7F70"/>
    <w:rsid w:val="2CCB01E3"/>
    <w:rsid w:val="2DF87EAF"/>
    <w:rsid w:val="2F891FF8"/>
    <w:rsid w:val="2FA24889"/>
    <w:rsid w:val="2FC718AB"/>
    <w:rsid w:val="30D4522F"/>
    <w:rsid w:val="3474322A"/>
    <w:rsid w:val="386E38CA"/>
    <w:rsid w:val="391E2608"/>
    <w:rsid w:val="397E646F"/>
    <w:rsid w:val="3A4752B5"/>
    <w:rsid w:val="3CEA71CA"/>
    <w:rsid w:val="3E0923A8"/>
    <w:rsid w:val="3F1721F9"/>
    <w:rsid w:val="400E5DFA"/>
    <w:rsid w:val="44AC7567"/>
    <w:rsid w:val="45A066BB"/>
    <w:rsid w:val="477733A5"/>
    <w:rsid w:val="47884E81"/>
    <w:rsid w:val="4881759C"/>
    <w:rsid w:val="489561EC"/>
    <w:rsid w:val="48DB346D"/>
    <w:rsid w:val="49055AE6"/>
    <w:rsid w:val="497D7567"/>
    <w:rsid w:val="49A742BB"/>
    <w:rsid w:val="49D50B23"/>
    <w:rsid w:val="4A7D6D2B"/>
    <w:rsid w:val="4B347A48"/>
    <w:rsid w:val="4BDA6D8C"/>
    <w:rsid w:val="4C876BD8"/>
    <w:rsid w:val="4CC42BE2"/>
    <w:rsid w:val="4D344ED5"/>
    <w:rsid w:val="4D4F4735"/>
    <w:rsid w:val="4DD3790F"/>
    <w:rsid w:val="4E2C061E"/>
    <w:rsid w:val="4F2F3425"/>
    <w:rsid w:val="50327A1D"/>
    <w:rsid w:val="511C5B2E"/>
    <w:rsid w:val="51AD29E1"/>
    <w:rsid w:val="51EF86C8"/>
    <w:rsid w:val="520B6E4A"/>
    <w:rsid w:val="522A057C"/>
    <w:rsid w:val="52606AD4"/>
    <w:rsid w:val="52CC02BD"/>
    <w:rsid w:val="54966DDF"/>
    <w:rsid w:val="562A4804"/>
    <w:rsid w:val="56AE637C"/>
    <w:rsid w:val="59E9770E"/>
    <w:rsid w:val="5A136EF0"/>
    <w:rsid w:val="5A6379F7"/>
    <w:rsid w:val="5D4D4E3E"/>
    <w:rsid w:val="5FD477DE"/>
    <w:rsid w:val="606C5B5E"/>
    <w:rsid w:val="61983CFA"/>
    <w:rsid w:val="61A97C46"/>
    <w:rsid w:val="61BD76CC"/>
    <w:rsid w:val="63A22776"/>
    <w:rsid w:val="64E16D24"/>
    <w:rsid w:val="66B40911"/>
    <w:rsid w:val="67506DE0"/>
    <w:rsid w:val="675807E4"/>
    <w:rsid w:val="67C422EC"/>
    <w:rsid w:val="6899512A"/>
    <w:rsid w:val="68B96A12"/>
    <w:rsid w:val="6B3A2F85"/>
    <w:rsid w:val="6B5FA2F6"/>
    <w:rsid w:val="6C0605AC"/>
    <w:rsid w:val="6D3865B2"/>
    <w:rsid w:val="6F023D5A"/>
    <w:rsid w:val="714F49EA"/>
    <w:rsid w:val="717D0817"/>
    <w:rsid w:val="722A0F35"/>
    <w:rsid w:val="72402040"/>
    <w:rsid w:val="73463A74"/>
    <w:rsid w:val="73A04FAC"/>
    <w:rsid w:val="73D83347"/>
    <w:rsid w:val="741A02BF"/>
    <w:rsid w:val="745B79ED"/>
    <w:rsid w:val="7588316D"/>
    <w:rsid w:val="76815F94"/>
    <w:rsid w:val="76BD090B"/>
    <w:rsid w:val="76E6080D"/>
    <w:rsid w:val="77391024"/>
    <w:rsid w:val="774726D0"/>
    <w:rsid w:val="77780748"/>
    <w:rsid w:val="77BB7AAD"/>
    <w:rsid w:val="77DB68E7"/>
    <w:rsid w:val="78004F10"/>
    <w:rsid w:val="79770721"/>
    <w:rsid w:val="7C682DCD"/>
    <w:rsid w:val="7C9C1596"/>
    <w:rsid w:val="7D675C5F"/>
    <w:rsid w:val="7DB714DB"/>
    <w:rsid w:val="7DBC19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8"/>
    <w:qFormat/>
    <w:uiPriority w:val="0"/>
    <w:pPr>
      <w:ind w:left="100" w:leftChars="2500"/>
    </w:pPr>
  </w:style>
  <w:style w:type="paragraph" w:styleId="3">
    <w:name w:val="Balloon Text"/>
    <w:basedOn w:val="1"/>
    <w:link w:val="19"/>
    <w:qFormat/>
    <w:uiPriority w:val="0"/>
    <w:rPr>
      <w:sz w:val="18"/>
      <w:szCs w:val="18"/>
    </w:rPr>
  </w:style>
  <w:style w:type="paragraph" w:styleId="4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</w:style>
  <w:style w:type="character" w:styleId="10">
    <w:name w:val="FollowedHyperlink"/>
    <w:basedOn w:val="8"/>
    <w:qFormat/>
    <w:uiPriority w:val="0"/>
    <w:rPr>
      <w:color w:val="0033FF"/>
      <w:u w:val="single"/>
    </w:rPr>
  </w:style>
  <w:style w:type="character" w:styleId="11">
    <w:name w:val="Emphasis"/>
    <w:basedOn w:val="8"/>
    <w:qFormat/>
    <w:uiPriority w:val="0"/>
  </w:style>
  <w:style w:type="character" w:styleId="12">
    <w:name w:val="HTML Definition"/>
    <w:basedOn w:val="8"/>
    <w:qFormat/>
    <w:uiPriority w:val="0"/>
  </w:style>
  <w:style w:type="character" w:styleId="13">
    <w:name w:val="HTML Acronym"/>
    <w:basedOn w:val="8"/>
    <w:qFormat/>
    <w:uiPriority w:val="0"/>
    <w:rPr>
      <w:u w:val="none"/>
    </w:rPr>
  </w:style>
  <w:style w:type="character" w:styleId="14">
    <w:name w:val="HTML Variable"/>
    <w:basedOn w:val="8"/>
    <w:qFormat/>
    <w:uiPriority w:val="0"/>
  </w:style>
  <w:style w:type="character" w:styleId="15">
    <w:name w:val="Hyperlink"/>
    <w:basedOn w:val="8"/>
    <w:qFormat/>
    <w:uiPriority w:val="0"/>
    <w:rPr>
      <w:color w:val="0033FF"/>
      <w:u w:val="single"/>
    </w:rPr>
  </w:style>
  <w:style w:type="character" w:styleId="16">
    <w:name w:val="HTML Code"/>
    <w:basedOn w:val="8"/>
    <w:qFormat/>
    <w:uiPriority w:val="0"/>
    <w:rPr>
      <w:rFonts w:ascii="Courier New" w:hAnsi="Courier New"/>
      <w:sz w:val="20"/>
    </w:rPr>
  </w:style>
  <w:style w:type="character" w:styleId="17">
    <w:name w:val="HTML Cite"/>
    <w:basedOn w:val="8"/>
    <w:qFormat/>
    <w:uiPriority w:val="0"/>
  </w:style>
  <w:style w:type="character" w:customStyle="1" w:styleId="18">
    <w:name w:val="日期 Char"/>
    <w:basedOn w:val="8"/>
    <w:link w:val="2"/>
    <w:qFormat/>
    <w:uiPriority w:val="0"/>
    <w:rPr>
      <w:kern w:val="2"/>
      <w:sz w:val="21"/>
      <w:szCs w:val="24"/>
    </w:rPr>
  </w:style>
  <w:style w:type="character" w:customStyle="1" w:styleId="19">
    <w:name w:val="批注框文本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2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22">
    <w:name w:val="hover1"/>
    <w:basedOn w:val="8"/>
    <w:qFormat/>
    <w:uiPriority w:val="0"/>
  </w:style>
  <w:style w:type="character" w:customStyle="1" w:styleId="23">
    <w:name w:val="lv5"/>
    <w:basedOn w:val="8"/>
    <w:qFormat/>
    <w:uiPriority w:val="0"/>
  </w:style>
  <w:style w:type="character" w:customStyle="1" w:styleId="24">
    <w:name w:val="tree-text"/>
    <w:basedOn w:val="8"/>
    <w:qFormat/>
    <w:uiPriority w:val="0"/>
  </w:style>
  <w:style w:type="character" w:customStyle="1" w:styleId="25">
    <w:name w:val="x-tab-strip-text5"/>
    <w:basedOn w:val="8"/>
    <w:qFormat/>
    <w:uiPriority w:val="0"/>
    <w:rPr>
      <w:color w:val="FFFFFF"/>
    </w:rPr>
  </w:style>
  <w:style w:type="character" w:customStyle="1" w:styleId="26">
    <w:name w:val="x-tab-strip-text3"/>
    <w:basedOn w:val="8"/>
    <w:qFormat/>
    <w:uiPriority w:val="0"/>
  </w:style>
  <w:style w:type="character" w:customStyle="1" w:styleId="27">
    <w:name w:val="x-tab-strip-text1"/>
    <w:basedOn w:val="8"/>
    <w:qFormat/>
    <w:uiPriority w:val="0"/>
    <w:rPr>
      <w:rFonts w:ascii="Tahoma" w:hAnsi="Tahoma" w:eastAsia="Tahoma" w:cs="Tahoma"/>
      <w:color w:val="FFFFFF"/>
      <w:sz w:val="21"/>
      <w:szCs w:val="21"/>
    </w:rPr>
  </w:style>
  <w:style w:type="character" w:customStyle="1" w:styleId="28">
    <w:name w:val="x-tab-strip-text2"/>
    <w:basedOn w:val="8"/>
    <w:qFormat/>
    <w:uiPriority w:val="0"/>
  </w:style>
  <w:style w:type="character" w:customStyle="1" w:styleId="29">
    <w:name w:val="x-tab-strip-text4"/>
    <w:basedOn w:val="8"/>
    <w:qFormat/>
    <w:uiPriority w:val="0"/>
  </w:style>
  <w:style w:type="character" w:customStyle="1" w:styleId="30">
    <w:name w:val="x-tab-strip-text"/>
    <w:basedOn w:val="8"/>
    <w:qFormat/>
    <w:uiPriority w:val="0"/>
    <w:rPr>
      <w:color w:val="FFFFFF"/>
    </w:rPr>
  </w:style>
  <w:style w:type="character" w:customStyle="1" w:styleId="31">
    <w:name w:val="lv2"/>
    <w:basedOn w:val="8"/>
    <w:qFormat/>
    <w:uiPriority w:val="0"/>
  </w:style>
  <w:style w:type="character" w:customStyle="1" w:styleId="32">
    <w:name w:val="lv4"/>
    <w:basedOn w:val="8"/>
    <w:qFormat/>
    <w:uiPriority w:val="0"/>
  </w:style>
  <w:style w:type="character" w:customStyle="1" w:styleId="33">
    <w:name w:val="lv3"/>
    <w:basedOn w:val="8"/>
    <w:qFormat/>
    <w:uiPriority w:val="0"/>
  </w:style>
  <w:style w:type="character" w:customStyle="1" w:styleId="34">
    <w:name w:val="red2"/>
    <w:basedOn w:val="8"/>
    <w:qFormat/>
    <w:uiPriority w:val="0"/>
    <w:rPr>
      <w:rFonts w:hint="eastAsia" w:ascii="宋体" w:hAnsi="宋体" w:eastAsia="宋体" w:cs="宋体"/>
      <w:b/>
      <w:color w:val="FF0000"/>
    </w:rPr>
  </w:style>
  <w:style w:type="character" w:customStyle="1" w:styleId="35">
    <w:name w:val="lv1"/>
    <w:basedOn w:val="8"/>
    <w:qFormat/>
    <w:uiPriority w:val="0"/>
  </w:style>
  <w:style w:type="character" w:customStyle="1" w:styleId="36">
    <w:name w:val="hover"/>
    <w:basedOn w:val="8"/>
    <w:qFormat/>
    <w:uiPriority w:val="0"/>
  </w:style>
  <w:style w:type="character" w:customStyle="1" w:styleId="37">
    <w:name w:val="font1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8">
    <w:name w:val="font31"/>
    <w:basedOn w:val="8"/>
    <w:qFormat/>
    <w:uiPriority w:val="0"/>
    <w:rPr>
      <w:rFonts w:ascii="Tahoma" w:hAnsi="Tahoma" w:eastAsia="Tahoma" w:cs="Tahoma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351</Words>
  <Characters>2002</Characters>
  <Lines>16</Lines>
  <Paragraphs>4</Paragraphs>
  <TotalTime>3</TotalTime>
  <ScaleCrop>false</ScaleCrop>
  <LinksUpToDate>false</LinksUpToDate>
  <CharactersWithSpaces>2349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2018-08-11T02:57:00Z</dcterms:created>
  <dc:creator>Administrator</dc:creator>
  <cp:lastModifiedBy>UOS</cp:lastModifiedBy>
  <cp:lastPrinted>2023-03-14T21:35:00Z</cp:lastPrinted>
  <dcterms:modified xsi:type="dcterms:W3CDTF">2026-07-13T11:32:32Z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E1618AF0FD989929F85BA1691D7C8EA8_42</vt:lpwstr>
  </property>
</Properties>
</file>