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（行政强制执行适用）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巴</w:t>
      </w:r>
      <w:r>
        <w:rPr>
          <w:rFonts w:hint="eastAsia" w:ascii="仿宋_GB2312" w:eastAsia="仿宋_GB2312"/>
          <w:color w:val="000000"/>
          <w:sz w:val="32"/>
        </w:rPr>
        <w:t>税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稽</w:t>
      </w:r>
      <w:r>
        <w:rPr>
          <w:rFonts w:hint="eastAsia" w:ascii="仿宋_GB2312" w:eastAsia="仿宋_GB2312"/>
          <w:color w:val="000000"/>
          <w:sz w:val="32"/>
        </w:rPr>
        <w:t>强催〔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2025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</w:rPr>
        <w:t>号</w:t>
      </w:r>
      <w:r>
        <w:rPr>
          <w:rFonts w:hint="eastAsia" w:ascii="仿宋_GB2312" w:hAnsi="仿宋" w:eastAsia="仿宋_GB2312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12065" b="247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疆天山宏基房地产开发有限公司: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u w:val="none"/>
        </w:rPr>
        <w:t>统一社会信用代码：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916528016934328334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本机关于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2017年1月11日</w:t>
      </w:r>
      <w:r>
        <w:rPr>
          <w:rFonts w:hint="eastAsia" w:ascii="仿宋_GB2312" w:eastAsia="仿宋_GB2312"/>
          <w:color w:val="000000"/>
          <w:sz w:val="32"/>
          <w:u w:val="none"/>
        </w:rPr>
        <w:t>向你单位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分支机构</w:t>
      </w:r>
      <w:r>
        <w:rPr>
          <w:rFonts w:hint="eastAsia" w:ascii="仿宋_GB2312" w:eastAsia="仿宋_GB2312"/>
          <w:color w:val="000000"/>
          <w:sz w:val="32"/>
          <w:u w:val="none"/>
        </w:rPr>
        <w:t>新疆天山宏基房地产开发有限公司巴州二分公司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以下简称</w:t>
      </w:r>
      <w:r>
        <w:rPr>
          <w:rFonts w:hint="eastAsia" w:ascii="仿宋_GB2312" w:eastAsia="仿宋_GB2312"/>
          <w:color w:val="000000"/>
          <w:sz w:val="32"/>
          <w:u w:val="none"/>
        </w:rPr>
        <w:t>宏基二分公司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u w:val="none"/>
        </w:rPr>
        <w:t>（统一社会信用代码：916528015762407952）送达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《税务处理决定书》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巴地税稽处〔2016〕128号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、《税务行政处罚决定书》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巴地税稽罚〔2016〕122号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;2024年7月12日</w:t>
      </w:r>
      <w:r>
        <w:rPr>
          <w:rFonts w:hint="eastAsia" w:ascii="仿宋_GB2312" w:eastAsia="仿宋_GB2312"/>
          <w:color w:val="000000"/>
          <w:sz w:val="32"/>
          <w:u w:val="none"/>
        </w:rPr>
        <w:t>向你单位送达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《税务事项通知书》（巴税稽通〔2024〕275号）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,宏基二分公司是</w:t>
      </w:r>
      <w:r>
        <w:rPr>
          <w:rFonts w:hint="eastAsia" w:ascii="仿宋_GB2312" w:eastAsia="仿宋_GB2312"/>
          <w:color w:val="000000"/>
          <w:sz w:val="32"/>
          <w:u w:val="none"/>
        </w:rPr>
        <w:t>你单位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设立的分公司，不具有法人资格，且宏基二分公司现有财产不足以承担上述税款、罚款及滞纳金的缴纳义务，现应由</w:t>
      </w:r>
      <w:r>
        <w:rPr>
          <w:rFonts w:hint="eastAsia" w:ascii="仿宋_GB2312" w:eastAsia="仿宋_GB2312"/>
          <w:color w:val="000000"/>
          <w:sz w:val="32"/>
          <w:u w:val="none"/>
        </w:rPr>
        <w:t>你单位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承担上述税款、罚款及滞纳金的缴纳义务。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你单位在法定期限内不履行本机关作出的行政决定。根据《中华人民共和国行政强制法》第三十四条、第三十五条规定，现依法向你单位催告，请你单位自收到本催告书之日起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u w:val="none"/>
        </w:rPr>
        <w:t>日内履行下列义务：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000000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到国家税务总局库尔勒市税务局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</w:rPr>
        <w:t>缴纳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查补税费合计5611181.82元及相应的滞纳金;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</w:rPr>
        <w:t>到国家税务总局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eastAsia="zh-CN"/>
        </w:rPr>
        <w:t>库尔勒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eastAsia="zh-CN"/>
        </w:rPr>
        <w:t>税务局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</w:rPr>
        <w:t>缴纳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已入库税款滞纳金1422690.00元;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3.到国家税务总局库尔勒市税务局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</w:rPr>
        <w:t>缴纳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罚款1997232.64元;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4.到国家税务总局库尔勒市税务局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</w:rPr>
        <w:t>缴纳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加</w:t>
      </w:r>
      <w:r>
        <w:rPr>
          <w:rFonts w:hint="eastAsia" w:ascii="仿宋_GB2312" w:eastAsia="仿宋_GB2312" w:cs="Times New Roman"/>
          <w:color w:val="000000"/>
          <w:sz w:val="32"/>
          <w:u w:val="single"/>
          <w:lang w:val="en-US" w:eastAsia="zh-CN"/>
        </w:rPr>
        <w:t>处</w:t>
      </w:r>
      <w:r>
        <w:rPr>
          <w:rFonts w:hint="eastAsia" w:ascii="仿宋_GB2312" w:hAnsi="Times New Roman" w:eastAsia="仿宋_GB2312" w:cs="Times New Roman"/>
          <w:color w:val="000000"/>
          <w:sz w:val="32"/>
          <w:u w:val="single"/>
          <w:lang w:val="en-US" w:eastAsia="zh-CN"/>
        </w:rPr>
        <w:t>罚款1997232.64元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逾期仍未履行义务的，本机关将依法强制执行。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你单位在收到催告书后有权进行陈述和申辩。请你单位在收到本催告书之日起三日内提出陈述和申辩，逾期不陈述、申辩的视为放弃陈述和申辩的权利。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联系人：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王玉龙、师向晖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联系电话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 xml:space="preserve"> 18109965776  18109965991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地址：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库尔勒市塔指东路28号巴州税务局稽查局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 xml:space="preserve"> 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新税稽6528230003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国家税务总局巴音郭楞蒙古自治州税务局稽查局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center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2025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eastAsia="仿宋_GB2312"/>
          <w:color w:val="000000"/>
          <w:sz w:val="32"/>
        </w:rPr>
      </w:pP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020EC"/>
    <w:rsid w:val="001D0263"/>
    <w:rsid w:val="04686758"/>
    <w:rsid w:val="05DE7032"/>
    <w:rsid w:val="076567C6"/>
    <w:rsid w:val="088133F4"/>
    <w:rsid w:val="0AD92230"/>
    <w:rsid w:val="0C935E0D"/>
    <w:rsid w:val="111C1521"/>
    <w:rsid w:val="151A7372"/>
    <w:rsid w:val="16853E6F"/>
    <w:rsid w:val="175477DE"/>
    <w:rsid w:val="178E77CD"/>
    <w:rsid w:val="18E048F4"/>
    <w:rsid w:val="1D622F4A"/>
    <w:rsid w:val="1EA97570"/>
    <w:rsid w:val="21104C56"/>
    <w:rsid w:val="21482C9D"/>
    <w:rsid w:val="21824338"/>
    <w:rsid w:val="26B41C42"/>
    <w:rsid w:val="26DB0C35"/>
    <w:rsid w:val="28120B39"/>
    <w:rsid w:val="287459C7"/>
    <w:rsid w:val="2C275A65"/>
    <w:rsid w:val="2D1F00C0"/>
    <w:rsid w:val="3203293A"/>
    <w:rsid w:val="336A336A"/>
    <w:rsid w:val="34F96C70"/>
    <w:rsid w:val="42C00F58"/>
    <w:rsid w:val="45EC0531"/>
    <w:rsid w:val="45F673BF"/>
    <w:rsid w:val="460F7A53"/>
    <w:rsid w:val="4661273E"/>
    <w:rsid w:val="473765C4"/>
    <w:rsid w:val="47A6680A"/>
    <w:rsid w:val="4A6D586D"/>
    <w:rsid w:val="4A980442"/>
    <w:rsid w:val="4B6479CA"/>
    <w:rsid w:val="4BC020EC"/>
    <w:rsid w:val="4C625D76"/>
    <w:rsid w:val="4ECF0A79"/>
    <w:rsid w:val="4FAD2DF1"/>
    <w:rsid w:val="510F5BC8"/>
    <w:rsid w:val="51851935"/>
    <w:rsid w:val="518A64E0"/>
    <w:rsid w:val="53157446"/>
    <w:rsid w:val="55C958C3"/>
    <w:rsid w:val="56C43A5D"/>
    <w:rsid w:val="59B41983"/>
    <w:rsid w:val="5C355071"/>
    <w:rsid w:val="5CBD4639"/>
    <w:rsid w:val="5D1110F4"/>
    <w:rsid w:val="5DE06111"/>
    <w:rsid w:val="5FBC4ACF"/>
    <w:rsid w:val="5FFF44CC"/>
    <w:rsid w:val="60F91AB5"/>
    <w:rsid w:val="63165F05"/>
    <w:rsid w:val="65A23F99"/>
    <w:rsid w:val="66F77DBA"/>
    <w:rsid w:val="6C454631"/>
    <w:rsid w:val="6FFC57E1"/>
    <w:rsid w:val="70CA325C"/>
    <w:rsid w:val="71256605"/>
    <w:rsid w:val="72FB46F0"/>
    <w:rsid w:val="74C05B92"/>
    <w:rsid w:val="759B12A9"/>
    <w:rsid w:val="766E20A6"/>
    <w:rsid w:val="7A3405E3"/>
    <w:rsid w:val="7A996720"/>
    <w:rsid w:val="7FC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0文书抬头"/>
    <w:qFormat/>
    <w:uiPriority w:val="0"/>
    <w:rPr>
      <w:rFonts w:ascii="宋体" w:hAnsi="宋体" w:eastAsia="宋体"/>
      <w:b/>
      <w:bCs/>
      <w:sz w:val="44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  <w:style w:type="character" w:customStyle="1" w:styleId="10">
    <w:name w:val="0文书正文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2021-12-01T09:19:00Z</dcterms:created>
  <dc:creator>陈晓芩</dc:creator>
  <cp:lastModifiedBy>王玉龙</cp:lastModifiedBy>
  <cp:lastPrinted>2025-04-17T08:12:00Z</cp:lastPrinted>
  <dcterms:modified xsi:type="dcterms:W3CDTF">2025-04-25T08:57:02Z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