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511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103"/>
        <w:gridCol w:w="2485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税费争议咨询调解申请表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申请类型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政策落实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征管执法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如：</w:t>
            </w: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  <w:highlight w:val="none"/>
                <w:lang w:eastAsia="zh-CN"/>
              </w:rPr>
              <w:t>征税、退税行为；行政许可、发票管理、税收保全、税收强制、行政处罚、资格认定、纳税担保、政府信息公开、纳税信用等级评定、阻止出境等。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具体内容</w:t>
            </w:r>
          </w:p>
        </w:tc>
        <w:tc>
          <w:tcPr>
            <w:tcW w:w="6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  <w:t>详细写明发现问题来源，具体申请事项。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申请时间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部门</w:t>
            </w:r>
            <w:bookmarkStart w:id="0" w:name="_GoBack"/>
            <w:bookmarkEnd w:id="0"/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D4699"/>
    <w:rsid w:val="5F8604B6"/>
    <w:rsid w:val="722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2022-05-31T09:22:00Z</dcterms:created>
  <dc:creator>Administrator</dc:creator>
  <cp:lastModifiedBy>葛刚</cp:lastModifiedBy>
  <dcterms:modified xsi:type="dcterms:W3CDTF">2023-02-14T10:13:11Z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