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宋体" w:cs="Arial"/>
          <w:b/>
          <w:bCs/>
          <w:sz w:val="36"/>
          <w:szCs w:val="36"/>
        </w:rPr>
      </w:pPr>
      <w:r>
        <w:rPr>
          <w:rFonts w:hint="eastAsia" w:ascii="宋体" w:hAnsi="宋体" w:eastAsia="宋体" w:cs="Arial"/>
          <w:b/>
          <w:bCs/>
          <w:sz w:val="36"/>
          <w:szCs w:val="36"/>
          <w:lang w:val="en-US" w:eastAsia="zh-CN"/>
        </w:rPr>
        <w:t>巴州</w:t>
      </w:r>
      <w:r>
        <w:rPr>
          <w:rFonts w:hint="eastAsia" w:ascii="宋体" w:hAnsi="宋体" w:eastAsia="宋体" w:cs="Arial"/>
          <w:b/>
          <w:bCs/>
          <w:sz w:val="36"/>
          <w:szCs w:val="36"/>
        </w:rPr>
        <w:t>税务局项目支出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spacing w:line="600" w:lineRule="exact"/>
        <w:ind w:firstLine="600" w:firstLineChars="200"/>
        <w:outlineLvl w:val="0"/>
        <w:rPr>
          <w:rFonts w:ascii="仿宋_GB2312"/>
          <w:color w:val="auto"/>
        </w:rPr>
      </w:pPr>
      <w:r>
        <w:rPr>
          <w:rFonts w:hint="eastAsia" w:ascii="仿宋_GB2312"/>
        </w:rPr>
        <w:t>根据国税地税征管体制改革，2018年原国税地税经费保障渠道不变，税务部门经费保障办法自2019年1月1日起施行。因此，2018年及以前年度原地税系统的“三代”手续费应由地方财政保障。由于自治区财政安排“三代”手续费预算不足，截止2018年底，原地</w:t>
      </w:r>
      <w:r>
        <w:rPr>
          <w:rFonts w:hint="eastAsia" w:ascii="仿宋_GB2312"/>
          <w:color w:val="auto"/>
        </w:rPr>
        <w:t>税系统2016年至2018年应由自治区财政保障的“三代”手续费应付未付款3</w:t>
      </w:r>
      <w:r>
        <w:rPr>
          <w:rFonts w:hint="eastAsia" w:ascii="仿宋_GB2312"/>
          <w:color w:val="auto"/>
          <w:lang w:val="en-US" w:eastAsia="zh-CN"/>
        </w:rPr>
        <w:t>,</w:t>
      </w:r>
      <w:r>
        <w:rPr>
          <w:rFonts w:hint="eastAsia" w:ascii="仿宋_GB2312"/>
          <w:color w:val="auto"/>
        </w:rPr>
        <w:t>675</w:t>
      </w:r>
      <w:r>
        <w:rPr>
          <w:rFonts w:hint="eastAsia" w:ascii="仿宋_GB2312"/>
          <w:color w:val="auto"/>
          <w:lang w:val="en-US" w:eastAsia="zh-CN"/>
        </w:rPr>
        <w:t>.</w:t>
      </w:r>
      <w:r>
        <w:rPr>
          <w:rFonts w:hint="eastAsia" w:ascii="仿宋_GB2312"/>
          <w:color w:val="auto"/>
        </w:rPr>
        <w:t>62万元，其中，2017年</w:t>
      </w:r>
      <w:r>
        <w:rPr>
          <w:rFonts w:hint="eastAsia" w:ascii="仿宋_GB2312"/>
          <w:color w:val="auto"/>
          <w:lang w:val="en-US" w:eastAsia="zh-CN"/>
        </w:rPr>
        <w:t>及以前年度</w:t>
      </w:r>
      <w:r>
        <w:rPr>
          <w:rFonts w:hint="eastAsia" w:ascii="仿宋_GB2312"/>
          <w:color w:val="auto"/>
        </w:rPr>
        <w:t>1</w:t>
      </w:r>
      <w:r>
        <w:rPr>
          <w:rFonts w:hint="eastAsia" w:ascii="仿宋_GB2312"/>
          <w:color w:val="auto"/>
          <w:lang w:val="en-US" w:eastAsia="zh-CN"/>
        </w:rPr>
        <w:t>,</w:t>
      </w:r>
      <w:r>
        <w:rPr>
          <w:rFonts w:hint="eastAsia" w:ascii="仿宋_GB2312"/>
          <w:color w:val="auto"/>
        </w:rPr>
        <w:t>019</w:t>
      </w:r>
      <w:r>
        <w:rPr>
          <w:rFonts w:hint="eastAsia" w:ascii="仿宋_GB2312"/>
          <w:color w:val="auto"/>
          <w:lang w:val="en-US" w:eastAsia="zh-CN"/>
        </w:rPr>
        <w:t>.</w:t>
      </w:r>
      <w:r>
        <w:rPr>
          <w:rFonts w:hint="eastAsia" w:ascii="仿宋_GB2312"/>
          <w:color w:val="auto"/>
        </w:rPr>
        <w:t>47万元，2018年2</w:t>
      </w:r>
      <w:r>
        <w:rPr>
          <w:rFonts w:hint="eastAsia" w:ascii="仿宋_GB2312"/>
          <w:color w:val="auto"/>
          <w:lang w:val="en-US" w:eastAsia="zh-CN"/>
        </w:rPr>
        <w:t>,</w:t>
      </w:r>
      <w:r>
        <w:rPr>
          <w:rFonts w:hint="eastAsia" w:ascii="仿宋_GB2312"/>
          <w:color w:val="auto"/>
        </w:rPr>
        <w:t>656</w:t>
      </w:r>
      <w:r>
        <w:rPr>
          <w:rFonts w:hint="eastAsia" w:ascii="仿宋_GB2312"/>
          <w:color w:val="auto"/>
          <w:lang w:val="en-US" w:eastAsia="zh-CN"/>
        </w:rPr>
        <w:t>.</w:t>
      </w:r>
      <w:r>
        <w:rPr>
          <w:rFonts w:hint="eastAsia" w:ascii="仿宋_GB2312"/>
          <w:color w:val="auto"/>
        </w:rPr>
        <w:t>1</w:t>
      </w:r>
      <w:r>
        <w:rPr>
          <w:rFonts w:hint="eastAsia" w:ascii="仿宋_GB2312"/>
          <w:color w:val="auto"/>
          <w:lang w:val="en-US" w:eastAsia="zh-CN"/>
        </w:rPr>
        <w:t>5</w:t>
      </w:r>
      <w:r>
        <w:rPr>
          <w:rFonts w:hint="eastAsia" w:ascii="仿宋_GB2312"/>
          <w:color w:val="auto"/>
        </w:rPr>
        <w:t>万元。</w:t>
      </w:r>
    </w:p>
    <w:p>
      <w:pPr>
        <w:spacing w:line="600" w:lineRule="exact"/>
        <w:ind w:firstLine="640" w:firstLineChars="200"/>
        <w:outlineLvl w:val="0"/>
        <w:rPr>
          <w:rFonts w:ascii="仿宋_GB2312"/>
        </w:rPr>
      </w:pPr>
      <w:r>
        <w:rPr>
          <w:rFonts w:hint="eastAsia" w:ascii="仿宋_GB2312"/>
          <w:sz w:val="32"/>
          <w:szCs w:val="32"/>
        </w:rPr>
        <w:t>2019年12月，自治区财政安排新疆税务系统“三代”手续费预算</w:t>
      </w:r>
      <w:r>
        <w:rPr>
          <w:rFonts w:hint="eastAsia" w:ascii="仿宋_GB2312"/>
          <w:sz w:val="32"/>
          <w:szCs w:val="32"/>
          <w:lang w:val="en-US" w:eastAsia="zh-CN"/>
        </w:rPr>
        <w:t>122</w:t>
      </w:r>
      <w:r>
        <w:rPr>
          <w:rFonts w:hint="eastAsia" w:ascii="仿宋_GB2312"/>
          <w:sz w:val="32"/>
          <w:szCs w:val="32"/>
        </w:rPr>
        <w:t>万元，我局优先用于支付原地税系统2018年及以前年度应付未付民营企业和中小企业手续费。</w:t>
      </w:r>
    </w:p>
    <w:p>
      <w:pPr>
        <w:spacing w:line="600" w:lineRule="exact"/>
        <w:ind w:firstLine="600" w:firstLineChars="200"/>
        <w:rPr>
          <w:rFonts w:ascii="仿宋_GB2312"/>
        </w:rPr>
      </w:pPr>
      <w:r>
        <w:rPr>
          <w:rFonts w:hint="eastAsia" w:ascii="仿宋_GB2312"/>
        </w:rPr>
        <w:t>（二）项目绩效目标。</w:t>
      </w:r>
    </w:p>
    <w:p>
      <w:pPr>
        <w:spacing w:line="600" w:lineRule="exact"/>
        <w:ind w:firstLine="600" w:firstLineChars="200"/>
        <w:rPr>
          <w:rFonts w:ascii="仿宋_GB2312"/>
        </w:rPr>
      </w:pPr>
      <w:r>
        <w:rPr>
          <w:rFonts w:hint="eastAsia" w:ascii="仿宋_GB2312"/>
        </w:rPr>
        <w:t>“三代”手续费的总体目标是，向代扣代征代收税款单位按时支付手续费，保障相关税收征管工作顺利进行。一是对于税务系统委托有关单位和个人代征零星分散和异地缴纳的税款，向代征单位支付一定比例的手续费。二是对于代扣代缴、代收代缴等法定义务，税务系统按照税款的一定比例支付手续费。</w:t>
      </w:r>
    </w:p>
    <w:p>
      <w:pPr>
        <w:spacing w:line="600" w:lineRule="exact"/>
        <w:ind w:firstLine="600" w:firstLineChars="200"/>
        <w:rPr>
          <w:rFonts w:ascii="黑体" w:hAnsi="黑体" w:eastAsia="黑体"/>
        </w:rPr>
      </w:pPr>
      <w:r>
        <w:rPr>
          <w:rFonts w:hint="eastAsia" w:ascii="黑体" w:hAnsi="黑体" w:eastAsia="黑体"/>
        </w:rPr>
        <w:t>二、绩效评价工作开</w:t>
      </w:r>
      <w:bookmarkStart w:id="0" w:name="_GoBack"/>
      <w:bookmarkEnd w:id="0"/>
      <w:r>
        <w:rPr>
          <w:rFonts w:hint="eastAsia" w:ascii="黑体" w:hAnsi="黑体" w:eastAsia="黑体"/>
        </w:rPr>
        <w:t>展情况</w:t>
      </w:r>
    </w:p>
    <w:p>
      <w:pPr>
        <w:spacing w:line="600" w:lineRule="exact"/>
        <w:ind w:firstLine="600" w:firstLineChars="200"/>
        <w:rPr>
          <w:rFonts w:ascii="仿宋_GB2312"/>
        </w:rPr>
      </w:pPr>
      <w:r>
        <w:rPr>
          <w:rFonts w:hint="eastAsia" w:ascii="仿宋_GB2312"/>
        </w:rPr>
        <w:t>（一）绩效评价目的、对象和范围。</w:t>
      </w:r>
    </w:p>
    <w:p>
      <w:pPr>
        <w:spacing w:line="600" w:lineRule="exact"/>
        <w:ind w:firstLine="600" w:firstLineChars="200"/>
        <w:rPr>
          <w:rFonts w:ascii="仿宋_GB2312"/>
        </w:rPr>
      </w:pPr>
      <w:r>
        <w:rPr>
          <w:rFonts w:hint="eastAsia" w:ascii="仿宋_GB2312"/>
        </w:rPr>
        <w:t>开展绩效评价的目的是将绩效目标管理与预算安排、改进管理有机结合，提高财政资金使用效益，保障更好地完成工作任务。</w:t>
      </w:r>
    </w:p>
    <w:p>
      <w:pPr>
        <w:spacing w:line="600" w:lineRule="exact"/>
        <w:ind w:firstLine="600" w:firstLineChars="200"/>
        <w:rPr>
          <w:rFonts w:ascii="仿宋_GB2312"/>
        </w:rPr>
      </w:pPr>
      <w:r>
        <w:rPr>
          <w:rFonts w:hint="eastAsia" w:ascii="仿宋_GB2312"/>
        </w:rPr>
        <w:t>2019年绩效评价的对象是“三代”手续费，范围包括全系统各级预算单位。</w:t>
      </w:r>
    </w:p>
    <w:p>
      <w:pPr>
        <w:spacing w:line="600" w:lineRule="exact"/>
        <w:ind w:firstLine="600" w:firstLineChars="200"/>
        <w:rPr>
          <w:rFonts w:ascii="仿宋_GB2312"/>
        </w:rPr>
      </w:pPr>
      <w:r>
        <w:rPr>
          <w:rFonts w:hint="eastAsia" w:ascii="仿宋_GB2312"/>
        </w:rPr>
        <w:t>（二）绩效评价原则、评价指标体系、评价方法、评价标准等。</w:t>
      </w:r>
    </w:p>
    <w:p>
      <w:pPr>
        <w:spacing w:line="600" w:lineRule="exact"/>
        <w:ind w:firstLine="600" w:firstLineChars="200"/>
        <w:rPr>
          <w:rFonts w:ascii="仿宋_GB2312"/>
        </w:rPr>
      </w:pPr>
      <w:r>
        <w:rPr>
          <w:rFonts w:hint="eastAsia" w:ascii="仿宋_GB2312"/>
        </w:rPr>
        <w:t>绩效评价的原则是科学公正、统筹兼顾、激励约束、公开透明。</w:t>
      </w:r>
    </w:p>
    <w:p>
      <w:pPr>
        <w:spacing w:line="600" w:lineRule="exact"/>
        <w:ind w:firstLine="600" w:firstLineChars="200"/>
        <w:rPr>
          <w:rFonts w:ascii="仿宋_GB2312"/>
        </w:rPr>
      </w:pPr>
      <w:r>
        <w:rPr>
          <w:rFonts w:hint="eastAsia" w:ascii="仿宋_GB2312"/>
        </w:rPr>
        <w:t>评价指标体系包括“三代”手续费项目决策、项目管理和项目绩效三个方面，项目决策方面主要包括资金分配、支出计划的决策过程等内容；项目管理方面包括上报的用款计划是否符合支出需求、预算执行进度是否符合要求、是否按年初预算执行、未执行的原因和改进措施等内容；项目绩效方面包括项目产出、项目效果等内容。</w:t>
      </w:r>
    </w:p>
    <w:p>
      <w:pPr>
        <w:spacing w:line="600" w:lineRule="exact"/>
        <w:ind w:firstLine="600" w:firstLineChars="200"/>
        <w:rPr>
          <w:rFonts w:ascii="仿宋_GB2312"/>
        </w:rPr>
      </w:pPr>
      <w:r>
        <w:rPr>
          <w:rFonts w:hint="eastAsia" w:ascii="仿宋_GB2312"/>
        </w:rPr>
        <w:t>评价方法主要采用比较法和因素分析法。比较法是指通过对绩效目标与实施效果的比较，综合分析绩效目标实现程度。因素分析法是指通过综合分析影响绩效目标实现、实施效果的内外因素，评价绩效目标实现程度。</w:t>
      </w:r>
    </w:p>
    <w:p>
      <w:pPr>
        <w:spacing w:line="600" w:lineRule="exact"/>
        <w:ind w:firstLine="600" w:firstLineChars="200"/>
        <w:rPr>
          <w:rFonts w:ascii="仿宋_GB2312"/>
        </w:rPr>
      </w:pPr>
      <w:r>
        <w:rPr>
          <w:rFonts w:hint="eastAsia" w:ascii="仿宋_GB2312"/>
        </w:rPr>
        <w:t>评价标准主要是计划标准，以年初确定的绩效指标为评价标准。</w:t>
      </w:r>
    </w:p>
    <w:p>
      <w:pPr>
        <w:spacing w:line="600" w:lineRule="exact"/>
        <w:ind w:firstLine="600" w:firstLineChars="200"/>
        <w:rPr>
          <w:rFonts w:ascii="仿宋_GB2312"/>
        </w:rPr>
      </w:pPr>
      <w:r>
        <w:rPr>
          <w:rFonts w:hint="eastAsia" w:ascii="仿宋_GB2312"/>
        </w:rPr>
        <w:t>（三）绩效评价工作过程。</w:t>
      </w:r>
    </w:p>
    <w:p>
      <w:pPr>
        <w:spacing w:line="600" w:lineRule="exact"/>
        <w:ind w:firstLine="600" w:firstLineChars="200"/>
        <w:rPr>
          <w:rFonts w:ascii="仿宋_GB2312"/>
        </w:rPr>
      </w:pPr>
      <w:r>
        <w:rPr>
          <w:rFonts w:hint="eastAsia" w:ascii="仿宋_GB2312"/>
        </w:rPr>
        <w:t>各级预算单位首先对本单位“三代”手续费支出情况进行自评，自治区税务局根据各单位“三代”手续费预算执行率和年初绩效指标完成情况进行绩效评价。</w:t>
      </w:r>
    </w:p>
    <w:p>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ascii="仿宋_GB2312"/>
        </w:rPr>
      </w:pPr>
      <w:r>
        <w:rPr>
          <w:rFonts w:hint="eastAsia" w:ascii="仿宋_GB2312"/>
          <w:lang w:val="en-US" w:eastAsia="zh-CN"/>
        </w:rPr>
        <w:t>巴州</w:t>
      </w:r>
      <w:r>
        <w:rPr>
          <w:rFonts w:hint="eastAsia" w:ascii="仿宋_GB2312"/>
        </w:rPr>
        <w:t>税务系统能够按预算执行“三代”手续费支出，如期完成年初预定的绩效指标，按规定比例向代扣代收代征单位支付手续费；能够积极落实支持民营企业和中小企业发展的要求，对预算安排的“三代”手续费优先用于支付应付未付民营企业和中小企业手续费。</w:t>
      </w:r>
    </w:p>
    <w:tbl>
      <w:tblPr>
        <w:tblStyle w:val="5"/>
        <w:tblW w:w="9510" w:type="dxa"/>
        <w:tblInd w:w="96" w:type="dxa"/>
        <w:tblLayout w:type="fixed"/>
        <w:tblCellMar>
          <w:top w:w="0" w:type="dxa"/>
          <w:left w:w="108" w:type="dxa"/>
          <w:bottom w:w="0" w:type="dxa"/>
          <w:right w:w="108" w:type="dxa"/>
        </w:tblCellMar>
      </w:tblPr>
      <w:tblGrid>
        <w:gridCol w:w="1080"/>
        <w:gridCol w:w="1200"/>
        <w:gridCol w:w="1276"/>
        <w:gridCol w:w="1843"/>
        <w:gridCol w:w="1276"/>
        <w:gridCol w:w="850"/>
        <w:gridCol w:w="1134"/>
        <w:gridCol w:w="851"/>
      </w:tblGrid>
      <w:tr>
        <w:tblPrEx>
          <w:tblLayout w:type="fixed"/>
          <w:tblCellMar>
            <w:top w:w="0" w:type="dxa"/>
            <w:left w:w="108" w:type="dxa"/>
            <w:bottom w:w="0" w:type="dxa"/>
            <w:right w:w="108" w:type="dxa"/>
          </w:tblCellMar>
        </w:tblPrEx>
        <w:trPr>
          <w:trHeight w:val="270"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预算执行率</w:t>
            </w:r>
          </w:p>
        </w:tc>
        <w:tc>
          <w:tcPr>
            <w:tcW w:w="120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年初预算数</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tblPrEx>
          <w:tblLayout w:type="fixed"/>
          <w:tblCellMar>
            <w:top w:w="0" w:type="dxa"/>
            <w:left w:w="108" w:type="dxa"/>
            <w:bottom w:w="0" w:type="dxa"/>
            <w:right w:w="108" w:type="dxa"/>
          </w:tblCellMar>
        </w:tblPrEx>
        <w:trPr>
          <w:trHeight w:val="270" w:hRule="atLeast"/>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122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122</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100</w:t>
            </w:r>
            <w:r>
              <w:rPr>
                <w:rFonts w:hint="eastAsia" w:ascii="宋体" w:hAnsi="宋体" w:eastAsia="宋体" w:cs="宋体"/>
                <w:color w:val="000000"/>
                <w:kern w:val="0"/>
                <w:sz w:val="20"/>
                <w:szCs w:val="20"/>
              </w:rPr>
              <w:t>%</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一级指标</w:t>
            </w: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二级指标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年度指标值</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实际完成值</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tblPrEx>
          <w:tblLayout w:type="fixed"/>
          <w:tblCellMar>
            <w:top w:w="0" w:type="dxa"/>
            <w:left w:w="108" w:type="dxa"/>
            <w:bottom w:w="0" w:type="dxa"/>
            <w:right w:w="108" w:type="dxa"/>
          </w:tblCellMar>
        </w:tblPrEx>
        <w:trPr>
          <w:trHeight w:val="270"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产出指标</w:t>
            </w: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委托代征税款支付比例</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0.03%-5%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Layout w:type="fixed"/>
          <w:tblCellMar>
            <w:top w:w="0" w:type="dxa"/>
            <w:left w:w="108" w:type="dxa"/>
            <w:bottom w:w="0" w:type="dxa"/>
            <w:right w:w="108" w:type="dxa"/>
          </w:tblCellMar>
        </w:tblPrEx>
        <w:trPr>
          <w:trHeight w:val="27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质量指标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支付手续费是否符合规定费率</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符合</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符合</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Layout w:type="fixed"/>
          <w:tblCellMar>
            <w:top w:w="0" w:type="dxa"/>
            <w:left w:w="108" w:type="dxa"/>
            <w:bottom w:w="0" w:type="dxa"/>
            <w:right w:w="108" w:type="dxa"/>
          </w:tblCellMar>
        </w:tblPrEx>
        <w:trPr>
          <w:trHeight w:val="480"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效益指标</w:t>
            </w:r>
          </w:p>
        </w:tc>
        <w:tc>
          <w:tcPr>
            <w:tcW w:w="12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代征零星分散和异地缴纳的税款</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节约纳税成本</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节约纳税成本</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78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2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代扣代收代征税款手续费业务覆盖范围是否合理</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合理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合理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27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2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可持续影响指标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依法组织税收收入</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依法征税</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依法征税</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270"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指标</w:t>
            </w:r>
          </w:p>
        </w:tc>
        <w:tc>
          <w:tcPr>
            <w:tcW w:w="12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服务对象满意度指标</w:t>
            </w: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代扣代收代征单位满意度</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≥85%</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Layout w:type="fixed"/>
          <w:tblCellMar>
            <w:top w:w="0" w:type="dxa"/>
            <w:left w:w="108" w:type="dxa"/>
            <w:bottom w:w="0" w:type="dxa"/>
            <w:right w:w="108" w:type="dxa"/>
          </w:tblCellMar>
        </w:tblPrEx>
        <w:trPr>
          <w:trHeight w:val="705"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2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代扣代收代征单位对相关政策的知晓率</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≥90%</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134" w:type="dxa"/>
            <w:tcBorders>
              <w:top w:val="nil"/>
              <w:left w:val="nil"/>
              <w:bottom w:val="single" w:color="auto" w:sz="4" w:space="0"/>
              <w:right w:val="single" w:color="auto" w:sz="4" w:space="0"/>
            </w:tcBorders>
            <w:shd w:val="clear" w:color="auto" w:fill="auto"/>
            <w:vAlign w:val="center"/>
          </w:tcPr>
          <w:p>
            <w:pPr>
              <w:jc w:val="center"/>
              <w:rPr>
                <w:rFonts w:cs="宋体" w:asciiTheme="minorEastAsia" w:hAnsiTheme="minorEastAsia" w:eastAsiaTheme="minorEastAsia"/>
                <w:sz w:val="20"/>
                <w:szCs w:val="20"/>
              </w:rPr>
            </w:pPr>
            <w:r>
              <w:rPr>
                <w:rFonts w:hint="eastAsia" w:asciiTheme="minorEastAsia" w:hAnsiTheme="minorEastAsia" w:eastAsiaTheme="minorEastAsia"/>
                <w:sz w:val="20"/>
                <w:szCs w:val="20"/>
              </w:rPr>
              <w:t>95%</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Layout w:type="fixed"/>
          <w:tblCellMar>
            <w:top w:w="0" w:type="dxa"/>
            <w:left w:w="108" w:type="dxa"/>
            <w:bottom w:w="0" w:type="dxa"/>
            <w:right w:w="108" w:type="dxa"/>
          </w:tblCellMar>
        </w:tblPrEx>
        <w:trPr>
          <w:trHeight w:val="270" w:hRule="atLeast"/>
        </w:trPr>
        <w:tc>
          <w:tcPr>
            <w:tcW w:w="865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bl>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w:t>
      </w:r>
    </w:p>
    <w:p>
      <w:pPr>
        <w:spacing w:line="600" w:lineRule="exact"/>
        <w:ind w:firstLine="600" w:firstLineChars="200"/>
        <w:outlineLvl w:val="0"/>
        <w:rPr>
          <w:rFonts w:ascii="仿宋_GB2312"/>
          <w:color w:val="auto"/>
        </w:rPr>
      </w:pPr>
      <w:r>
        <w:rPr>
          <w:rFonts w:hint="eastAsia" w:ascii="仿宋_GB2312"/>
          <w:color w:val="auto"/>
        </w:rPr>
        <w:t>“三代”手续费分配</w:t>
      </w:r>
      <w:r>
        <w:rPr>
          <w:rFonts w:hint="eastAsia" w:ascii="仿宋_GB2312"/>
          <w:color w:val="auto"/>
          <w:lang w:val="en-US" w:eastAsia="zh-CN"/>
        </w:rPr>
        <w:t>由新疆</w:t>
      </w:r>
      <w:r>
        <w:rPr>
          <w:rFonts w:hint="eastAsia" w:ascii="仿宋_GB2312"/>
          <w:color w:val="auto"/>
        </w:rPr>
        <w:t>税务局党委会研究审议通过。</w:t>
      </w:r>
    </w:p>
    <w:p>
      <w:pPr>
        <w:spacing w:line="600" w:lineRule="exact"/>
        <w:ind w:firstLine="600" w:firstLineChars="200"/>
        <w:outlineLvl w:val="0"/>
        <w:rPr>
          <w:rFonts w:ascii="仿宋_GB2312"/>
        </w:rPr>
      </w:pPr>
      <w:r>
        <w:rPr>
          <w:rFonts w:hint="eastAsia" w:ascii="仿宋_GB2312"/>
        </w:rPr>
        <w:t>（二）项目过程情况。</w:t>
      </w:r>
    </w:p>
    <w:p>
      <w:pPr>
        <w:spacing w:line="600" w:lineRule="exact"/>
        <w:ind w:firstLine="600" w:firstLineChars="200"/>
        <w:outlineLvl w:val="0"/>
        <w:rPr>
          <w:rFonts w:ascii="仿宋_GB2312"/>
        </w:rPr>
      </w:pPr>
      <w:r>
        <w:rPr>
          <w:rFonts w:hint="eastAsia" w:ascii="仿宋_GB2312"/>
        </w:rPr>
        <w:t>“三代”手续费结算根据代扣代收代征单位申请，由税务系统相关业务职能部门审核后开具代扣代收代征手续费结报单，财务部门据实按规定支付。</w:t>
      </w:r>
    </w:p>
    <w:p>
      <w:pPr>
        <w:spacing w:line="600" w:lineRule="exact"/>
        <w:ind w:firstLine="600" w:firstLineChars="200"/>
        <w:outlineLvl w:val="0"/>
        <w:rPr>
          <w:rFonts w:ascii="仿宋_GB2312"/>
        </w:rPr>
      </w:pPr>
      <w:r>
        <w:rPr>
          <w:rFonts w:hint="eastAsia" w:ascii="仿宋_GB2312"/>
        </w:rPr>
        <w:t>（三）项目产出情况。</w:t>
      </w:r>
    </w:p>
    <w:p>
      <w:pPr>
        <w:spacing w:line="600" w:lineRule="exact"/>
        <w:ind w:firstLine="600" w:firstLineChars="200"/>
        <w:outlineLvl w:val="0"/>
        <w:rPr>
          <w:rFonts w:ascii="仿宋_GB2312"/>
        </w:rPr>
      </w:pPr>
      <w:r>
        <w:rPr>
          <w:rFonts w:hint="eastAsia" w:ascii="仿宋_GB2312"/>
        </w:rPr>
        <w:t>向民营企业和中小企业支付2018年及以前年度应付未付“三代”手续费。</w:t>
      </w:r>
    </w:p>
    <w:p>
      <w:pPr>
        <w:spacing w:line="600" w:lineRule="exact"/>
        <w:ind w:firstLine="600" w:firstLineChars="200"/>
        <w:outlineLvl w:val="0"/>
        <w:rPr>
          <w:rFonts w:ascii="仿宋_GB2312"/>
        </w:rPr>
      </w:pPr>
      <w:r>
        <w:rPr>
          <w:rFonts w:hint="eastAsia" w:ascii="仿宋_GB2312"/>
        </w:rPr>
        <w:t>（四）项目效益情况。</w:t>
      </w:r>
    </w:p>
    <w:p>
      <w:pPr>
        <w:spacing w:line="600" w:lineRule="exact"/>
        <w:ind w:firstLine="600" w:firstLineChars="200"/>
        <w:outlineLvl w:val="0"/>
        <w:rPr>
          <w:rFonts w:ascii="仿宋_GB2312"/>
        </w:rPr>
      </w:pPr>
      <w:r>
        <w:rPr>
          <w:rFonts w:hint="eastAsia" w:ascii="仿宋_GB2312"/>
        </w:rPr>
        <w:t>降低征纳双方税收成本，切实解决税收征收管理难、征管质量和效率偏低的问题，减少跑、冒、滴、漏，提升税收征管质量和效率，为全面完成各项税收任务，努力增加财政收入做出应有的贡献。</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ascii="仿宋_GB2312"/>
        </w:rPr>
      </w:pPr>
      <w:r>
        <w:rPr>
          <w:rFonts w:hint="eastAsia" w:ascii="仿宋_GB2312"/>
        </w:rPr>
        <w:t>主要经验是逐户逐年按税种分单位类型统计实现的代扣代收代征税款情况、“三代”手续费支付情况和应付未付情况，夯实数据基础，为领导决策提供准确的数据支撑。</w:t>
      </w:r>
    </w:p>
    <w:p>
      <w:pPr>
        <w:spacing w:line="600" w:lineRule="exact"/>
        <w:ind w:firstLine="600" w:firstLineChars="200"/>
        <w:outlineLvl w:val="0"/>
        <w:rPr>
          <w:rFonts w:ascii="仿宋_GB2312"/>
        </w:rPr>
      </w:pPr>
      <w:r>
        <w:rPr>
          <w:rFonts w:hint="eastAsia" w:ascii="仿宋_GB2312"/>
        </w:rPr>
        <w:t>存在的问题主要是原地税系统2018年及以前年度应付未付三代手续费尚有较大的经费缺口，欠付时间较长，代扣代收代征单位意见较大，不利于激励代扣代收代征单位扣缴税款的积极性。</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outlineLvl w:val="0"/>
        <w:rPr>
          <w:rFonts w:ascii="仿宋_GB2312"/>
        </w:rPr>
      </w:pPr>
      <w:r>
        <w:rPr>
          <w:rFonts w:hint="eastAsia" w:ascii="仿宋_GB2312"/>
        </w:rPr>
        <w:t>感谢自治区财政厅的大力支持，并恳请在下一步经费安排时对2018年及以前年度应付未付三代手续费予以考虑。</w:t>
      </w:r>
    </w:p>
    <w:p>
      <w:pPr>
        <w:spacing w:line="600" w:lineRule="exact"/>
        <w:ind w:firstLine="600" w:firstLineChars="200"/>
        <w:rPr>
          <w:rFonts w:ascii="仿宋_GB2312"/>
          <w:bCs/>
          <w:sz w:val="32"/>
          <w:szCs w:val="32"/>
        </w:rPr>
      </w:pPr>
      <w:r>
        <w:rPr>
          <w:rFonts w:hint="eastAsia" w:ascii="黑体" w:hAnsi="黑体" w:eastAsia="黑体"/>
        </w:rPr>
        <w:t>七、其他需要说明的问题</w:t>
      </w:r>
    </w:p>
    <w:p>
      <w:pPr>
        <w:spacing w:line="600" w:lineRule="exact"/>
        <w:ind w:firstLine="600" w:firstLineChars="200"/>
        <w:outlineLvl w:val="0"/>
        <w:rPr>
          <w:rFonts w:ascii="仿宋_GB2312"/>
        </w:rPr>
      </w:pPr>
      <w:r>
        <w:rPr>
          <w:rFonts w:hint="eastAsia" w:ascii="仿宋_GB2312"/>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24A80"/>
    <w:rsid w:val="00027B92"/>
    <w:rsid w:val="003C0149"/>
    <w:rsid w:val="004D5C8B"/>
    <w:rsid w:val="00566770"/>
    <w:rsid w:val="005C33E2"/>
    <w:rsid w:val="005C354D"/>
    <w:rsid w:val="005F1719"/>
    <w:rsid w:val="00692A37"/>
    <w:rsid w:val="00877AEF"/>
    <w:rsid w:val="00924A80"/>
    <w:rsid w:val="00A13DF5"/>
    <w:rsid w:val="00A159AF"/>
    <w:rsid w:val="00A8098C"/>
    <w:rsid w:val="00BB4153"/>
    <w:rsid w:val="00DA61F0"/>
    <w:rsid w:val="19482485"/>
    <w:rsid w:val="275F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7">
    <w:name w:val="Light Shading"/>
    <w:basedOn w:val="5"/>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309</Words>
  <Characters>1762</Characters>
  <Lines>14</Lines>
  <Paragraphs>4</Paragraphs>
  <TotalTime>80</TotalTime>
  <ScaleCrop>false</ScaleCrop>
  <LinksUpToDate>false</LinksUpToDate>
  <CharactersWithSpaces>2067</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2020-05-13T14:33:00Z</dcterms:created>
  <dc:creator>邱健</dc:creator>
  <cp:lastModifiedBy>吕　琼</cp:lastModifiedBy>
  <dcterms:modified xsi:type="dcterms:W3CDTF">2020-10-13T10:33:21Z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