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尉犁县税务局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负责贯彻执行税收、社会保险费和有关非税收入法律、法规、规章和规范性文件，研究制定具体实施办法。组织落实国家规定的税收优惠政策。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负责研究拟定税收、社会保险费和有关非税收入中长期规划，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参与</w:t>
      </w:r>
      <w:r>
        <w:rPr>
          <w:rFonts w:hint="eastAsia" w:ascii="仿宋_GB2312" w:hAnsi="宋体" w:eastAsia="仿宋_GB2312"/>
          <w:kern w:val="0"/>
          <w:sz w:val="32"/>
          <w:szCs w:val="32"/>
        </w:rPr>
        <w:t>拟定税收、社会保险费和有关非税收入预算目标并依法组织实施。负责税收、社会保险费和有关非税收入的会统核算工作。组织开展收入分析预测。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负责开展税收经济分析和税收政策效应分析，为国家税务总局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巴音郭楞蒙古自治州税务局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地方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党委、政府提供决策参考。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负责组织实施税收、社会保险费和有关非税收入服务体系建设。组织开展纳税服务、税收宣传工作，保护纳税人、缴费人合法权益。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承担涉及税收、社会保险费和有关非税收入的行政复议和行政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赔偿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事项。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负责组织实施所辖区域内社会保险费、有关非税收入检查工作。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负责内部控制机制建设工作，开展对贯彻执行党中央、国务院重大决策及上级工作部署情况的督查督办，组织实施税收执行法督察。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负责基层建设和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干部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队伍建设工作，加强领导班子建设，承担税务人才培养和干部教育培训工作。负责绩效管理和干部考核工作。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负责编制、经费和资产管理工作。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上级税务部门</w:t>
      </w:r>
      <w:r>
        <w:rPr>
          <w:rFonts w:hint="eastAsia" w:ascii="仿宋_GB2312" w:hAnsi="宋体" w:eastAsia="仿宋_GB2312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地方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4"/>
        <w:snapToGrid w:val="0"/>
        <w:spacing w:line="60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尉犁县税务局无下属预算单位</w:t>
      </w:r>
      <w:r>
        <w:rPr>
          <w:rFonts w:hint="eastAsia"/>
          <w:color w:val="auto"/>
          <w:sz w:val="32"/>
          <w:szCs w:val="32"/>
        </w:rPr>
        <w:t>，设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0个内设机构、2个派出机构、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个事业单位</w:t>
      </w:r>
      <w:r>
        <w:rPr>
          <w:rFonts w:hint="eastAsia"/>
          <w:color w:val="auto"/>
          <w:sz w:val="32"/>
          <w:szCs w:val="32"/>
          <w:lang w:eastAsia="zh-CN"/>
        </w:rPr>
        <w:t>。内设机构、事业单位级别均为股级；派出机构中有</w:t>
      </w:r>
      <w:r>
        <w:rPr>
          <w:rFonts w:hint="eastAsia"/>
          <w:color w:val="auto"/>
          <w:sz w:val="32"/>
          <w:szCs w:val="32"/>
          <w:lang w:val="en-US" w:eastAsia="zh-CN"/>
        </w:rPr>
        <w:t>1个副科级机构、1个股级机构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pStyle w:val="4"/>
        <w:snapToGrid w:val="0"/>
        <w:spacing w:line="600" w:lineRule="exact"/>
        <w:ind w:firstLine="643" w:firstLineChars="200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（一）内设机构</w:t>
      </w:r>
      <w:r>
        <w:rPr>
          <w:rFonts w:hint="eastAsia"/>
          <w:color w:val="auto"/>
          <w:sz w:val="32"/>
          <w:szCs w:val="32"/>
        </w:rPr>
        <w:t>：办公室、</w:t>
      </w:r>
      <w:r>
        <w:rPr>
          <w:rFonts w:hint="eastAsia"/>
          <w:color w:val="auto"/>
          <w:sz w:val="32"/>
          <w:szCs w:val="32"/>
          <w:lang w:eastAsia="zh-CN"/>
        </w:rPr>
        <w:t>法制股、税政股、社会保险费和非税收入股、纳税服务股、征收管理股、收入核算股、税源管理股、风险管理股、人事教育股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pStyle w:val="4"/>
        <w:snapToGri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：第一税务分局</w:t>
      </w:r>
      <w:r>
        <w:rPr>
          <w:rFonts w:hint="eastAsia"/>
          <w:sz w:val="32"/>
          <w:szCs w:val="32"/>
          <w:lang w:eastAsia="zh-CN"/>
        </w:rPr>
        <w:t>（办税服务厅）、城区税务所</w:t>
      </w:r>
      <w:r>
        <w:rPr>
          <w:rFonts w:hint="eastAsia"/>
          <w:sz w:val="32"/>
          <w:szCs w:val="32"/>
        </w:rPr>
        <w:t>。</w:t>
      </w:r>
    </w:p>
    <w:p>
      <w:pPr>
        <w:pStyle w:val="4"/>
        <w:snapToGrid w:val="0"/>
        <w:spacing w:line="600" w:lineRule="exact"/>
        <w:ind w:firstLine="643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</w:rPr>
        <w:t>（三）事业单位</w:t>
      </w:r>
      <w:r>
        <w:rPr>
          <w:rFonts w:hint="eastAsia"/>
          <w:color w:val="auto"/>
          <w:sz w:val="32"/>
          <w:szCs w:val="32"/>
        </w:rPr>
        <w:t>：信息中心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实有编制数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人，其中：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eastAsia="zh-CN"/>
        </w:rPr>
        <w:t>行政编制数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eastAsia="zh-CN"/>
        </w:rPr>
        <w:t>编制数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人，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eastAsia="zh-CN"/>
        </w:rPr>
        <w:t>离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退休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人。实有人数增加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人，其中在职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人，离退休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3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1050"/>
        <w:gridCol w:w="273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编制部门：尉犁县税务局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6"/>
                <w:lang w:val="en-US" w:eastAsia="zh-CN" w:bidi="ar"/>
              </w:rPr>
              <w:t>9年预算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6"/>
                <w:lang w:val="en-US" w:eastAsia="zh-CN" w:bidi="ar"/>
              </w:rPr>
              <w:t>9年预算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部门收入总体情况表</w:t>
      </w:r>
    </w:p>
    <w:p>
      <w:pPr>
        <w:widowControl/>
        <w:numPr>
          <w:ilvl w:val="0"/>
          <w:numId w:val="0"/>
        </w:numPr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编制部门：尉犁县税务局</w:t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3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525"/>
        <w:gridCol w:w="3540"/>
        <w:gridCol w:w="737"/>
        <w:gridCol w:w="1010"/>
        <w:gridCol w:w="232"/>
        <w:gridCol w:w="392"/>
        <w:gridCol w:w="232"/>
        <w:gridCol w:w="232"/>
        <w:gridCol w:w="232"/>
        <w:gridCol w:w="231"/>
        <w:gridCol w:w="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尉犁县税务局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139.58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139.58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139.58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139.58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52.01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52.01 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部门支出总体情况表</w:t>
      </w:r>
    </w:p>
    <w:p>
      <w:pPr>
        <w:widowControl/>
        <w:numPr>
          <w:ilvl w:val="0"/>
          <w:numId w:val="0"/>
        </w:numPr>
        <w:spacing w:line="600" w:lineRule="exact"/>
        <w:outlineLvl w:val="1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编制部门：尉犁县税务局</w:t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3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40"/>
        <w:gridCol w:w="540"/>
        <w:gridCol w:w="3495"/>
        <w:gridCol w:w="1080"/>
        <w:gridCol w:w="88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尉犁县税务局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2"/>
        </w:numPr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财政拨款收支总体情况表</w:t>
      </w:r>
    </w:p>
    <w:p>
      <w:pPr>
        <w:widowControl/>
        <w:numPr>
          <w:ilvl w:val="0"/>
          <w:numId w:val="0"/>
        </w:numPr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编制部门：尉犁县税务局</w:t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705"/>
        <w:gridCol w:w="2730"/>
        <w:gridCol w:w="795"/>
        <w:gridCol w:w="118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收       入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139.58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139.58 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23 国有资本经营预算支出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31 债务还本支出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32 债务付息支出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  <w:r>
              <w:rPr>
                <w:rStyle w:val="7"/>
                <w:lang w:val="en-US" w:eastAsia="zh-CN" w:bidi="ar"/>
              </w:rPr>
              <w:t xml:space="preserve"> 债务发行费支出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620.28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2"/>
        </w:numPr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一般公共预算支出情况表</w:t>
      </w:r>
    </w:p>
    <w:p>
      <w:pPr>
        <w:widowControl/>
        <w:numPr>
          <w:ilvl w:val="0"/>
          <w:numId w:val="0"/>
        </w:numPr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编制部门：尉犁县税务局</w:t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65"/>
        <w:gridCol w:w="690"/>
        <w:gridCol w:w="3795"/>
        <w:gridCol w:w="765"/>
        <w:gridCol w:w="88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尉犁县税务局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2"/>
        </w:numPr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一般公共预算基本支出情况表</w:t>
      </w:r>
    </w:p>
    <w:p>
      <w:pPr>
        <w:widowControl/>
        <w:numPr>
          <w:ilvl w:val="0"/>
          <w:numId w:val="0"/>
        </w:numPr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编制部门：尉犁县税务局</w:t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</w:rPr>
        <w:tab/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3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05"/>
        <w:gridCol w:w="2955"/>
        <w:gridCol w:w="1680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尉犁县税务局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620.28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522.09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360.86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52.01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25.26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43.30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7.80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87.57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34.44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5.29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numPr>
          <w:ilvl w:val="0"/>
          <w:numId w:val="0"/>
        </w:numPr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3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45"/>
        <w:gridCol w:w="660"/>
        <w:gridCol w:w="975"/>
        <w:gridCol w:w="885"/>
        <w:gridCol w:w="10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项目支出合计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对个人和家庭的补助支出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00" w:lineRule="exact"/>
        <w:ind w:leftChars="0"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一般公共预算“三公”经费支出情况表</w:t>
      </w:r>
    </w:p>
    <w:tbl>
      <w:tblPr>
        <w:tblStyle w:val="3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435"/>
        <w:gridCol w:w="1515"/>
        <w:gridCol w:w="435"/>
        <w:gridCol w:w="1335"/>
        <w:gridCol w:w="13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  位 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1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政府性基金预算支出情况表</w:t>
      </w:r>
    </w:p>
    <w:p>
      <w:pPr>
        <w:widowControl/>
        <w:numPr>
          <w:ilvl w:val="0"/>
          <w:numId w:val="0"/>
        </w:numPr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65"/>
        <w:gridCol w:w="690"/>
        <w:gridCol w:w="1695"/>
        <w:gridCol w:w="1080"/>
        <w:gridCol w:w="88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尉犁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万元，占100 %，比上年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万元，主要原因是2018年国地税征管改革，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尉犁县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尉犁县国家税务局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%，比上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60.73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项目支出预算未安排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2019年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财政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480.7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87.57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52.01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480.7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139.58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87.57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52.01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犁县税务局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2019年一般公共预算拨款基本支出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81.52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主要原因是国地税征管体制改革，经费保障模式改变。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480.7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万元，占77.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480.7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139.58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万元，占22.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87.57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52.01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480.7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123.41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主要原因是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国地税征管体制改革，经费保障模式改变。 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87.57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45.62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08.75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％。主要原因是退休人数较合并前增加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机关事业单位基本养老保险缴费支出05（项）：2019年预算数为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52.01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3.73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万元，降低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％。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主要原因是自治区财政经费保障范围变化，养老金提取基数降低。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620.28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609.66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包括：规范性津贴补贴、机关事业单位基本养老保险缴费、职业年金缴费、职工基本医疗保险缴费、公务员医疗补助缴费、其他社会保障缴费、住房公积金、医疗费、其他工资福利支出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职工取暖补助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尉犁县税务局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房屋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2744.08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678.65万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228.53万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全部为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执法执勤用车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60.80万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169.50万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单位价值50万元以上大型设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尉犁县税务局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国家税务总局尉犁县税务局</w:t>
      </w: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9797"/>
    <w:multiLevelType w:val="singleLevel"/>
    <w:tmpl w:val="137C97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62140"/>
    <w:multiLevelType w:val="singleLevel"/>
    <w:tmpl w:val="4C7621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4397"/>
    <w:rsid w:val="00595D8A"/>
    <w:rsid w:val="00994346"/>
    <w:rsid w:val="02E24A21"/>
    <w:rsid w:val="031B616C"/>
    <w:rsid w:val="03ED5161"/>
    <w:rsid w:val="040C36D7"/>
    <w:rsid w:val="042E37D7"/>
    <w:rsid w:val="0465176B"/>
    <w:rsid w:val="04882A56"/>
    <w:rsid w:val="04A82F90"/>
    <w:rsid w:val="04F62CBF"/>
    <w:rsid w:val="050E14A7"/>
    <w:rsid w:val="060F7781"/>
    <w:rsid w:val="06483CB9"/>
    <w:rsid w:val="06855DAC"/>
    <w:rsid w:val="068E4118"/>
    <w:rsid w:val="06E80E45"/>
    <w:rsid w:val="06F46A46"/>
    <w:rsid w:val="072E26F7"/>
    <w:rsid w:val="0769180A"/>
    <w:rsid w:val="07844224"/>
    <w:rsid w:val="07B55922"/>
    <w:rsid w:val="09C255FD"/>
    <w:rsid w:val="0A68051E"/>
    <w:rsid w:val="0A861EAB"/>
    <w:rsid w:val="0B910F9A"/>
    <w:rsid w:val="0B9E5BB7"/>
    <w:rsid w:val="0C3A6B42"/>
    <w:rsid w:val="0C5F753F"/>
    <w:rsid w:val="0D0D6BFF"/>
    <w:rsid w:val="0D315DE6"/>
    <w:rsid w:val="0EA2027D"/>
    <w:rsid w:val="0F6B695C"/>
    <w:rsid w:val="0FC928C3"/>
    <w:rsid w:val="0FF32A88"/>
    <w:rsid w:val="0FFE7955"/>
    <w:rsid w:val="11E32869"/>
    <w:rsid w:val="11F910AC"/>
    <w:rsid w:val="12221946"/>
    <w:rsid w:val="12A66614"/>
    <w:rsid w:val="12F32658"/>
    <w:rsid w:val="13527760"/>
    <w:rsid w:val="13894A8B"/>
    <w:rsid w:val="13FB48BB"/>
    <w:rsid w:val="14DA0143"/>
    <w:rsid w:val="15AF3780"/>
    <w:rsid w:val="16111A69"/>
    <w:rsid w:val="16516E08"/>
    <w:rsid w:val="16707D63"/>
    <w:rsid w:val="16CD52FF"/>
    <w:rsid w:val="16D622B7"/>
    <w:rsid w:val="18353829"/>
    <w:rsid w:val="190E5D4A"/>
    <w:rsid w:val="19C42691"/>
    <w:rsid w:val="1A8810C4"/>
    <w:rsid w:val="1BC60F44"/>
    <w:rsid w:val="1BD14FA3"/>
    <w:rsid w:val="1C2B1FA3"/>
    <w:rsid w:val="1E3F011F"/>
    <w:rsid w:val="1F8C48AC"/>
    <w:rsid w:val="1FCC692B"/>
    <w:rsid w:val="1FE328B5"/>
    <w:rsid w:val="20A407E4"/>
    <w:rsid w:val="21CE1C94"/>
    <w:rsid w:val="22397200"/>
    <w:rsid w:val="229B01FE"/>
    <w:rsid w:val="22D611E7"/>
    <w:rsid w:val="2381012B"/>
    <w:rsid w:val="24832712"/>
    <w:rsid w:val="24DD26CF"/>
    <w:rsid w:val="24E86D70"/>
    <w:rsid w:val="24EA4548"/>
    <w:rsid w:val="25502611"/>
    <w:rsid w:val="258354D1"/>
    <w:rsid w:val="273B4066"/>
    <w:rsid w:val="29142D6B"/>
    <w:rsid w:val="29952696"/>
    <w:rsid w:val="2A402323"/>
    <w:rsid w:val="2A5A5E53"/>
    <w:rsid w:val="2A8B0AE3"/>
    <w:rsid w:val="2ABB298D"/>
    <w:rsid w:val="2B237AD3"/>
    <w:rsid w:val="2C560ECA"/>
    <w:rsid w:val="2D74380C"/>
    <w:rsid w:val="2DBD41A2"/>
    <w:rsid w:val="2E194743"/>
    <w:rsid w:val="2E2D347B"/>
    <w:rsid w:val="2EB34145"/>
    <w:rsid w:val="2F4C3FD1"/>
    <w:rsid w:val="2FE02B66"/>
    <w:rsid w:val="2FE71E93"/>
    <w:rsid w:val="301F61F2"/>
    <w:rsid w:val="308A1B00"/>
    <w:rsid w:val="30BA764F"/>
    <w:rsid w:val="3116380E"/>
    <w:rsid w:val="315839E9"/>
    <w:rsid w:val="31695A1D"/>
    <w:rsid w:val="31E35B13"/>
    <w:rsid w:val="31F134C1"/>
    <w:rsid w:val="323A61F8"/>
    <w:rsid w:val="325129EF"/>
    <w:rsid w:val="32E00F5C"/>
    <w:rsid w:val="334207A8"/>
    <w:rsid w:val="33793665"/>
    <w:rsid w:val="347925BF"/>
    <w:rsid w:val="34A014C0"/>
    <w:rsid w:val="34F068E7"/>
    <w:rsid w:val="34FC16A9"/>
    <w:rsid w:val="358F5118"/>
    <w:rsid w:val="362C004C"/>
    <w:rsid w:val="36811493"/>
    <w:rsid w:val="36B62AD9"/>
    <w:rsid w:val="36DE7ADC"/>
    <w:rsid w:val="37B3744D"/>
    <w:rsid w:val="39B16C91"/>
    <w:rsid w:val="39D80C46"/>
    <w:rsid w:val="3A8858D9"/>
    <w:rsid w:val="3A9F69E8"/>
    <w:rsid w:val="3AC90DAC"/>
    <w:rsid w:val="3BAE385E"/>
    <w:rsid w:val="3BC33E49"/>
    <w:rsid w:val="3C2470A0"/>
    <w:rsid w:val="3C30256A"/>
    <w:rsid w:val="3C3426D2"/>
    <w:rsid w:val="3C9809F4"/>
    <w:rsid w:val="3D9B3B13"/>
    <w:rsid w:val="3DBF6C69"/>
    <w:rsid w:val="3DE075C1"/>
    <w:rsid w:val="3E384FE2"/>
    <w:rsid w:val="3EE32FE9"/>
    <w:rsid w:val="3FC75846"/>
    <w:rsid w:val="3FCF7F64"/>
    <w:rsid w:val="41803D7D"/>
    <w:rsid w:val="42064420"/>
    <w:rsid w:val="421C503D"/>
    <w:rsid w:val="42B908CB"/>
    <w:rsid w:val="435502B5"/>
    <w:rsid w:val="43B01C50"/>
    <w:rsid w:val="43B568A4"/>
    <w:rsid w:val="43B56BAC"/>
    <w:rsid w:val="440340B4"/>
    <w:rsid w:val="442449EA"/>
    <w:rsid w:val="443F671A"/>
    <w:rsid w:val="45735C75"/>
    <w:rsid w:val="469D6E4E"/>
    <w:rsid w:val="46EA3963"/>
    <w:rsid w:val="471D5A1B"/>
    <w:rsid w:val="4B271F6B"/>
    <w:rsid w:val="4BA223ED"/>
    <w:rsid w:val="4BC31741"/>
    <w:rsid w:val="4BC90972"/>
    <w:rsid w:val="4CDD5C8D"/>
    <w:rsid w:val="4D754752"/>
    <w:rsid w:val="4DE74397"/>
    <w:rsid w:val="4E54223B"/>
    <w:rsid w:val="4ED57353"/>
    <w:rsid w:val="4F1D798D"/>
    <w:rsid w:val="4F546111"/>
    <w:rsid w:val="4F884616"/>
    <w:rsid w:val="51257CDC"/>
    <w:rsid w:val="51343ED6"/>
    <w:rsid w:val="51974F4B"/>
    <w:rsid w:val="528D45BE"/>
    <w:rsid w:val="5416405B"/>
    <w:rsid w:val="543D5A64"/>
    <w:rsid w:val="54F332B6"/>
    <w:rsid w:val="555A572C"/>
    <w:rsid w:val="55703C85"/>
    <w:rsid w:val="568D27EE"/>
    <w:rsid w:val="56A84990"/>
    <w:rsid w:val="575A472A"/>
    <w:rsid w:val="57B90EF0"/>
    <w:rsid w:val="58421739"/>
    <w:rsid w:val="58CC6002"/>
    <w:rsid w:val="59152009"/>
    <w:rsid w:val="59CA5FA8"/>
    <w:rsid w:val="59E86AEC"/>
    <w:rsid w:val="5A4D247B"/>
    <w:rsid w:val="5AB85668"/>
    <w:rsid w:val="5B00449A"/>
    <w:rsid w:val="5BA73CF6"/>
    <w:rsid w:val="5BC2283D"/>
    <w:rsid w:val="5CE05117"/>
    <w:rsid w:val="5D885993"/>
    <w:rsid w:val="5DA47F1E"/>
    <w:rsid w:val="5DBA6B9F"/>
    <w:rsid w:val="5DC66A9C"/>
    <w:rsid w:val="5E2F653E"/>
    <w:rsid w:val="5E34113D"/>
    <w:rsid w:val="5EA815CD"/>
    <w:rsid w:val="5F5D6692"/>
    <w:rsid w:val="5FB61FD3"/>
    <w:rsid w:val="60846B89"/>
    <w:rsid w:val="60D82A4A"/>
    <w:rsid w:val="62094302"/>
    <w:rsid w:val="621103F4"/>
    <w:rsid w:val="62EA3B58"/>
    <w:rsid w:val="637C6024"/>
    <w:rsid w:val="645711FA"/>
    <w:rsid w:val="64F267BE"/>
    <w:rsid w:val="65DD3491"/>
    <w:rsid w:val="65FC09D9"/>
    <w:rsid w:val="661E41E4"/>
    <w:rsid w:val="6708059A"/>
    <w:rsid w:val="67F54133"/>
    <w:rsid w:val="6A15372B"/>
    <w:rsid w:val="6A5327DB"/>
    <w:rsid w:val="6A6E6469"/>
    <w:rsid w:val="6A9C2DEA"/>
    <w:rsid w:val="6B160359"/>
    <w:rsid w:val="6B336828"/>
    <w:rsid w:val="6B915930"/>
    <w:rsid w:val="6BE501D1"/>
    <w:rsid w:val="6C4073C8"/>
    <w:rsid w:val="6CC37C79"/>
    <w:rsid w:val="6D386847"/>
    <w:rsid w:val="6E6B545A"/>
    <w:rsid w:val="6F946E10"/>
    <w:rsid w:val="703E5DAE"/>
    <w:rsid w:val="70806E9A"/>
    <w:rsid w:val="70C32C2B"/>
    <w:rsid w:val="711F0B0E"/>
    <w:rsid w:val="71B26C0D"/>
    <w:rsid w:val="71FE2354"/>
    <w:rsid w:val="721238CE"/>
    <w:rsid w:val="73E50693"/>
    <w:rsid w:val="740D6148"/>
    <w:rsid w:val="745169FB"/>
    <w:rsid w:val="76AD5294"/>
    <w:rsid w:val="775F4448"/>
    <w:rsid w:val="777D50B6"/>
    <w:rsid w:val="77EB586D"/>
    <w:rsid w:val="78712EBA"/>
    <w:rsid w:val="78D228CA"/>
    <w:rsid w:val="79964B4D"/>
    <w:rsid w:val="79A702C3"/>
    <w:rsid w:val="7A12737A"/>
    <w:rsid w:val="7A74307A"/>
    <w:rsid w:val="7C864180"/>
    <w:rsid w:val="7CC76533"/>
    <w:rsid w:val="7CE457D8"/>
    <w:rsid w:val="7CEB0470"/>
    <w:rsid w:val="7D9A0F44"/>
    <w:rsid w:val="7DB4196D"/>
    <w:rsid w:val="7F9F3303"/>
    <w:rsid w:val="7FD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2019-02-14T10:24:00Z</dcterms:created>
  <dc:creator>刘芹</dc:creator>
  <cp:lastModifiedBy> </cp:lastModifiedBy>
  <dcterms:modified xsi:type="dcterms:W3CDTF">2019-02-23T09:06:17Z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