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6771"/>
        </w:tabs>
        <w:wordWrap w:val="0"/>
        <w:spacing w:before="332" w:beforeLines="100" w:after="332" w:afterLines="100" w:line="360" w:lineRule="auto"/>
        <w:jc w:val="center"/>
        <w:outlineLvl w:val="0"/>
        <w:rPr>
          <w:rFonts w:eastAsia="黑体" w:cs="Times New Roman"/>
          <w:b/>
          <w:bCs/>
          <w:color w:val="000000" w:themeColor="text1"/>
          <w:kern w:val="24"/>
          <w:sz w:val="36"/>
          <w:szCs w:val="36"/>
          <w14:textFill>
            <w14:solidFill>
              <w14:schemeClr w14:val="tx1"/>
            </w14:solidFill>
          </w14:textFill>
        </w:rPr>
      </w:pPr>
      <w:bookmarkStart w:id="0" w:name="_Toc25672"/>
      <w:r>
        <w:rPr>
          <w:rFonts w:hint="eastAsia" w:eastAsia="黑体" w:cs="Times New Roman"/>
          <w:b/>
          <w:bCs/>
          <w:color w:val="000000" w:themeColor="text1"/>
          <w:kern w:val="24"/>
          <w:sz w:val="36"/>
          <w:szCs w:val="36"/>
          <w14:textFill>
            <w14:solidFill>
              <w14:schemeClr w14:val="tx1"/>
            </w14:solidFill>
          </w14:textFill>
        </w:rPr>
        <w:t>13</w:t>
      </w:r>
      <w:r>
        <w:rPr>
          <w:rFonts w:eastAsia="黑体" w:cs="Times New Roman"/>
          <w:b/>
          <w:bCs/>
          <w:color w:val="000000" w:themeColor="text1"/>
          <w:kern w:val="24"/>
          <w:sz w:val="36"/>
          <w:szCs w:val="36"/>
          <w14:textFill>
            <w14:solidFill>
              <w14:schemeClr w14:val="tx1"/>
            </w14:solidFill>
          </w14:textFill>
        </w:rPr>
        <w:t>　纳税服务投诉</w:t>
      </w:r>
      <w:bookmarkEnd w:id="0"/>
      <w:r>
        <w:rPr>
          <w:rFonts w:hint="eastAsia" w:eastAsia="黑体" w:cs="Times New Roman"/>
          <w:b/>
          <w:bCs/>
          <w:color w:val="000000" w:themeColor="text1"/>
          <w:kern w:val="24"/>
          <w:sz w:val="36"/>
          <w:szCs w:val="36"/>
          <w14:textFill>
            <w14:solidFill>
              <w14:schemeClr w14:val="tx1"/>
            </w14:solidFill>
          </w14:textFill>
        </w:rPr>
        <w:t>指南</w:t>
      </w:r>
    </w:p>
    <w:p>
      <w:pPr>
        <w:widowControl/>
        <w:wordWrap w:val="0"/>
        <w:spacing w:line="360" w:lineRule="auto"/>
        <w:ind w:firstLine="480"/>
        <w:rPr>
          <w:rFonts w:eastAsia="楷体_GB2312"/>
          <w:color w:val="000000" w:themeColor="text1"/>
          <w:kern w:val="24"/>
          <w:sz w:val="24"/>
          <w:szCs w:val="24"/>
          <w14:textFill>
            <w14:solidFill>
              <w14:schemeClr w14:val="tx1"/>
            </w14:solidFill>
          </w14:textFill>
        </w:rPr>
      </w:pPr>
      <w:r>
        <w:rPr>
          <w:rFonts w:hint="eastAsia" w:eastAsia="楷体_GB2312"/>
          <w:color w:val="000000" w:themeColor="text1"/>
          <w:kern w:val="24"/>
          <w:sz w:val="24"/>
          <w:szCs w:val="24"/>
          <w14:textFill>
            <w14:solidFill>
              <w14:schemeClr w14:val="tx1"/>
            </w14:solidFill>
          </w14:textFill>
        </w:rPr>
        <w:t>纳税服务投诉指南是指税务机关为维护纳税人（含缴费人、扣缴义务人和其他当事人）的合法权益，规范纳税服务投诉管理，提高投诉办理效率所制定的服务指南，包括纳税服务投诉处理1个事项。</w:t>
      </w:r>
    </w:p>
    <w:p>
      <w:pPr>
        <w:widowControl/>
        <w:wordWrap w:val="0"/>
        <w:spacing w:before="996" w:beforeLines="300" w:after="498" w:afterLines="150" w:line="360" w:lineRule="auto"/>
        <w:ind w:firstLine="643"/>
        <w:outlineLvl w:val="1"/>
        <w:rPr>
          <w:rFonts w:eastAsia="黑体" w:cs="Times New Roman"/>
          <w:b/>
          <w:bCs/>
          <w:color w:val="000000" w:themeColor="text1"/>
          <w:sz w:val="32"/>
          <w:szCs w:val="32"/>
          <w14:textFill>
            <w14:solidFill>
              <w14:schemeClr w14:val="tx1"/>
            </w14:solidFill>
          </w14:textFill>
        </w:rPr>
      </w:pPr>
      <w:bookmarkStart w:id="1" w:name="_Toc5353"/>
      <w:r>
        <w:rPr>
          <w:rFonts w:hint="eastAsia" w:eastAsia="黑体" w:cs="Times New Roman"/>
          <w:b/>
          <w:bCs/>
          <w:color w:val="000000" w:themeColor="text1"/>
          <w:sz w:val="32"/>
          <w:szCs w:val="32"/>
          <w14:textFill>
            <w14:solidFill>
              <w14:schemeClr w14:val="tx1"/>
            </w14:solidFill>
          </w14:textFill>
        </w:rPr>
        <w:t>13.1</w:t>
      </w:r>
      <w:r>
        <w:rPr>
          <w:rFonts w:ascii="黑体" w:hAnsi="黑体" w:eastAsia="黑体" w:cs="Times New Roman"/>
          <w:b/>
          <w:bCs/>
          <w:color w:val="000000" w:themeColor="text1"/>
          <w:sz w:val="32"/>
          <w:szCs w:val="32"/>
          <w14:textFill>
            <w14:solidFill>
              <w14:schemeClr w14:val="tx1"/>
            </w14:solidFill>
          </w14:textFill>
        </w:rPr>
        <w:t>　</w:t>
      </w:r>
      <w:r>
        <w:rPr>
          <w:rFonts w:eastAsia="黑体" w:cs="Times New Roman"/>
          <w:b/>
          <w:bCs/>
          <w:color w:val="000000" w:themeColor="text1"/>
          <w:sz w:val="32"/>
          <w:szCs w:val="32"/>
          <w14:textFill>
            <w14:solidFill>
              <w14:schemeClr w14:val="tx1"/>
            </w14:solidFill>
          </w14:textFill>
        </w:rPr>
        <w:t>纳税服务投诉</w:t>
      </w:r>
      <w:bookmarkEnd w:id="1"/>
    </w:p>
    <w:p>
      <w:pPr>
        <w:widowControl/>
        <w:wordWrap w:val="0"/>
        <w:spacing w:before="332" w:beforeLines="100" w:after="332" w:afterLines="100" w:line="360" w:lineRule="auto"/>
        <w:ind w:firstLine="562" w:firstLineChars="200"/>
        <w:outlineLvl w:val="2"/>
        <w:rPr>
          <w:rFonts w:eastAsia="黑体" w:cs="Times New Roman"/>
          <w:b/>
          <w:bCs/>
          <w:color w:val="000000" w:themeColor="text1"/>
          <w:kern w:val="24"/>
          <w:sz w:val="28"/>
          <w:szCs w:val="28"/>
          <w14:textFill>
            <w14:solidFill>
              <w14:schemeClr w14:val="tx1"/>
            </w14:solidFill>
          </w14:textFill>
        </w:rPr>
      </w:pPr>
      <w:bookmarkStart w:id="2" w:name="_Toc21573"/>
      <w:r>
        <w:rPr>
          <w:rFonts w:hint="eastAsia" w:eastAsia="黑体" w:cs="Times New Roman"/>
          <w:b/>
          <w:bCs/>
          <w:color w:val="000000" w:themeColor="text1"/>
          <w:kern w:val="24"/>
          <w:sz w:val="28"/>
          <w:szCs w:val="28"/>
          <w14:textFill>
            <w14:solidFill>
              <w14:schemeClr w14:val="tx1"/>
            </w14:solidFill>
          </w14:textFill>
        </w:rPr>
        <w:t>13.1.1</w:t>
      </w:r>
      <w:r>
        <w:rPr>
          <w:rFonts w:eastAsia="黑体" w:cs="Times New Roman"/>
          <w:b/>
          <w:bCs/>
          <w:color w:val="000000" w:themeColor="text1"/>
          <w:kern w:val="24"/>
          <w:sz w:val="28"/>
          <w:szCs w:val="28"/>
          <w14:textFill>
            <w14:solidFill>
              <w14:schemeClr w14:val="tx1"/>
            </w14:solidFill>
          </w14:textFill>
        </w:rPr>
        <w:t>—</w:t>
      </w:r>
      <w:r>
        <w:rPr>
          <w:rFonts w:hint="eastAsia" w:eastAsia="黑体" w:cs="Times New Roman"/>
          <w:b/>
          <w:bCs/>
          <w:color w:val="000000" w:themeColor="text1"/>
          <w:kern w:val="24"/>
          <w:sz w:val="28"/>
          <w:szCs w:val="28"/>
          <w14:textFill>
            <w14:solidFill>
              <w14:schemeClr w14:val="tx1"/>
            </w14:solidFill>
          </w14:textFill>
        </w:rPr>
        <w:t>19</w:t>
      </w:r>
      <w:r>
        <w:rPr>
          <w:rFonts w:hint="eastAsia" w:eastAsia="黑体" w:cs="Times New Roman"/>
          <w:b/>
          <w:bCs/>
          <w:color w:val="000000" w:themeColor="text1"/>
          <w:kern w:val="24"/>
          <w:sz w:val="28"/>
          <w:szCs w:val="28"/>
          <w:lang w:val="en-US" w:eastAsia="zh-CN"/>
          <w14:textFill>
            <w14:solidFill>
              <w14:schemeClr w14:val="tx1"/>
            </w14:solidFill>
          </w14:textFill>
        </w:rPr>
        <w:t>0</w:t>
      </w:r>
      <w:bookmarkStart w:id="3" w:name="_GoBack"/>
      <w:bookmarkEnd w:id="3"/>
      <w:r>
        <w:rPr>
          <w:rFonts w:ascii="黑体" w:hAnsi="黑体" w:eastAsia="黑体" w:cs="Times New Roman"/>
          <w:b/>
          <w:bCs/>
          <w:color w:val="000000" w:themeColor="text1"/>
          <w:kern w:val="24"/>
          <w:sz w:val="28"/>
          <w:szCs w:val="28"/>
          <w14:textFill>
            <w14:solidFill>
              <w14:schemeClr w14:val="tx1"/>
            </w14:solidFill>
          </w14:textFill>
        </w:rPr>
        <w:t>　</w:t>
      </w:r>
      <w:r>
        <w:rPr>
          <w:rFonts w:eastAsia="黑体" w:cs="Times New Roman"/>
          <w:b/>
          <w:bCs/>
          <w:color w:val="000000" w:themeColor="text1"/>
          <w:kern w:val="24"/>
          <w:sz w:val="28"/>
          <w:szCs w:val="28"/>
          <w14:textFill>
            <w14:solidFill>
              <w14:schemeClr w14:val="tx1"/>
            </w14:solidFill>
          </w14:textFill>
        </w:rPr>
        <w:t>纳税服务投诉处理</w:t>
      </w:r>
      <w:bookmarkEnd w:id="2"/>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【事项名称】</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纳税服务投诉处理</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w:t>
      </w:r>
      <w:r>
        <w:rPr>
          <w:rFonts w:hint="eastAsia" w:ascii="黑体" w:hAnsi="黑体" w:eastAsia="黑体" w:cs="Times New Roman"/>
          <w:bCs/>
          <w:color w:val="000000" w:themeColor="text1"/>
          <w:sz w:val="24"/>
          <w:szCs w:val="24"/>
          <w14:textFill>
            <w14:solidFill>
              <w14:schemeClr w14:val="tx1"/>
            </w14:solidFill>
          </w14:textFill>
        </w:rPr>
        <w:t>申请条件</w:t>
      </w:r>
      <w:r>
        <w:rPr>
          <w:rFonts w:ascii="黑体" w:hAnsi="黑体" w:eastAsia="黑体" w:cs="Times New Roman"/>
          <w:bCs/>
          <w:color w:val="000000" w:themeColor="text1"/>
          <w:sz w:val="24"/>
          <w:szCs w:val="24"/>
          <w14:textFill>
            <w14:solidFill>
              <w14:schemeClr w14:val="tx1"/>
            </w14:solidFill>
          </w14:textFill>
        </w:rPr>
        <w:t>】</w:t>
      </w:r>
    </w:p>
    <w:p>
      <w:pPr>
        <w:widowControl/>
        <w:wordWrap w:val="0"/>
        <w:spacing w:line="360" w:lineRule="auto"/>
        <w:ind w:firstLine="480"/>
        <w:contextualSpacing/>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纳税人认为税务机关及其工作人员在履行纳税服务职责过程中未提供规范、文明的纳税服务或者有其他侵犯其合法权益的情形，向税务机关进行投诉，税务机关进行受理、调查、处理和结果反馈。</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【设定依据】</w:t>
      </w:r>
    </w:p>
    <w:p>
      <w:pPr>
        <w:widowControl/>
        <w:wordWrap w:val="0"/>
        <w:spacing w:line="360"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《国家税务总局关于修订〈纳税服务投诉管理办法〉的公告》（国家税务总局公告</w:t>
      </w:r>
      <w:r>
        <w:rPr>
          <w:rFonts w:hint="eastAsia" w:cs="Times New Roman"/>
          <w:color w:val="000000" w:themeColor="text1"/>
          <w:sz w:val="24"/>
          <w:szCs w:val="24"/>
          <w14:textFill>
            <w14:solidFill>
              <w14:schemeClr w14:val="tx1"/>
            </w14:solidFill>
          </w14:textFill>
        </w:rPr>
        <w:t>2019</w:t>
      </w:r>
      <w:r>
        <w:rPr>
          <w:rFonts w:ascii="宋体" w:hAnsi="宋体"/>
          <w:color w:val="000000" w:themeColor="text1"/>
          <w:sz w:val="24"/>
          <w:szCs w:val="24"/>
          <w14:textFill>
            <w14:solidFill>
              <w14:schemeClr w14:val="tx1"/>
            </w14:solidFill>
          </w14:textFill>
        </w:rPr>
        <w:t>年第</w:t>
      </w:r>
      <w:r>
        <w:rPr>
          <w:rFonts w:hint="eastAsia" w:cs="Times New Roman"/>
          <w:color w:val="000000" w:themeColor="text1"/>
          <w:sz w:val="24"/>
          <w:szCs w:val="24"/>
          <w14:textFill>
            <w14:solidFill>
              <w14:schemeClr w14:val="tx1"/>
            </w14:solidFill>
          </w14:textFill>
        </w:rPr>
        <w:t>27</w:t>
      </w:r>
      <w:r>
        <w:rPr>
          <w:rFonts w:ascii="宋体" w:hAnsi="宋体"/>
          <w:color w:val="000000" w:themeColor="text1"/>
          <w:sz w:val="24"/>
          <w:szCs w:val="24"/>
          <w14:textFill>
            <w14:solidFill>
              <w14:schemeClr w14:val="tx1"/>
            </w14:solidFill>
          </w14:textFill>
        </w:rPr>
        <w:t>号）</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【办理材料】</w:t>
      </w:r>
    </w:p>
    <w:tbl>
      <w:tblPr>
        <w:tblStyle w:val="1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3537"/>
        <w:gridCol w:w="84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80" w:type="dxa"/>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序号</w:t>
            </w:r>
          </w:p>
        </w:tc>
        <w:tc>
          <w:tcPr>
            <w:tcW w:w="5238" w:type="dxa"/>
            <w:gridSpan w:val="2"/>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材料名称</w:t>
            </w:r>
          </w:p>
        </w:tc>
        <w:tc>
          <w:tcPr>
            <w:tcW w:w="840" w:type="dxa"/>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数量</w:t>
            </w:r>
          </w:p>
        </w:tc>
        <w:tc>
          <w:tcPr>
            <w:tcW w:w="1406" w:type="dxa"/>
            <w:shd w:val="clear" w:color="auto" w:fill="D9D9D9"/>
            <w:vAlign w:val="center"/>
          </w:tcPr>
          <w:p>
            <w:pPr>
              <w:widowControl/>
              <w:wordWrap w:val="0"/>
              <w:jc w:val="center"/>
              <w:rPr>
                <w:rFonts w:ascii="黑体" w:hAnsi="黑体" w:eastAsia="黑体" w:cs="Times New Roman"/>
                <w:color w:val="000000" w:themeColor="text1"/>
                <w14:textFill>
                  <w14:solidFill>
                    <w14:schemeClr w14:val="tx1"/>
                  </w14:solidFill>
                </w14:textFill>
              </w:rPr>
            </w:pPr>
            <w:r>
              <w:rPr>
                <w:rFonts w:ascii="黑体" w:hAnsi="黑体" w:eastAsia="黑体" w:cs="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680" w:type="dxa"/>
            <w:vAlign w:val="center"/>
          </w:tcPr>
          <w:p>
            <w:pPr>
              <w:widowControl/>
              <w:wordWrap w:val="0"/>
              <w:jc w:val="center"/>
              <w:rPr>
                <w:rFonts w:ascii="黑体" w:hAnsi="黑体" w:eastAsia="黑体"/>
                <w:color w:val="000000" w:themeColor="text1"/>
                <w:sz w:val="18"/>
                <w:szCs w:val="18"/>
                <w14:textFill>
                  <w14:solidFill>
                    <w14:schemeClr w14:val="tx1"/>
                  </w14:solidFill>
                </w14:textFill>
              </w:rPr>
            </w:pPr>
            <w:r>
              <w:rPr>
                <w:rFonts w:hint="eastAsia" w:eastAsia="黑体" w:cs="Times New Roman"/>
                <w:color w:val="000000" w:themeColor="text1"/>
                <w:sz w:val="18"/>
                <w:szCs w:val="18"/>
                <w14:textFill>
                  <w14:solidFill>
                    <w14:schemeClr w14:val="tx1"/>
                  </w14:solidFill>
                </w14:textFill>
              </w:rPr>
              <w:t>1</w:t>
            </w:r>
          </w:p>
        </w:tc>
        <w:tc>
          <w:tcPr>
            <w:tcW w:w="5238" w:type="dxa"/>
            <w:gridSpan w:val="2"/>
            <w:vAlign w:val="center"/>
          </w:tcPr>
          <w:p>
            <w:pPr>
              <w:widowControl/>
              <w:wordWrap w:val="0"/>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纳税人通过口头或书面形式提供以下内容：</w:t>
            </w:r>
          </w:p>
          <w:p>
            <w:pPr>
              <w:widowControl/>
              <w:wordWrap w:val="0"/>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w:t>
            </w:r>
            <w:r>
              <w:rPr>
                <w:rFonts w:hint="eastAsia" w:eastAsia="黑体" w:cs="Times New Roman"/>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）被投诉单位名称或者被投诉个人的相关信息及其所属单位；</w:t>
            </w:r>
          </w:p>
          <w:p>
            <w:pPr>
              <w:widowControl/>
              <w:wordWrap w:val="0"/>
              <w:rPr>
                <w:rFonts w:ascii="黑体" w:hAnsi="黑体" w:eastAsia="黑体" w:cs="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w:t>
            </w:r>
            <w:r>
              <w:rPr>
                <w:rFonts w:hint="eastAsia" w:eastAsia="黑体" w:cs="Times New Roman"/>
                <w:color w:val="000000" w:themeColor="text1"/>
                <w:sz w:val="18"/>
                <w:szCs w:val="18"/>
                <w14:textFill>
                  <w14:solidFill>
                    <w14:schemeClr w14:val="tx1"/>
                  </w14:solidFill>
                </w14:textFill>
              </w:rPr>
              <w:t>2</w:t>
            </w:r>
            <w:r>
              <w:rPr>
                <w:rFonts w:ascii="黑体" w:hAnsi="黑体" w:eastAsia="黑体"/>
                <w:color w:val="000000" w:themeColor="text1"/>
                <w:sz w:val="18"/>
                <w:szCs w:val="18"/>
                <w14:textFill>
                  <w14:solidFill>
                    <w14:schemeClr w14:val="tx1"/>
                  </w14:solidFill>
                </w14:textFill>
              </w:rPr>
              <w:t>）投诉请求、主要事实、理由。</w:t>
            </w:r>
          </w:p>
        </w:tc>
        <w:tc>
          <w:tcPr>
            <w:tcW w:w="840"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hint="eastAsia" w:eastAsia="黑体" w:cs="Times New Roman"/>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份</w:t>
            </w:r>
          </w:p>
        </w:tc>
        <w:tc>
          <w:tcPr>
            <w:tcW w:w="1406" w:type="dxa"/>
            <w:vAlign w:val="center"/>
          </w:tcPr>
          <w:p>
            <w:pPr>
              <w:widowControl/>
              <w:wordWrap w:val="0"/>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164" w:type="dxa"/>
            <w:gridSpan w:val="5"/>
            <w:shd w:val="clear" w:color="auto" w:fill="D9D9D9"/>
            <w:vAlign w:val="center"/>
          </w:tcPr>
          <w:p>
            <w:pPr>
              <w:widowControl/>
              <w:wordWrap w:val="0"/>
              <w:jc w:val="center"/>
              <w:rPr>
                <w:rFonts w:ascii="黑体" w:hAnsi="黑体" w:eastAsia="黑体" w:cs="Times New Roman"/>
                <w:color w:val="000000" w:themeColor="text1"/>
                <w:lang w:val="zh-CN"/>
                <w14:textFill>
                  <w14:solidFill>
                    <w14:schemeClr w14:val="tx1"/>
                  </w14:solidFill>
                </w14:textFill>
              </w:rPr>
            </w:pPr>
            <w:r>
              <w:rPr>
                <w:rFonts w:ascii="黑体" w:hAnsi="黑体" w:eastAsia="黑体"/>
                <w:color w:val="000000" w:themeColor="text1"/>
                <w:lang w:val="zh-CN"/>
                <w14:textFill>
                  <w14:solidFill>
                    <w14:schemeClr w14:val="tx1"/>
                  </w14:solidFill>
                </w14:textFill>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81" w:type="dxa"/>
            <w:gridSpan w:val="2"/>
            <w:shd w:val="clear" w:color="auto" w:fill="D9D9D9"/>
            <w:vAlign w:val="center"/>
          </w:tcPr>
          <w:p>
            <w:pPr>
              <w:widowControl/>
              <w:wordWrap w:val="0"/>
              <w:jc w:val="center"/>
              <w:rPr>
                <w:rFonts w:ascii="黑体" w:hAnsi="黑体" w:eastAsia="黑体" w:cs="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适用情形</w:t>
            </w:r>
          </w:p>
        </w:tc>
        <w:tc>
          <w:tcPr>
            <w:tcW w:w="3537" w:type="dxa"/>
            <w:shd w:val="clear" w:color="auto" w:fill="D9D9D9"/>
            <w:vAlign w:val="center"/>
          </w:tcPr>
          <w:p>
            <w:pPr>
              <w:widowControl/>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材料名称</w:t>
            </w:r>
          </w:p>
        </w:tc>
        <w:tc>
          <w:tcPr>
            <w:tcW w:w="840" w:type="dxa"/>
            <w:shd w:val="clear" w:color="auto" w:fill="D9D9D9"/>
            <w:vAlign w:val="center"/>
          </w:tcPr>
          <w:p>
            <w:pPr>
              <w:widowControl/>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数量</w:t>
            </w:r>
          </w:p>
        </w:tc>
        <w:tc>
          <w:tcPr>
            <w:tcW w:w="1406" w:type="dxa"/>
            <w:shd w:val="clear" w:color="auto" w:fill="D9D9D9"/>
            <w:vAlign w:val="center"/>
          </w:tcPr>
          <w:p>
            <w:pPr>
              <w:widowControl/>
              <w:wordWrap w:val="0"/>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381" w:type="dxa"/>
            <w:gridSpan w:val="2"/>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实名投诉纳税人</w:t>
            </w:r>
          </w:p>
        </w:tc>
        <w:tc>
          <w:tcPr>
            <w:tcW w:w="3537"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t>投诉人的姓名（名称）、有效联系方式</w:t>
            </w:r>
          </w:p>
        </w:tc>
        <w:tc>
          <w:tcPr>
            <w:tcW w:w="840"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r>
              <w:rPr>
                <w:rFonts w:hint="eastAsia" w:eastAsia="黑体" w:cs="Times New Roman"/>
                <w:color w:val="000000" w:themeColor="text1"/>
                <w:sz w:val="18"/>
                <w:szCs w:val="18"/>
                <w14:textFill>
                  <w14:solidFill>
                    <w14:schemeClr w14:val="tx1"/>
                  </w14:solidFill>
                </w14:textFill>
              </w:rPr>
              <w:t>1</w:t>
            </w:r>
            <w:r>
              <w:rPr>
                <w:rFonts w:ascii="黑体" w:hAnsi="黑体" w:eastAsia="黑体"/>
                <w:color w:val="000000" w:themeColor="text1"/>
                <w:sz w:val="18"/>
                <w:szCs w:val="18"/>
                <w14:textFill>
                  <w14:solidFill>
                    <w14:schemeClr w14:val="tx1"/>
                  </w14:solidFill>
                </w14:textFill>
              </w:rPr>
              <w:t>份</w:t>
            </w:r>
          </w:p>
        </w:tc>
        <w:tc>
          <w:tcPr>
            <w:tcW w:w="1406" w:type="dxa"/>
            <w:vAlign w:val="center"/>
          </w:tcPr>
          <w:p>
            <w:pPr>
              <w:widowControl/>
              <w:wordWrap w:val="0"/>
              <w:jc w:val="center"/>
              <w:rPr>
                <w:rFonts w:ascii="黑体" w:hAnsi="黑体" w:eastAsia="黑体" w:cs="Times New Roman"/>
                <w:color w:val="000000" w:themeColor="text1"/>
                <w:sz w:val="18"/>
                <w:szCs w:val="18"/>
                <w14:textFill>
                  <w14:solidFill>
                    <w14:schemeClr w14:val="tx1"/>
                  </w14:solidFill>
                </w14:textFill>
              </w:rPr>
            </w:pPr>
          </w:p>
        </w:tc>
      </w:tr>
    </w:tbl>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【办理地点】</w:t>
      </w:r>
    </w:p>
    <w:p>
      <w:pPr>
        <w:widowControl/>
        <w:wordWrap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可通过办税服务厅（场所）、</w:t>
      </w:r>
      <w:r>
        <w:rPr>
          <w:rFonts w:hint="eastAsia" w:cs="Times New Roman"/>
          <w:color w:val="000000" w:themeColor="text1"/>
          <w:sz w:val="24"/>
          <w:szCs w:val="24"/>
          <w14:textFill>
            <w14:solidFill>
              <w14:schemeClr w14:val="tx1"/>
            </w14:solidFill>
          </w14:textFill>
        </w:rPr>
        <w:t>12366</w:t>
      </w:r>
      <w:r>
        <w:rPr>
          <w:rFonts w:ascii="宋体" w:hAnsi="宋体"/>
          <w:color w:val="000000" w:themeColor="text1"/>
          <w:sz w:val="24"/>
          <w:szCs w:val="24"/>
          <w14:textFill>
            <w14:solidFill>
              <w14:schemeClr w14:val="tx1"/>
            </w14:solidFill>
          </w14:textFill>
        </w:rPr>
        <w:t>纳税服务热线</w:t>
      </w:r>
      <w:r>
        <w:rPr>
          <w:rFonts w:hint="eastAsia" w:ascii="宋体" w:hAnsi="宋体"/>
          <w:color w:val="000000" w:themeColor="text1"/>
          <w:sz w:val="24"/>
          <w:szCs w:val="24"/>
          <w14:textFill>
            <w14:solidFill>
              <w14:schemeClr w14:val="tx1"/>
            </w14:solidFill>
          </w14:textFill>
        </w:rPr>
        <w:t>、</w:t>
      </w:r>
      <w:r>
        <w:rPr>
          <w:rFonts w:hint="eastAsia" w:ascii="宋体" w:hAnsi="宋体" w:cs="Times New Roman"/>
          <w:bCs/>
          <w:sz w:val="24"/>
          <w:szCs w:val="28"/>
        </w:rPr>
        <w:t>国家税务总局新疆维吾尔自治区税务局</w:t>
      </w:r>
      <w:r>
        <w:rPr>
          <w:rFonts w:ascii="宋体" w:hAnsi="宋体" w:cs="Times New Roman"/>
          <w:bCs/>
          <w:sz w:val="24"/>
          <w:szCs w:val="28"/>
        </w:rPr>
        <w:t>门户网站</w:t>
      </w:r>
      <w:r>
        <w:rPr>
          <w:rFonts w:hint="eastAsia" w:ascii="宋体" w:hAnsi="宋体" w:cs="Times New Roman"/>
          <w:bCs/>
          <w:sz w:val="24"/>
          <w:szCs w:val="28"/>
        </w:rPr>
        <w:t>、</w:t>
      </w:r>
      <w:r>
        <w:rPr>
          <w:rFonts w:ascii="宋体" w:hAnsi="宋体"/>
          <w:color w:val="000000" w:themeColor="text1"/>
          <w:sz w:val="24"/>
          <w:szCs w:val="24"/>
          <w14:textFill>
            <w14:solidFill>
              <w14:schemeClr w14:val="tx1"/>
            </w14:solidFill>
          </w14:textFill>
        </w:rPr>
        <w:t>信函等渠道办理，</w:t>
      </w:r>
      <w:r>
        <w:rPr>
          <w:rFonts w:hint="eastAsia" w:ascii="宋体" w:hAnsi="宋体"/>
          <w:color w:val="000000" w:themeColor="text1"/>
          <w:sz w:val="24"/>
          <w:szCs w:val="24"/>
          <w14:textFill>
            <w14:solidFill>
              <w14:schemeClr w14:val="tx1"/>
            </w14:solidFill>
          </w14:textFill>
        </w:rPr>
        <w:t>新疆维吾尔自治区电子税务局办理，办税服务厅具体地点可点击下列链接通过办税地图获取：</w:t>
      </w:r>
    </w:p>
    <w:p>
      <w:pPr>
        <w:pStyle w:val="31"/>
        <w:widowControl/>
        <w:wordWrap w:val="0"/>
        <w:rPr>
          <w:rStyle w:val="10"/>
          <w:rFonts w:ascii="宋体" w:hAnsi="宋体"/>
          <w:b w:val="0"/>
        </w:rPr>
      </w:pPr>
      <w:r>
        <w:fldChar w:fldCharType="begin"/>
      </w:r>
      <w:r>
        <w:instrText xml:space="preserve"> HYPERLINK "https://etax.xinjiang.chinatax.gov.cn/yhs-web/cxzx/bmap.html" \l "/bsdt?code=bsdt&amp;id=9916" </w:instrText>
      </w:r>
      <w:r>
        <w:fldChar w:fldCharType="separate"/>
      </w:r>
      <w:r>
        <w:rPr>
          <w:rStyle w:val="10"/>
          <w:rFonts w:hint="eastAsia" w:ascii="宋体" w:hAnsi="宋体" w:cstheme="minorBidi"/>
          <w:b w:val="0"/>
        </w:rPr>
        <w:t>https://etax.xinjiang.chinatax.gov.cn/yhs-web/cxzx/bmap.html#/bsdt?code=bsdt&amp;id=9916</w:t>
      </w:r>
      <w:r>
        <w:rPr>
          <w:rStyle w:val="10"/>
          <w:rFonts w:hint="eastAsia" w:ascii="宋体" w:hAnsi="宋体" w:cstheme="minorBidi"/>
          <w:b w:val="0"/>
        </w:rPr>
        <w:fldChar w:fldCharType="end"/>
      </w:r>
    </w:p>
    <w:p>
      <w:pPr>
        <w:widowControl/>
        <w:wordWrap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新疆维吾尔自治区电子税务局网址为：</w:t>
      </w:r>
    </w:p>
    <w:p>
      <w:pPr>
        <w:pStyle w:val="31"/>
        <w:widowControl/>
        <w:wordWrap w:val="0"/>
        <w:rPr>
          <w:rStyle w:val="10"/>
          <w:rFonts w:ascii="宋体" w:hAnsi="宋体" w:cstheme="minorBidi"/>
          <w:b w:val="0"/>
        </w:rPr>
      </w:pPr>
      <w:r>
        <w:rPr>
          <w:rFonts w:hint="eastAsia" w:ascii="宋体" w:hAnsi="宋体" w:cstheme="minorBidi"/>
          <w:b w:val="0"/>
        </w:rPr>
        <w:t>https://etax.xinjiang.chinatax.gov.cn</w:t>
      </w:r>
      <w:r>
        <w:rPr>
          <w:rStyle w:val="10"/>
          <w:rFonts w:ascii="宋体" w:hAnsi="宋体" w:cstheme="minorBidi"/>
          <w:b w:val="0"/>
        </w:rPr>
        <w:t xml:space="preserve"> </w:t>
      </w:r>
    </w:p>
    <w:p>
      <w:pPr>
        <w:widowControl/>
        <w:wordWrap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cs="Times New Roman"/>
          <w:bCs/>
          <w:sz w:val="24"/>
          <w:szCs w:val="28"/>
        </w:rPr>
        <w:t>国家税务总局新疆维吾尔自治区税务局</w:t>
      </w:r>
      <w:r>
        <w:rPr>
          <w:rFonts w:ascii="宋体" w:hAnsi="宋体" w:cs="Times New Roman"/>
          <w:bCs/>
          <w:sz w:val="24"/>
          <w:szCs w:val="28"/>
        </w:rPr>
        <w:t>门户网站</w:t>
      </w:r>
      <w:r>
        <w:rPr>
          <w:rFonts w:hint="eastAsia" w:ascii="宋体" w:hAnsi="宋体" w:cs="Times New Roman"/>
          <w:bCs/>
          <w:sz w:val="24"/>
          <w:szCs w:val="28"/>
        </w:rPr>
        <w:t>网址为：</w:t>
      </w:r>
      <w:r>
        <w:fldChar w:fldCharType="begin"/>
      </w:r>
      <w:r>
        <w:instrText xml:space="preserve"> HYPERLINK "http://xinjiang.chinatax.gov.cn/" </w:instrText>
      </w:r>
      <w:r>
        <w:fldChar w:fldCharType="separate"/>
      </w:r>
      <w:r>
        <w:rPr>
          <w:rStyle w:val="10"/>
        </w:rPr>
        <w:t>http://xinjiang.chinatax.gov.cn/</w:t>
      </w:r>
      <w:r>
        <w:rPr>
          <w:rStyle w:val="10"/>
        </w:rPr>
        <w:fldChar w:fldCharType="end"/>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【办理机构】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各级税务机关</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【收费标准】</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不收费</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【办理时间】</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属于下列情形的，即时办结：</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）纳税人当场提出投诉，事实简单、清楚，不需要进行调查的；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）一定时期内集中发生的同一投诉事项且已有明确处理意见的。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属于下列情形的，自受理之日起</w:t>
      </w:r>
      <w:r>
        <w:rPr>
          <w:rFonts w:hint="eastAsia" w:cs="Times New Roman"/>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个工作日内办结：</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）纳税人认为税务机关及其工作人员未准确掌握税收法律法规等相关规定，导致纳税人应享受未享受税收优惠政策的；</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）自然人纳税人提出的个人所得税服务投诉；</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）自然人缴费人提出的社会保险费和非税收入征缴服务投诉；</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cs="Times New Roman"/>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）涉及其他重大政策落实的服务投诉。</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对服务言行类投诉，自受理之日起</w:t>
      </w:r>
      <w:r>
        <w:rPr>
          <w:rFonts w:hint="eastAsia" w:cs="Times New Roman"/>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个工作日内办结；服务质效类、其他侵害纳税人合法权益类投诉，自受理之日起</w:t>
      </w:r>
      <w:r>
        <w:rPr>
          <w:rFonts w:hint="eastAsia" w:cs="Times New Roman"/>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个工作日内办结。</w:t>
      </w:r>
    </w:p>
    <w:p>
      <w:pPr>
        <w:widowControl/>
        <w:wordWrap w:val="0"/>
        <w:spacing w:line="360" w:lineRule="auto"/>
        <w:ind w:firstLine="480"/>
        <w:rPr>
          <w:rFonts w:ascii="宋体" w:hAnsi="宋体" w:cs="Times New Roman"/>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因情况复杂不能按期办结的，经受理税务机关纳税服务部门负责人批准，可适当延长办理期限，最长不得超过</w:t>
      </w:r>
      <w:r>
        <w:rPr>
          <w:rFonts w:hint="eastAsia" w:cs="Times New Roman"/>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个工作日，同时向转办部门进行说明并向投诉人做好解释。</w:t>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【联系电话】</w:t>
      </w:r>
    </w:p>
    <w:p>
      <w:pPr>
        <w:widowControl/>
        <w:wordWrap w:val="0"/>
        <w:spacing w:line="360" w:lineRule="auto"/>
        <w:ind w:firstLine="480"/>
        <w:contextualSpacing/>
        <w:rPr>
          <w:rFonts w:ascii="宋体" w:hAnsi="宋体"/>
          <w:color w:val="000000" w:themeColor="text1"/>
          <w:sz w:val="24"/>
          <w:szCs w:val="24"/>
          <w:highlight w:val="magenta"/>
          <w14:textFill>
            <w14:solidFill>
              <w14:schemeClr w14:val="tx1"/>
            </w14:solidFill>
          </w14:textFill>
        </w:rPr>
      </w:pPr>
      <w:r>
        <w:rPr>
          <w:rFonts w:ascii="宋体" w:hAnsi="宋体"/>
          <w:color w:val="000000" w:themeColor="text1"/>
          <w:sz w:val="24"/>
          <w:szCs w:val="24"/>
          <w14:textFill>
            <w14:solidFill>
              <w14:schemeClr w14:val="tx1"/>
            </w14:solidFill>
          </w14:textFill>
        </w:rPr>
        <w:t>受理投诉的税务机关对外公开的联系电话，</w:t>
      </w:r>
      <w:r>
        <w:rPr>
          <w:rFonts w:hint="eastAsia" w:ascii="宋体" w:hAnsi="宋体"/>
          <w:sz w:val="24"/>
          <w:szCs w:val="24"/>
        </w:rPr>
        <w:t>可点击下列链接通过办税地图获取：</w:t>
      </w:r>
      <w:r>
        <w:fldChar w:fldCharType="begin"/>
      </w:r>
      <w:r>
        <w:instrText xml:space="preserve"> HYPERLINK "https://etax.xinjiang.chinatax.gov.cn/yhs-web/cxzx/bmap.html" \l "/bsdt?code=bsdt&amp;id=9916" </w:instrText>
      </w:r>
      <w:r>
        <w:fldChar w:fldCharType="separate"/>
      </w:r>
      <w:r>
        <w:rPr>
          <w:rStyle w:val="10"/>
          <w:rFonts w:ascii="宋体" w:hAnsi="宋体"/>
          <w:sz w:val="24"/>
          <w:szCs w:val="24"/>
        </w:rPr>
        <w:t>https://etax.xinjiang.chinatax.gov.cn/yhs-web/cxzx/bmap.html#/bsdt?code=bsdt&amp;id=9916</w:t>
      </w:r>
      <w:r>
        <w:rPr>
          <w:rStyle w:val="10"/>
          <w:rFonts w:ascii="宋体" w:hAnsi="宋体"/>
          <w:sz w:val="24"/>
          <w:szCs w:val="24"/>
        </w:rPr>
        <w:fldChar w:fldCharType="end"/>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【办理流程】</w:t>
      </w:r>
    </w:p>
    <w:p>
      <w:pPr>
        <w:widowControl/>
        <w:wordWrap w:val="0"/>
        <w:spacing w:line="360" w:lineRule="auto"/>
        <w:jc w:val="left"/>
        <w:rPr>
          <w:rFonts w:ascii="宋体" w:hAnsi="宋体" w:cs="Times New Roman"/>
          <w:b/>
          <w:bCs/>
          <w:color w:val="000000" w:themeColor="text1"/>
          <w:highlight w:val="yellow"/>
          <w14:textFill>
            <w14:solidFill>
              <w14:schemeClr w14:val="tx1"/>
            </w14:solidFill>
          </w14:textFill>
        </w:rPr>
      </w:pPr>
      <w:r>
        <w:rPr>
          <w:rFonts w:ascii="宋体" w:hAnsi="宋体" w:cs="Times New Roman"/>
          <w:b/>
          <w:bCs/>
          <w:color w:val="000000" w:themeColor="text1"/>
          <w14:textFill>
            <w14:solidFill>
              <w14:schemeClr w14:val="tx1"/>
            </w14:solidFill>
          </w14:textFill>
        </w:rPr>
        <w:drawing>
          <wp:inline distT="0" distB="0" distL="0" distR="0">
            <wp:extent cx="4933950" cy="2357755"/>
            <wp:effectExtent l="0" t="0" r="0" b="4445"/>
            <wp:docPr id="132" name="图片 1" descr="C:\Users\baoqianyu\Desktop\投诉.png投诉"/>
            <wp:cNvGraphicFramePr/>
            <a:graphic xmlns:a="http://schemas.openxmlformats.org/drawingml/2006/main">
              <a:graphicData uri="http://schemas.openxmlformats.org/drawingml/2006/picture">
                <pic:pic xmlns:pic="http://schemas.openxmlformats.org/drawingml/2006/picture">
                  <pic:nvPicPr>
                    <pic:cNvPr id="132" name="图片 1" descr="C:\Users\baoqianyu\Desktop\投诉.png投诉"/>
                    <pic:cNvPicPr>
                      <a:picLocks noChangeArrowheads="1"/>
                    </pic:cNvPicPr>
                  </pic:nvPicPr>
                  <pic:blipFill>
                    <a:blip r:embed="rId4"/>
                    <a:srcRect/>
                    <a:stretch>
                      <a:fillRect/>
                    </a:stretch>
                  </pic:blipFill>
                  <pic:spPr>
                    <a:xfrm>
                      <a:off x="0" y="0"/>
                      <a:ext cx="4933950" cy="2357981"/>
                    </a:xfrm>
                    <a:prstGeom prst="rect">
                      <a:avLst/>
                    </a:prstGeom>
                    <a:noFill/>
                    <a:ln w="9525">
                      <a:noFill/>
                      <a:miter lim="800000"/>
                      <a:headEnd/>
                      <a:tailEnd/>
                    </a:ln>
                  </pic:spPr>
                </pic:pic>
              </a:graphicData>
            </a:graphic>
          </wp:inline>
        </w:drawing>
      </w:r>
    </w:p>
    <w:p>
      <w:pPr>
        <w:widowControl/>
        <w:wordWrap w:val="0"/>
        <w:spacing w:line="360" w:lineRule="auto"/>
        <w:ind w:firstLine="480"/>
        <w:rPr>
          <w:rFonts w:ascii="黑体" w:hAnsi="黑体" w:eastAsia="黑体" w:cs="Times New Roman"/>
          <w:bCs/>
          <w:color w:val="000000" w:themeColor="text1"/>
          <w:sz w:val="24"/>
          <w:szCs w:val="24"/>
          <w14:textFill>
            <w14:solidFill>
              <w14:schemeClr w14:val="tx1"/>
            </w14:solidFill>
          </w14:textFill>
        </w:rPr>
      </w:pPr>
      <w:r>
        <w:rPr>
          <w:rFonts w:ascii="黑体" w:hAnsi="黑体" w:eastAsia="黑体" w:cs="Times New Roman"/>
          <w:bCs/>
          <w:color w:val="000000" w:themeColor="text1"/>
          <w:sz w:val="24"/>
          <w:szCs w:val="24"/>
          <w14:textFill>
            <w14:solidFill>
              <w14:schemeClr w14:val="tx1"/>
            </w14:solidFill>
          </w14:textFill>
        </w:rPr>
        <w:t>【纳税人注意事项】</w:t>
      </w:r>
    </w:p>
    <w:p>
      <w:pPr>
        <w:widowControl/>
        <w:wordWrap w:val="0"/>
        <w:spacing w:line="360" w:lineRule="auto"/>
        <w:ind w:firstLine="480"/>
        <w:contextualSpacing/>
        <w:rPr>
          <w:rFonts w:ascii="宋体" w:hAnsi="宋体"/>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纳税人已就具体行政行为申请税务行政复议或者提起税务行政诉讼，但具体行政行为存在不符合文明规范言行问题的，可就该问题单独向税务机关进行投诉。</w:t>
      </w:r>
    </w:p>
    <w:p>
      <w:pPr>
        <w:widowControl/>
        <w:wordWrap w:val="0"/>
        <w:spacing w:line="360" w:lineRule="auto"/>
        <w:ind w:firstLine="480"/>
        <w:contextualSpacing/>
        <w:rPr>
          <w:rFonts w:ascii="宋体" w:hAnsi="宋体"/>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纳税人进行纳税服务投诉需遵从税收法律、法规、规章、规范性文件，并客观、真实地反映相关情况，不得隐瞒、捏造、歪曲事实，不得侵害他人合法权益。</w:t>
      </w:r>
    </w:p>
    <w:p>
      <w:pPr>
        <w:widowControl/>
        <w:wordWrap w:val="0"/>
        <w:spacing w:line="360" w:lineRule="auto"/>
        <w:ind w:firstLine="480"/>
        <w:contextualSpacing/>
        <w:rPr>
          <w:rFonts w:ascii="宋体" w:hAnsi="宋体"/>
          <w:color w:val="000000" w:themeColor="text1"/>
          <w:sz w:val="24"/>
          <w:szCs w:val="24"/>
          <w14:textFill>
            <w14:solidFill>
              <w14:schemeClr w14:val="tx1"/>
            </w14:solidFill>
          </w14:textFill>
        </w:rPr>
      </w:pPr>
      <w:r>
        <w:rPr>
          <w:rFonts w:hint="eastAsia" w:cs="Times New Roman"/>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纳税人通过电话或者当面方式提出投诉的，税务机关在告知纳税人的情况下可以对投诉内容进行录音或者录像。</w:t>
      </w:r>
    </w:p>
    <w:p>
      <w:pPr>
        <w:widowControl/>
        <w:wordWrap w:val="0"/>
        <w:spacing w:line="360" w:lineRule="auto"/>
        <w:ind w:firstLine="480"/>
        <w:contextualSpacing/>
      </w:pPr>
      <w:r>
        <w:rPr>
          <w:rFonts w:hint="eastAsia" w:cs="Times New Roman"/>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投诉人捏造事实、恶意投诉，或者干扰和影响正常工作秩序，对税务机关、税务人员造成负面影响的，投诉人应依法承担相应责任。</w:t>
      </w:r>
    </w:p>
    <w:sectPr>
      <w:pgSz w:w="11906" w:h="16838"/>
      <w:pgMar w:top="1440" w:right="1800" w:bottom="1440" w:left="180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1"/>
  <w:drawingGridVerticalSpacing w:val="166"/>
  <w:displayHorizontalDrawingGridEvery w:val="0"/>
  <w:displayVerticalDrawingGridEvery w:val="2"/>
  <w:doNotUseMarginsForDrawingGridOrigin w:val="1"/>
  <w:drawingGridHorizontalOrigin w:val="1803"/>
  <w:drawingGridVerticalOrigin w:val="144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5F"/>
    <w:rsid w:val="00190FC0"/>
    <w:rsid w:val="0019474D"/>
    <w:rsid w:val="001D5624"/>
    <w:rsid w:val="00220EB0"/>
    <w:rsid w:val="00356BA4"/>
    <w:rsid w:val="003A0924"/>
    <w:rsid w:val="003C4F50"/>
    <w:rsid w:val="00442AE2"/>
    <w:rsid w:val="004A499C"/>
    <w:rsid w:val="004C5186"/>
    <w:rsid w:val="004D4438"/>
    <w:rsid w:val="00546438"/>
    <w:rsid w:val="00584A32"/>
    <w:rsid w:val="005B4A6C"/>
    <w:rsid w:val="00617542"/>
    <w:rsid w:val="00666B08"/>
    <w:rsid w:val="006E51E6"/>
    <w:rsid w:val="00783E54"/>
    <w:rsid w:val="008357F1"/>
    <w:rsid w:val="0087216C"/>
    <w:rsid w:val="00920179"/>
    <w:rsid w:val="009A7D32"/>
    <w:rsid w:val="009C15B9"/>
    <w:rsid w:val="009D5E02"/>
    <w:rsid w:val="00A45312"/>
    <w:rsid w:val="00A94FCF"/>
    <w:rsid w:val="00AE3AFA"/>
    <w:rsid w:val="00AE7DC6"/>
    <w:rsid w:val="00B42972"/>
    <w:rsid w:val="00D067B7"/>
    <w:rsid w:val="00D4615F"/>
    <w:rsid w:val="00DE09EE"/>
    <w:rsid w:val="00E64248"/>
    <w:rsid w:val="00EB696E"/>
    <w:rsid w:val="00ED57A4"/>
    <w:rsid w:val="0B340DB3"/>
    <w:rsid w:val="0E2B7344"/>
    <w:rsid w:val="16837CE7"/>
    <w:rsid w:val="169F6728"/>
    <w:rsid w:val="175D3983"/>
    <w:rsid w:val="1CFB6412"/>
    <w:rsid w:val="1F557C58"/>
    <w:rsid w:val="22567BFA"/>
    <w:rsid w:val="2AB37CA8"/>
    <w:rsid w:val="2DBF311F"/>
    <w:rsid w:val="2F3767C0"/>
    <w:rsid w:val="374D1547"/>
    <w:rsid w:val="3A1D1532"/>
    <w:rsid w:val="419F69F7"/>
    <w:rsid w:val="4A0B7911"/>
    <w:rsid w:val="4FB73FE2"/>
    <w:rsid w:val="54ED716B"/>
    <w:rsid w:val="55313AC0"/>
    <w:rsid w:val="56561A25"/>
    <w:rsid w:val="5CF675E4"/>
    <w:rsid w:val="5D8D3E78"/>
    <w:rsid w:val="632B11B5"/>
    <w:rsid w:val="66C35B8E"/>
    <w:rsid w:val="69E531BD"/>
    <w:rsid w:val="6C3D1409"/>
    <w:rsid w:val="719E073F"/>
    <w:rsid w:val="71C81322"/>
    <w:rsid w:val="7349262E"/>
    <w:rsid w:val="74E23E06"/>
    <w:rsid w:val="791934E0"/>
    <w:rsid w:val="7E7F5778"/>
    <w:rsid w:val="7F57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6"/>
    <w:unhideWhenUsed/>
    <w:qFormat/>
    <w:uiPriority w:val="99"/>
    <w:rPr>
      <w:rFonts w:ascii="宋体"/>
      <w:sz w:val="18"/>
      <w:szCs w:val="18"/>
    </w:rPr>
  </w:style>
  <w:style w:type="paragraph" w:styleId="6">
    <w:name w:val="Balloon Text"/>
    <w:basedOn w:val="1"/>
    <w:link w:val="27"/>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Hyperlink"/>
    <w:basedOn w:val="9"/>
    <w:unhideWhenUsed/>
    <w:qFormat/>
    <w:uiPriority w:val="99"/>
    <w:rPr>
      <w:color w:val="0000FF"/>
      <w:u w:val="single"/>
    </w:rPr>
  </w:style>
  <w:style w:type="table" w:customStyle="1" w:styleId="12">
    <w:name w:val="样式2"/>
    <w:basedOn w:val="11"/>
    <w:qFormat/>
    <w:uiPriority w:val="99"/>
  </w:style>
  <w:style w:type="character" w:customStyle="1" w:styleId="13">
    <w:name w:val="页眉 字符"/>
    <w:basedOn w:val="9"/>
    <w:link w:val="8"/>
    <w:qFormat/>
    <w:uiPriority w:val="99"/>
    <w:rPr>
      <w:sz w:val="18"/>
      <w:szCs w:val="18"/>
    </w:rPr>
  </w:style>
  <w:style w:type="character" w:customStyle="1" w:styleId="14">
    <w:name w:val="页脚 字符"/>
    <w:basedOn w:val="9"/>
    <w:link w:val="7"/>
    <w:qFormat/>
    <w:uiPriority w:val="99"/>
    <w:rPr>
      <w:sz w:val="18"/>
      <w:szCs w:val="18"/>
    </w:rPr>
  </w:style>
  <w:style w:type="paragraph" w:customStyle="1" w:styleId="15">
    <w:name w:val="正文正文"/>
    <w:basedOn w:val="1"/>
    <w:link w:val="16"/>
    <w:qFormat/>
    <w:uiPriority w:val="99"/>
    <w:pPr>
      <w:adjustRightInd w:val="0"/>
      <w:snapToGrid w:val="0"/>
      <w:spacing w:line="360" w:lineRule="auto"/>
      <w:ind w:firstLine="480" w:firstLineChars="200"/>
    </w:pPr>
    <w:rPr>
      <w:rFonts w:ascii="宋体" w:hAnsi="宋体" w:cs="Times New Roman"/>
      <w:kern w:val="0"/>
      <w:sz w:val="24"/>
      <w:szCs w:val="24"/>
    </w:rPr>
  </w:style>
  <w:style w:type="character" w:customStyle="1" w:styleId="16">
    <w:name w:val="正文正文 字符"/>
    <w:link w:val="15"/>
    <w:qFormat/>
    <w:locked/>
    <w:uiPriority w:val="99"/>
    <w:rPr>
      <w:rFonts w:ascii="宋体" w:hAnsi="宋体" w:eastAsia="宋体" w:cs="Times New Roman"/>
      <w:kern w:val="0"/>
      <w:sz w:val="24"/>
      <w:szCs w:val="24"/>
    </w:rPr>
  </w:style>
  <w:style w:type="paragraph" w:customStyle="1" w:styleId="17">
    <w:name w:val="样式1【标准】"/>
    <w:basedOn w:val="2"/>
    <w:link w:val="18"/>
    <w:qFormat/>
    <w:uiPriority w:val="0"/>
    <w:pPr>
      <w:tabs>
        <w:tab w:val="center" w:pos="4153"/>
        <w:tab w:val="left" w:pos="6771"/>
      </w:tabs>
      <w:topLinePunct/>
      <w:autoSpaceDE w:val="0"/>
      <w:autoSpaceDN w:val="0"/>
      <w:adjustRightInd w:val="0"/>
      <w:spacing w:beforeLines="100" w:afterLines="100" w:line="360" w:lineRule="auto"/>
      <w:ind w:firstLine="723" w:firstLineChars="200"/>
      <w:jc w:val="center"/>
    </w:pPr>
    <w:rPr>
      <w:rFonts w:eastAsia="黑体" w:cs="Times New Roman"/>
      <w:bCs w:val="0"/>
      <w:kern w:val="24"/>
      <w:sz w:val="36"/>
      <w:szCs w:val="36"/>
    </w:rPr>
  </w:style>
  <w:style w:type="character" w:customStyle="1" w:styleId="18">
    <w:name w:val="样式1【标准】 字符"/>
    <w:link w:val="17"/>
    <w:qFormat/>
    <w:uiPriority w:val="0"/>
    <w:rPr>
      <w:rFonts w:ascii="Times New Roman" w:hAnsi="Times New Roman" w:eastAsia="黑体" w:cs="Times New Roman"/>
      <w:b/>
      <w:kern w:val="24"/>
      <w:sz w:val="36"/>
      <w:szCs w:val="36"/>
    </w:rPr>
  </w:style>
  <w:style w:type="paragraph" w:customStyle="1" w:styleId="19">
    <w:name w:val="二级标题"/>
    <w:basedOn w:val="3"/>
    <w:link w:val="20"/>
    <w:qFormat/>
    <w:uiPriority w:val="0"/>
    <w:pPr>
      <w:spacing w:beforeLines="150" w:afterLines="150" w:line="360" w:lineRule="auto"/>
      <w:ind w:firstLine="643" w:firstLineChars="200"/>
    </w:pPr>
    <w:rPr>
      <w:rFonts w:ascii="Times New Roman" w:hAnsi="Times New Roman" w:eastAsia="黑体" w:cs="Times New Roman"/>
    </w:rPr>
  </w:style>
  <w:style w:type="character" w:customStyle="1" w:styleId="20">
    <w:name w:val="二级标题 字符"/>
    <w:link w:val="19"/>
    <w:qFormat/>
    <w:uiPriority w:val="0"/>
    <w:rPr>
      <w:rFonts w:ascii="Times New Roman" w:hAnsi="Times New Roman" w:eastAsia="黑体" w:cs="Times New Roman"/>
      <w:b/>
      <w:bCs/>
      <w:sz w:val="32"/>
      <w:szCs w:val="32"/>
    </w:rPr>
  </w:style>
  <w:style w:type="paragraph" w:customStyle="1" w:styleId="21">
    <w:name w:val="3 sunshine"/>
    <w:basedOn w:val="4"/>
    <w:link w:val="22"/>
    <w:qFormat/>
    <w:uiPriority w:val="0"/>
    <w:pPr>
      <w:keepLines w:val="0"/>
      <w:topLinePunct/>
      <w:adjustRightInd w:val="0"/>
      <w:snapToGrid w:val="0"/>
      <w:spacing w:beforeLines="100" w:afterLines="100" w:line="360" w:lineRule="auto"/>
      <w:ind w:firstLine="562" w:firstLineChars="200"/>
    </w:pPr>
    <w:rPr>
      <w:rFonts w:eastAsia="黑体" w:cs="Times New Roman"/>
      <w:kern w:val="24"/>
      <w:sz w:val="28"/>
      <w:szCs w:val="28"/>
    </w:rPr>
  </w:style>
  <w:style w:type="character" w:customStyle="1" w:styleId="22">
    <w:name w:val="3 sunshine 字符"/>
    <w:link w:val="21"/>
    <w:qFormat/>
    <w:uiPriority w:val="0"/>
    <w:rPr>
      <w:rFonts w:ascii="Times New Roman" w:hAnsi="Times New Roman" w:eastAsia="黑体" w:cs="Times New Roman"/>
      <w:b/>
      <w:bCs/>
      <w:kern w:val="24"/>
      <w:sz w:val="28"/>
      <w:szCs w:val="28"/>
    </w:rPr>
  </w:style>
  <w:style w:type="character" w:customStyle="1" w:styleId="23">
    <w:name w:val="标题 1 字符"/>
    <w:basedOn w:val="9"/>
    <w:link w:val="2"/>
    <w:qFormat/>
    <w:uiPriority w:val="9"/>
    <w:rPr>
      <w:rFonts w:ascii="等线" w:hAnsi="等线" w:eastAsia="等线" w:cs="等线"/>
      <w:b/>
      <w:bCs/>
      <w:kern w:val="44"/>
      <w:sz w:val="44"/>
      <w:szCs w:val="44"/>
    </w:rPr>
  </w:style>
  <w:style w:type="character" w:customStyle="1" w:styleId="24">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25">
    <w:name w:val="标题 3 字符"/>
    <w:basedOn w:val="9"/>
    <w:link w:val="4"/>
    <w:semiHidden/>
    <w:qFormat/>
    <w:uiPriority w:val="9"/>
    <w:rPr>
      <w:rFonts w:ascii="等线" w:hAnsi="等线" w:eastAsia="等线" w:cs="等线"/>
      <w:b/>
      <w:bCs/>
      <w:sz w:val="32"/>
      <w:szCs w:val="32"/>
    </w:rPr>
  </w:style>
  <w:style w:type="character" w:customStyle="1" w:styleId="26">
    <w:name w:val="文档结构图 字符"/>
    <w:basedOn w:val="9"/>
    <w:link w:val="5"/>
    <w:semiHidden/>
    <w:qFormat/>
    <w:uiPriority w:val="99"/>
    <w:rPr>
      <w:rFonts w:ascii="宋体" w:hAnsi="等线" w:eastAsia="宋体" w:cs="等线"/>
      <w:sz w:val="18"/>
      <w:szCs w:val="18"/>
    </w:rPr>
  </w:style>
  <w:style w:type="character" w:customStyle="1" w:styleId="27">
    <w:name w:val="批注框文本 字符"/>
    <w:basedOn w:val="9"/>
    <w:link w:val="6"/>
    <w:semiHidden/>
    <w:qFormat/>
    <w:uiPriority w:val="99"/>
    <w:rPr>
      <w:rFonts w:ascii="等线" w:hAnsi="等线" w:eastAsia="等线" w:cs="等线"/>
      <w:sz w:val="18"/>
      <w:szCs w:val="18"/>
    </w:rPr>
  </w:style>
  <w:style w:type="paragraph" w:customStyle="1" w:styleId="28">
    <w:name w:val="材料 表头"/>
    <w:basedOn w:val="29"/>
    <w:qFormat/>
    <w:uiPriority w:val="0"/>
  </w:style>
  <w:style w:type="paragraph" w:customStyle="1" w:styleId="29">
    <w:name w:val="政策 表头"/>
    <w:basedOn w:val="1"/>
    <w:qFormat/>
    <w:uiPriority w:val="0"/>
    <w:pPr>
      <w:jc w:val="center"/>
    </w:pPr>
    <w:rPr>
      <w:rFonts w:ascii="黑体" w:hAnsi="黑体" w:eastAsia="黑体"/>
      <w:lang w:val="zh-CN"/>
    </w:rPr>
  </w:style>
  <w:style w:type="paragraph" w:customStyle="1" w:styleId="30">
    <w:name w:val="材料 文本"/>
    <w:basedOn w:val="1"/>
    <w:qFormat/>
    <w:uiPriority w:val="0"/>
    <w:pPr>
      <w:jc w:val="center"/>
    </w:pPr>
    <w:rPr>
      <w:rFonts w:ascii="黑体" w:hAnsi="黑体" w:eastAsia="黑体"/>
      <w:sz w:val="18"/>
      <w:szCs w:val="18"/>
    </w:rPr>
  </w:style>
  <w:style w:type="paragraph" w:customStyle="1" w:styleId="31">
    <w:name w:val="事项名称"/>
    <w:basedOn w:val="1"/>
    <w:next w:val="1"/>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273</Words>
  <Characters>1559</Characters>
  <Lines>12</Lines>
  <Paragraphs>3</Paragraphs>
  <TotalTime>1</TotalTime>
  <ScaleCrop>false</ScaleCrop>
  <LinksUpToDate>false</LinksUpToDate>
  <CharactersWithSpaces>1829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2019-10-30T04:37:00Z</dcterms:created>
  <dc:creator>伟 张</dc:creator>
  <cp:lastModifiedBy> </cp:lastModifiedBy>
  <dcterms:modified xsi:type="dcterms:W3CDTF">2021-02-20T09:02:28Z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