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7"/>
        <w:adjustRightInd/>
        <w:spacing w:before="332" w:after="332"/>
        <w:ind w:firstLine="0" w:firstLineChars="0"/>
        <w:rPr>
          <w:bCs/>
        </w:rPr>
      </w:pPr>
      <w:bookmarkStart w:id="0" w:name="_Toc459388209"/>
      <w:bookmarkStart w:id="1" w:name="_Toc459387029"/>
      <w:bookmarkStart w:id="2" w:name="_Toc459987190"/>
      <w:r>
        <w:rPr>
          <w:bCs/>
        </w:rPr>
        <w:t>12</w:t>
      </w:r>
      <w:r>
        <w:rPr>
          <w:rFonts w:hint="eastAsia"/>
          <w:bCs/>
        </w:rPr>
        <w:t>　涉税信息查询指南</w:t>
      </w:r>
    </w:p>
    <w:p>
      <w:pPr>
        <w:wordWrap w:val="0"/>
        <w:spacing w:line="360" w:lineRule="auto"/>
        <w:ind w:firstLine="480"/>
        <w:rPr>
          <w:rFonts w:eastAsia="黑体"/>
          <w:bCs/>
          <w:kern w:val="24"/>
          <w:sz w:val="24"/>
          <w:szCs w:val="24"/>
        </w:rPr>
      </w:pPr>
      <w:r>
        <w:rPr>
          <w:rFonts w:eastAsia="楷体_GB2312"/>
          <w:kern w:val="24"/>
          <w:sz w:val="24"/>
          <w:szCs w:val="24"/>
        </w:rPr>
        <w:t>涉税信息查询包括社会公众涉税公开信息查询、纳税人涉税信息查询、第三方涉税保密信息查询等</w:t>
      </w:r>
      <w:r>
        <w:rPr>
          <w:rFonts w:hint="eastAsia" w:ascii="Times New Roman" w:hAnsi="Times New Roman" w:eastAsia="楷体_GB2312" w:cs="Times New Roman"/>
          <w:kern w:val="24"/>
          <w:sz w:val="24"/>
          <w:szCs w:val="24"/>
        </w:rPr>
        <w:t>3</w:t>
      </w:r>
      <w:r>
        <w:rPr>
          <w:rFonts w:eastAsia="楷体_GB2312"/>
          <w:kern w:val="24"/>
          <w:sz w:val="24"/>
          <w:szCs w:val="24"/>
        </w:rPr>
        <w:t>个事项。</w:t>
      </w:r>
    </w:p>
    <w:p>
      <w:pPr>
        <w:pStyle w:val="40"/>
        <w:spacing w:before="996" w:beforeLines="300" w:after="498"/>
      </w:pPr>
      <w:r>
        <w:t>12</w:t>
      </w:r>
      <w:r>
        <w:rPr>
          <w:rFonts w:hint="eastAsia"/>
        </w:rPr>
        <w:t>.</w:t>
      </w:r>
      <w:r>
        <w:t>1</w:t>
      </w:r>
      <w:r>
        <w:rPr>
          <w:rFonts w:hint="eastAsia"/>
        </w:rPr>
        <w:t>　涉税信息查询</w:t>
      </w:r>
    </w:p>
    <w:p>
      <w:pPr>
        <w:pStyle w:val="42"/>
        <w:adjustRightInd/>
        <w:snapToGrid/>
        <w:spacing w:before="332" w:after="332"/>
      </w:pPr>
      <w:r>
        <w:t>12</w:t>
      </w:r>
      <w:r>
        <w:rPr>
          <w:rFonts w:hint="eastAsia"/>
        </w:rPr>
        <w:t>.</w:t>
      </w:r>
      <w:r>
        <w:t>1</w:t>
      </w:r>
      <w:r>
        <w:rPr>
          <w:rFonts w:hint="eastAsia"/>
        </w:rPr>
        <w:t>.</w:t>
      </w:r>
      <w:r>
        <w:t>1—</w:t>
      </w:r>
      <w:r>
        <w:rPr>
          <w:rFonts w:hint="eastAsia"/>
        </w:rPr>
        <w:t>18</w:t>
      </w:r>
      <w:r>
        <w:rPr>
          <w:rFonts w:hint="eastAsia"/>
          <w:lang w:val="en-US" w:eastAsia="zh-CN"/>
        </w:rPr>
        <w:t>7</w:t>
      </w:r>
      <w:r>
        <w:rPr>
          <w:rFonts w:hint="eastAsia"/>
        </w:rPr>
        <w:t>　社会公众涉税公开信息查询</w:t>
      </w:r>
      <w:bookmarkEnd w:id="0"/>
      <w:bookmarkEnd w:id="1"/>
      <w:bookmarkEnd w:id="2"/>
    </w:p>
    <w:p>
      <w:pPr>
        <w:spacing w:line="360" w:lineRule="auto"/>
        <w:ind w:firstLine="480" w:firstLineChars="200"/>
        <w:contextualSpacing/>
        <w:rPr>
          <w:rFonts w:ascii="黑体" w:hAnsi="黑体" w:eastAsia="黑体" w:cs="Times New Roman"/>
          <w:bCs/>
          <w:sz w:val="24"/>
          <w:szCs w:val="24"/>
        </w:rPr>
      </w:pPr>
      <w:r>
        <w:rPr>
          <w:rFonts w:hint="eastAsia" w:ascii="黑体" w:hAnsi="黑体" w:eastAsia="黑体" w:cs="Times New Roman"/>
          <w:bCs/>
          <w:sz w:val="24"/>
          <w:szCs w:val="24"/>
        </w:rPr>
        <w:t>【事项名称】</w:t>
      </w:r>
    </w:p>
    <w:p>
      <w:pPr>
        <w:spacing w:line="360" w:lineRule="auto"/>
        <w:ind w:firstLine="480" w:firstLineChars="200"/>
        <w:contextualSpacing/>
        <w:rPr>
          <w:rFonts w:ascii="宋体" w:hAnsi="宋体" w:cs="Times New Roman"/>
          <w:sz w:val="24"/>
          <w:szCs w:val="24"/>
        </w:rPr>
      </w:pPr>
      <w:r>
        <w:rPr>
          <w:rFonts w:hint="eastAsia" w:ascii="宋体" w:hAnsi="宋体"/>
          <w:sz w:val="24"/>
          <w:szCs w:val="24"/>
        </w:rPr>
        <w:t>社会公众涉税公开信息查询</w:t>
      </w:r>
    </w:p>
    <w:p>
      <w:pPr>
        <w:spacing w:line="360" w:lineRule="auto"/>
        <w:ind w:firstLine="480" w:firstLineChars="200"/>
        <w:contextualSpacing/>
        <w:rPr>
          <w:rFonts w:ascii="黑体" w:hAnsi="黑体" w:eastAsia="黑体" w:cs="Times New Roman"/>
          <w:bCs/>
          <w:sz w:val="24"/>
          <w:szCs w:val="24"/>
        </w:rPr>
      </w:pPr>
      <w:r>
        <w:rPr>
          <w:rFonts w:hint="eastAsia" w:ascii="黑体" w:hAnsi="黑体" w:eastAsia="黑体" w:cs="Times New Roman"/>
          <w:bCs/>
          <w:sz w:val="24"/>
          <w:szCs w:val="24"/>
        </w:rPr>
        <w:t>【申请条件】</w:t>
      </w:r>
    </w:p>
    <w:p>
      <w:pPr>
        <w:wordWrap w:val="0"/>
        <w:spacing w:line="360" w:lineRule="auto"/>
        <w:ind w:firstLine="480"/>
        <w:contextualSpacing/>
        <w:rPr>
          <w:rFonts w:ascii="宋体" w:hAnsi="宋体"/>
          <w:sz w:val="24"/>
          <w:szCs w:val="24"/>
        </w:rPr>
      </w:pPr>
      <w:r>
        <w:rPr>
          <w:rFonts w:ascii="宋体" w:hAnsi="宋体"/>
          <w:sz w:val="24"/>
          <w:szCs w:val="24"/>
        </w:rPr>
        <w:t>税务机关按照办税公开要求的范围、程序和时限，公开相关涉税事项和具体规定，并向社会公众提供查询服务。</w:t>
      </w:r>
    </w:p>
    <w:p>
      <w:pPr>
        <w:wordWrap w:val="0"/>
        <w:spacing w:line="360" w:lineRule="auto"/>
        <w:ind w:firstLine="480"/>
        <w:contextualSpacing/>
        <w:rPr>
          <w:rFonts w:ascii="黑体" w:hAnsi="黑体" w:eastAsia="黑体" w:cs="Times New Roman"/>
          <w:bCs/>
          <w:sz w:val="24"/>
          <w:szCs w:val="24"/>
        </w:rPr>
      </w:pPr>
      <w:r>
        <w:rPr>
          <w:rFonts w:ascii="黑体" w:hAnsi="黑体" w:eastAsia="黑体" w:cs="Times New Roman"/>
          <w:bCs/>
          <w:sz w:val="24"/>
          <w:szCs w:val="24"/>
        </w:rPr>
        <w:t>【设定依据】</w:t>
      </w:r>
    </w:p>
    <w:p>
      <w:pPr>
        <w:wordWrap w:val="0"/>
        <w:spacing w:line="360" w:lineRule="auto"/>
        <w:ind w:firstLine="480"/>
        <w:contextualSpacing/>
        <w:rPr>
          <w:rFonts w:ascii="宋体" w:hAnsi="宋体"/>
          <w:sz w:val="24"/>
          <w:szCs w:val="24"/>
        </w:rPr>
      </w:pPr>
      <w:r>
        <w:rPr>
          <w:rFonts w:ascii="宋体" w:hAnsi="宋体"/>
          <w:sz w:val="24"/>
          <w:szCs w:val="24"/>
        </w:rPr>
        <w:t>《国家税务总局关于发布〈涉税信息查询管理办法〉的公告》（</w:t>
      </w:r>
      <w:r>
        <w:rPr>
          <w:rFonts w:hint="eastAsia" w:ascii="宋体" w:hAnsi="宋体"/>
          <w:sz w:val="24"/>
          <w:szCs w:val="24"/>
        </w:rPr>
        <w:t>国家税务总局公告</w:t>
      </w:r>
      <w:r>
        <w:rPr>
          <w:rFonts w:hint="eastAsia" w:ascii="Times New Roman" w:hAnsi="Times New Roman" w:cs="Times New Roman"/>
          <w:sz w:val="24"/>
          <w:szCs w:val="24"/>
        </w:rPr>
        <w:t>2016</w:t>
      </w:r>
      <w:r>
        <w:rPr>
          <w:rFonts w:ascii="宋体" w:hAnsi="宋体"/>
          <w:sz w:val="24"/>
          <w:szCs w:val="24"/>
        </w:rPr>
        <w:t>年第</w:t>
      </w:r>
      <w:r>
        <w:rPr>
          <w:rFonts w:hint="eastAsia" w:ascii="Times New Roman" w:hAnsi="Times New Roman" w:cs="Times New Roman"/>
          <w:sz w:val="24"/>
          <w:szCs w:val="24"/>
        </w:rPr>
        <w:t>41</w:t>
      </w:r>
      <w:r>
        <w:rPr>
          <w:rFonts w:ascii="宋体" w:hAnsi="宋体"/>
          <w:sz w:val="24"/>
          <w:szCs w:val="24"/>
        </w:rPr>
        <w:t>号）</w:t>
      </w:r>
    </w:p>
    <w:p>
      <w:pPr>
        <w:wordWrap w:val="0"/>
        <w:spacing w:line="360" w:lineRule="auto"/>
        <w:ind w:firstLine="480"/>
        <w:contextualSpacing/>
        <w:rPr>
          <w:rFonts w:ascii="黑体" w:hAnsi="黑体" w:eastAsia="黑体" w:cs="Times New Roman"/>
          <w:bCs/>
          <w:sz w:val="24"/>
          <w:szCs w:val="24"/>
        </w:rPr>
      </w:pPr>
      <w:r>
        <w:rPr>
          <w:rFonts w:ascii="黑体" w:hAnsi="黑体" w:eastAsia="黑体" w:cs="Times New Roman"/>
          <w:bCs/>
          <w:sz w:val="24"/>
          <w:szCs w:val="24"/>
        </w:rPr>
        <w:t>【办理材料】</w:t>
      </w:r>
    </w:p>
    <w:p>
      <w:pPr>
        <w:wordWrap w:val="0"/>
        <w:spacing w:line="360" w:lineRule="auto"/>
        <w:ind w:firstLine="480"/>
        <w:contextualSpacing/>
        <w:rPr>
          <w:rFonts w:ascii="宋体" w:hAnsi="宋体" w:cs="Times New Roman"/>
          <w:kern w:val="0"/>
          <w:sz w:val="24"/>
          <w:szCs w:val="24"/>
        </w:rPr>
      </w:pPr>
      <w:r>
        <w:rPr>
          <w:rFonts w:hint="eastAsia" w:ascii="宋体" w:hAnsi="宋体"/>
          <w:sz w:val="24"/>
          <w:szCs w:val="24"/>
        </w:rPr>
        <w:t>社会公众涉税公开信息查询无需提供材料。</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【办理地点】</w:t>
      </w:r>
    </w:p>
    <w:p>
      <w:pPr>
        <w:wordWrap w:val="0"/>
        <w:spacing w:line="360" w:lineRule="auto"/>
        <w:ind w:firstLine="480"/>
        <w:contextualSpacing/>
        <w:rPr>
          <w:rFonts w:ascii="宋体" w:hAnsi="宋体"/>
          <w:sz w:val="24"/>
          <w:szCs w:val="24"/>
        </w:rPr>
      </w:pPr>
      <w:r>
        <w:rPr>
          <w:rFonts w:hint="eastAsia" w:ascii="宋体" w:hAnsi="宋体"/>
          <w:sz w:val="24"/>
          <w:szCs w:val="24"/>
        </w:rPr>
        <w:t>可通过报刊、网站、信息公告栏等公开渠道查询依法公开的涉税信息，新疆维吾尔自治区电子税务局网址为：</w:t>
      </w:r>
    </w:p>
    <w:p>
      <w:pPr>
        <w:pStyle w:val="47"/>
        <w:widowControl/>
        <w:wordWrap w:val="0"/>
        <w:adjustRightInd/>
        <w:snapToGrid/>
        <w:rPr>
          <w:rStyle w:val="11"/>
          <w:rFonts w:ascii="宋体" w:hAnsi="宋体" w:eastAsia="宋体" w:cstheme="minorBidi"/>
          <w:bCs w:val="0"/>
        </w:rPr>
      </w:pPr>
      <w:r>
        <w:fldChar w:fldCharType="begin"/>
      </w:r>
      <w:r>
        <w:instrText xml:space="preserve"> HYPERLINK "https://etax.xinjiang.chinatax.gov.cn/wszx-web/bszm/apps/views/beforeLogin/indexBefore/pageIndex.html" </w:instrText>
      </w:r>
      <w:r>
        <w:fldChar w:fldCharType="separate"/>
      </w:r>
      <w:r>
        <w:rPr>
          <w:rStyle w:val="11"/>
          <w:rFonts w:hint="eastAsia" w:ascii="宋体" w:hAnsi="宋体" w:eastAsia="宋体" w:cstheme="minorBidi"/>
          <w:bCs w:val="0"/>
        </w:rPr>
        <w:t>https://etax.xinjiang.chinatax.gov.cn/wszx-web/bszm/apps/views/beforeLogin/indexBefore/pageIndex.html</w:t>
      </w:r>
      <w:r>
        <w:rPr>
          <w:rStyle w:val="11"/>
          <w:rFonts w:hint="eastAsia" w:ascii="宋体" w:hAnsi="宋体" w:eastAsia="宋体" w:cstheme="minorBidi"/>
          <w:bCs w:val="0"/>
        </w:rPr>
        <w:fldChar w:fldCharType="end"/>
      </w:r>
    </w:p>
    <w:p>
      <w:pPr>
        <w:widowControl/>
        <w:wordWrap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sz w:val="24"/>
          <w:szCs w:val="24"/>
        </w:rPr>
        <w:t>国家税务总局新疆维吾尔自治区税务局</w:t>
      </w:r>
      <w:r>
        <w:rPr>
          <w:rFonts w:ascii="宋体" w:hAnsi="宋体"/>
          <w:sz w:val="24"/>
          <w:szCs w:val="24"/>
        </w:rPr>
        <w:t>门户网站</w:t>
      </w:r>
      <w:r>
        <w:rPr>
          <w:rFonts w:hint="eastAsia" w:ascii="宋体" w:hAnsi="宋体"/>
          <w:sz w:val="24"/>
          <w:szCs w:val="24"/>
        </w:rPr>
        <w:t>网址为：</w:t>
      </w:r>
      <w:r>
        <w:rPr>
          <w:rStyle w:val="11"/>
          <w:rFonts w:hint="eastAsia" w:ascii="宋体" w:hAnsi="宋体" w:cstheme="minorBidi"/>
          <w:szCs w:val="22"/>
        </w:rPr>
        <w:t>https://xj-n-tax.gov.cn</w:t>
      </w:r>
    </w:p>
    <w:p>
      <w:pPr>
        <w:wordWrap w:val="0"/>
        <w:spacing w:line="360" w:lineRule="auto"/>
        <w:ind w:firstLine="480"/>
        <w:contextualSpacing/>
        <w:rPr>
          <w:rFonts w:ascii="黑体" w:hAnsi="黑体" w:eastAsia="黑体" w:cs="Times New Roman"/>
          <w:bCs/>
          <w:sz w:val="24"/>
          <w:szCs w:val="24"/>
        </w:rPr>
      </w:pPr>
      <w:r>
        <w:rPr>
          <w:rFonts w:ascii="黑体" w:hAnsi="黑体" w:eastAsia="黑体" w:cs="Times New Roman"/>
          <w:bCs/>
          <w:sz w:val="24"/>
          <w:szCs w:val="24"/>
        </w:rPr>
        <w:t>【办理机构】</w:t>
      </w:r>
    </w:p>
    <w:p>
      <w:pPr>
        <w:wordWrap w:val="0"/>
        <w:spacing w:line="360" w:lineRule="auto"/>
        <w:ind w:firstLine="480"/>
        <w:contextualSpacing/>
        <w:rPr>
          <w:rFonts w:ascii="宋体" w:hAnsi="宋体"/>
          <w:sz w:val="24"/>
          <w:szCs w:val="24"/>
        </w:rPr>
      </w:pPr>
      <w:r>
        <w:rPr>
          <w:rFonts w:ascii="宋体" w:hAnsi="宋体"/>
          <w:sz w:val="24"/>
          <w:szCs w:val="24"/>
        </w:rPr>
        <w:t>各级税务机关</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【收费标准】</w:t>
      </w:r>
    </w:p>
    <w:p>
      <w:pPr>
        <w:wordWrap w:val="0"/>
        <w:spacing w:line="360" w:lineRule="auto"/>
        <w:ind w:firstLine="480"/>
        <w:rPr>
          <w:rFonts w:ascii="宋体" w:hAnsi="宋体" w:cs="Times New Roman"/>
          <w:sz w:val="24"/>
          <w:szCs w:val="24"/>
        </w:rPr>
      </w:pPr>
      <w:r>
        <w:rPr>
          <w:rFonts w:ascii="宋体" w:hAnsi="宋体"/>
          <w:sz w:val="24"/>
          <w:szCs w:val="24"/>
        </w:rPr>
        <w:t>不收费</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【办理时间】</w:t>
      </w:r>
    </w:p>
    <w:p>
      <w:pPr>
        <w:wordWrap w:val="0"/>
        <w:spacing w:line="360" w:lineRule="auto"/>
        <w:ind w:firstLine="480"/>
        <w:rPr>
          <w:rFonts w:ascii="宋体" w:hAnsi="宋体" w:cs="Times New Roman"/>
          <w:sz w:val="24"/>
          <w:szCs w:val="24"/>
        </w:rPr>
      </w:pPr>
      <w:r>
        <w:rPr>
          <w:rFonts w:ascii="宋体" w:hAnsi="宋体"/>
          <w:sz w:val="24"/>
          <w:szCs w:val="24"/>
        </w:rPr>
        <w:t>即办事项</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【联系电话】</w:t>
      </w:r>
    </w:p>
    <w:p>
      <w:pPr>
        <w:ind w:firstLine="480" w:firstLineChars="200"/>
        <w:rPr>
          <w:rFonts w:ascii="宋体" w:hAnsi="宋体"/>
          <w:sz w:val="24"/>
          <w:szCs w:val="24"/>
        </w:rPr>
      </w:pPr>
      <w:bookmarkStart w:id="3" w:name="_Hlk15894389"/>
      <w:r>
        <w:rPr>
          <w:rFonts w:hint="eastAsia" w:ascii="宋体" w:hAnsi="宋体"/>
          <w:sz w:val="24"/>
          <w:szCs w:val="24"/>
        </w:rPr>
        <w:t>各级税务机关对外公开的联系电话，</w:t>
      </w:r>
      <w:bookmarkEnd w:id="3"/>
      <w:r>
        <w:rPr>
          <w:rFonts w:hint="eastAsia" w:ascii="宋体" w:hAnsi="宋体"/>
          <w:sz w:val="24"/>
          <w:szCs w:val="24"/>
        </w:rPr>
        <w:t>可点击下列链接通过办税地图获取：</w:t>
      </w:r>
      <w:r>
        <w:fldChar w:fldCharType="begin"/>
      </w:r>
      <w:r>
        <w:instrText xml:space="preserve"> HYPERLINK "https://etax.xinjiang.chinatax.gov.cn/yhs-web/cxzx/bmap.html" \l "/bsdt?code=bsdt&amp;id=9916" </w:instrText>
      </w:r>
      <w:r>
        <w:fldChar w:fldCharType="separate"/>
      </w:r>
      <w:r>
        <w:rPr>
          <w:rStyle w:val="11"/>
          <w:rFonts w:ascii="宋体" w:hAnsi="宋体"/>
          <w:sz w:val="24"/>
          <w:szCs w:val="24"/>
        </w:rPr>
        <w:t>https://etax.xinjiang.chinatax.gov.cn/yhs-web/cxzx/bmap.html#/bsdt?code=bsdt&amp;id=9916</w:t>
      </w:r>
      <w:r>
        <w:rPr>
          <w:rStyle w:val="11"/>
          <w:rFonts w:ascii="宋体" w:hAnsi="宋体"/>
          <w:sz w:val="24"/>
          <w:szCs w:val="24"/>
        </w:rPr>
        <w:fldChar w:fldCharType="end"/>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【办理流程】</w:t>
      </w:r>
    </w:p>
    <w:p>
      <w:pPr>
        <w:wordWrap w:val="0"/>
        <w:spacing w:line="360" w:lineRule="auto"/>
        <w:ind w:firstLine="480"/>
        <w:rPr>
          <w:rFonts w:ascii="宋体" w:hAnsi="宋体" w:cs="Times New Roman"/>
          <w:sz w:val="24"/>
          <w:szCs w:val="24"/>
        </w:rPr>
      </w:pPr>
      <w:r>
        <w:rPr>
          <w:rFonts w:ascii="宋体" w:hAnsi="宋体"/>
          <w:sz w:val="24"/>
          <w:szCs w:val="24"/>
        </w:rPr>
        <w:t>无</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【社会公众注意事项】</w:t>
      </w:r>
    </w:p>
    <w:p>
      <w:pPr>
        <w:wordWrap w:val="0"/>
        <w:spacing w:line="360" w:lineRule="auto"/>
        <w:ind w:firstLine="480"/>
        <w:contextualSpacing/>
        <w:rPr>
          <w:rFonts w:ascii="宋体" w:hAnsi="宋体"/>
          <w:sz w:val="24"/>
          <w:szCs w:val="24"/>
        </w:rPr>
      </w:pPr>
      <w:r>
        <w:rPr>
          <w:rFonts w:ascii="宋体" w:hAnsi="宋体"/>
          <w:sz w:val="24"/>
          <w:szCs w:val="24"/>
        </w:rPr>
        <w:t>社会公众可以通过报刊、网站、信息公告栏等公开渠道查询税收政策、重大税收违法案件信息、非正常户认定信息等依法公开的涉税信息。</w:t>
      </w:r>
    </w:p>
    <w:p>
      <w:r>
        <w:br w:type="page"/>
      </w:r>
    </w:p>
    <w:p>
      <w:pPr>
        <w:pStyle w:val="42"/>
        <w:adjustRightInd/>
        <w:snapToGrid/>
        <w:spacing w:before="332" w:after="332"/>
      </w:pPr>
      <w:r>
        <w:t>12</w:t>
      </w:r>
      <w:r>
        <w:rPr>
          <w:rFonts w:hint="eastAsia"/>
        </w:rPr>
        <w:t>.</w:t>
      </w:r>
      <w:r>
        <w:t>1</w:t>
      </w:r>
      <w:r>
        <w:rPr>
          <w:rFonts w:hint="eastAsia"/>
        </w:rPr>
        <w:t>.</w:t>
      </w:r>
      <w:r>
        <w:t>2—</w:t>
      </w:r>
      <w:bookmarkStart w:id="4" w:name="_Hlk12717116"/>
      <w:r>
        <w:rPr>
          <w:rFonts w:hint="eastAsia"/>
        </w:rPr>
        <w:t>1</w:t>
      </w:r>
      <w:r>
        <w:rPr>
          <w:rFonts w:hint="eastAsia"/>
          <w:lang w:val="en-US" w:eastAsia="zh-CN"/>
        </w:rPr>
        <w:t>88</w:t>
      </w:r>
      <w:r>
        <w:rPr>
          <w:rFonts w:hint="eastAsia" w:ascii="黑体" w:hAnsi="黑体"/>
        </w:rPr>
        <w:t>　</w:t>
      </w:r>
      <w:r>
        <w:rPr>
          <w:rFonts w:hint="eastAsia"/>
        </w:rPr>
        <w:t>纳税人涉税信息查询</w:t>
      </w:r>
      <w:bookmarkEnd w:id="4"/>
    </w:p>
    <w:p>
      <w:pPr>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【事项名称】</w:t>
      </w:r>
    </w:p>
    <w:p>
      <w:pPr>
        <w:spacing w:line="360" w:lineRule="auto"/>
        <w:ind w:firstLine="480" w:firstLineChars="200"/>
        <w:contextualSpacing/>
        <w:rPr>
          <w:rFonts w:ascii="宋体" w:hAnsi="宋体"/>
          <w:sz w:val="24"/>
          <w:szCs w:val="24"/>
        </w:rPr>
      </w:pPr>
      <w:r>
        <w:rPr>
          <w:rFonts w:hint="eastAsia" w:ascii="宋体" w:hAnsi="宋体"/>
          <w:sz w:val="24"/>
          <w:szCs w:val="24"/>
        </w:rPr>
        <w:t>纳税人涉税信息查询</w:t>
      </w:r>
    </w:p>
    <w:p>
      <w:pPr>
        <w:spacing w:line="360" w:lineRule="auto"/>
        <w:ind w:firstLine="480" w:firstLineChars="200"/>
        <w:rPr>
          <w:rFonts w:ascii="黑体" w:hAnsi="黑体" w:eastAsia="黑体"/>
          <w:sz w:val="24"/>
        </w:rPr>
      </w:pPr>
      <w:r>
        <w:rPr>
          <w:rFonts w:hint="eastAsia" w:ascii="黑体" w:hAnsi="黑体" w:eastAsia="黑体"/>
          <w:sz w:val="24"/>
        </w:rPr>
        <w:t>【申请条件】</w:t>
      </w:r>
    </w:p>
    <w:p>
      <w:pPr>
        <w:wordWrap w:val="0"/>
        <w:spacing w:line="360" w:lineRule="auto"/>
        <w:ind w:firstLine="480"/>
        <w:contextualSpacing/>
        <w:rPr>
          <w:rFonts w:ascii="宋体" w:hAnsi="宋体"/>
          <w:sz w:val="24"/>
          <w:szCs w:val="24"/>
        </w:rPr>
      </w:pPr>
      <w:r>
        <w:rPr>
          <w:rFonts w:ascii="宋体" w:hAnsi="宋体"/>
          <w:sz w:val="24"/>
          <w:szCs w:val="24"/>
        </w:rPr>
        <w:t>税务机关依照法律法规的规定，向纳税人提供的自身涉税信息查询服务。</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【设定依据】</w:t>
      </w:r>
    </w:p>
    <w:p>
      <w:pPr>
        <w:wordWrap w:val="0"/>
        <w:spacing w:line="360" w:lineRule="auto"/>
        <w:ind w:firstLine="480"/>
        <w:contextualSpacing/>
        <w:rPr>
          <w:rFonts w:ascii="宋体" w:hAnsi="宋体"/>
          <w:sz w:val="24"/>
          <w:szCs w:val="24"/>
        </w:rPr>
      </w:pPr>
      <w:r>
        <w:rPr>
          <w:rFonts w:ascii="宋体" w:hAnsi="宋体"/>
          <w:sz w:val="24"/>
          <w:szCs w:val="24"/>
        </w:rPr>
        <w:t>《国家税务总局关于发布〈涉税信息查询管理办法〉的公告》（</w:t>
      </w:r>
      <w:r>
        <w:rPr>
          <w:rFonts w:hint="eastAsia" w:ascii="宋体" w:hAnsi="宋体"/>
          <w:sz w:val="24"/>
          <w:szCs w:val="24"/>
        </w:rPr>
        <w:t>国家税务总局公告</w:t>
      </w:r>
      <w:r>
        <w:rPr>
          <w:rFonts w:hint="eastAsia" w:ascii="Times New Roman" w:hAnsi="Times New Roman" w:cs="Times New Roman"/>
          <w:sz w:val="24"/>
          <w:szCs w:val="24"/>
        </w:rPr>
        <w:t>2016</w:t>
      </w:r>
      <w:r>
        <w:rPr>
          <w:rFonts w:ascii="宋体" w:hAnsi="宋体"/>
          <w:sz w:val="24"/>
          <w:szCs w:val="24"/>
        </w:rPr>
        <w:t>年第</w:t>
      </w:r>
      <w:r>
        <w:rPr>
          <w:rFonts w:hint="eastAsia" w:ascii="Times New Roman" w:hAnsi="Times New Roman" w:cs="Times New Roman"/>
          <w:sz w:val="24"/>
          <w:szCs w:val="24"/>
        </w:rPr>
        <w:t>41</w:t>
      </w:r>
      <w:r>
        <w:rPr>
          <w:rFonts w:ascii="宋体" w:hAnsi="宋体"/>
          <w:sz w:val="24"/>
          <w:szCs w:val="24"/>
        </w:rPr>
        <w:t>号）</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【办理材料】</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1.</w:t>
      </w:r>
      <w:r>
        <w:rPr>
          <w:rFonts w:ascii="宋体" w:hAnsi="宋体"/>
          <w:sz w:val="24"/>
          <w:szCs w:val="24"/>
        </w:rPr>
        <w:t>纳税人自行查询时需要提供纳税人有效的身份认证和识别。</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2.</w:t>
      </w:r>
      <w:r>
        <w:rPr>
          <w:rFonts w:ascii="宋体" w:hAnsi="宋体"/>
          <w:sz w:val="24"/>
          <w:szCs w:val="24"/>
        </w:rPr>
        <w:t>纳税人书面申请查询：</w:t>
      </w:r>
    </w:p>
    <w:tbl>
      <w:tblPr>
        <w:tblStyle w:val="12"/>
        <w:tblW w:w="816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255"/>
        <w:gridCol w:w="3960"/>
        <w:gridCol w:w="648"/>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80" w:type="dxa"/>
            <w:shd w:val="clear" w:color="auto" w:fill="D9D9D9"/>
            <w:vAlign w:val="center"/>
          </w:tcPr>
          <w:p>
            <w:pPr>
              <w:wordWrap w:val="0"/>
              <w:jc w:val="center"/>
              <w:rPr>
                <w:rFonts w:ascii="黑体" w:hAnsi="黑体" w:eastAsia="黑体" w:cs="Times New Roman"/>
              </w:rPr>
            </w:pPr>
            <w:r>
              <w:rPr>
                <w:rFonts w:ascii="黑体" w:hAnsi="黑体" w:eastAsia="黑体" w:cs="黑体"/>
              </w:rPr>
              <w:t>序号</w:t>
            </w:r>
          </w:p>
        </w:tc>
        <w:tc>
          <w:tcPr>
            <w:tcW w:w="5215" w:type="dxa"/>
            <w:gridSpan w:val="2"/>
            <w:shd w:val="clear" w:color="auto" w:fill="D9D9D9"/>
            <w:vAlign w:val="center"/>
          </w:tcPr>
          <w:p>
            <w:pPr>
              <w:wordWrap w:val="0"/>
              <w:jc w:val="center"/>
              <w:rPr>
                <w:rFonts w:ascii="黑体" w:hAnsi="黑体" w:eastAsia="黑体" w:cs="Times New Roman"/>
              </w:rPr>
            </w:pPr>
            <w:r>
              <w:rPr>
                <w:rFonts w:ascii="黑体" w:hAnsi="黑体" w:eastAsia="黑体" w:cs="黑体"/>
              </w:rPr>
              <w:t>材料名称</w:t>
            </w:r>
          </w:p>
        </w:tc>
        <w:tc>
          <w:tcPr>
            <w:tcW w:w="648" w:type="dxa"/>
            <w:shd w:val="clear" w:color="auto" w:fill="D9D9D9"/>
            <w:vAlign w:val="center"/>
          </w:tcPr>
          <w:p>
            <w:pPr>
              <w:wordWrap w:val="0"/>
              <w:jc w:val="center"/>
              <w:rPr>
                <w:rFonts w:ascii="黑体" w:hAnsi="黑体" w:eastAsia="黑体" w:cs="Times New Roman"/>
              </w:rPr>
            </w:pPr>
            <w:r>
              <w:rPr>
                <w:rFonts w:ascii="黑体" w:hAnsi="黑体" w:eastAsia="黑体" w:cs="黑体"/>
              </w:rPr>
              <w:t>数量</w:t>
            </w:r>
          </w:p>
        </w:tc>
        <w:tc>
          <w:tcPr>
            <w:tcW w:w="1623" w:type="dxa"/>
            <w:shd w:val="clear" w:color="auto" w:fill="D9D9D9"/>
            <w:vAlign w:val="center"/>
          </w:tcPr>
          <w:p>
            <w:pPr>
              <w:wordWrap w:val="0"/>
              <w:jc w:val="center"/>
              <w:rPr>
                <w:rFonts w:ascii="黑体" w:hAnsi="黑体" w:eastAsia="黑体" w:cs="Times New Roman"/>
              </w:rPr>
            </w:pPr>
            <w:r>
              <w:rPr>
                <w:rFonts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1</w:t>
            </w:r>
          </w:p>
        </w:tc>
        <w:tc>
          <w:tcPr>
            <w:tcW w:w="5215" w:type="dxa"/>
            <w:gridSpan w:val="2"/>
            <w:vAlign w:val="center"/>
          </w:tcPr>
          <w:p>
            <w:pPr>
              <w:wordWrap w:val="0"/>
              <w:jc w:val="center"/>
              <w:rPr>
                <w:rFonts w:ascii="黑体" w:hAnsi="黑体" w:eastAsia="黑体" w:cs="Times New Roman"/>
                <w:sz w:val="18"/>
                <w:szCs w:val="18"/>
              </w:rPr>
            </w:pPr>
            <w:r>
              <w:rPr>
                <w:rFonts w:ascii="黑体" w:hAnsi="黑体" w:eastAsia="黑体"/>
                <w:sz w:val="18"/>
                <w:szCs w:val="18"/>
              </w:rPr>
              <w:t>《涉税信息查询申请表》</w:t>
            </w:r>
          </w:p>
        </w:tc>
        <w:tc>
          <w:tcPr>
            <w:tcW w:w="648"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1623" w:type="dxa"/>
            <w:vAlign w:val="center"/>
          </w:tcPr>
          <w:p>
            <w:pPr>
              <w:wordWrap w:val="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2</w:t>
            </w:r>
          </w:p>
        </w:tc>
        <w:tc>
          <w:tcPr>
            <w:tcW w:w="5215" w:type="dxa"/>
            <w:gridSpan w:val="2"/>
            <w:vAlign w:val="center"/>
          </w:tcPr>
          <w:p>
            <w:pPr>
              <w:wordWrap w:val="0"/>
              <w:jc w:val="center"/>
              <w:rPr>
                <w:rFonts w:ascii="黑体" w:hAnsi="黑体" w:eastAsia="黑体"/>
                <w:sz w:val="18"/>
                <w:szCs w:val="18"/>
              </w:rPr>
            </w:pPr>
            <w:r>
              <w:rPr>
                <w:rFonts w:ascii="黑体" w:hAnsi="黑体" w:eastAsia="黑体"/>
                <w:sz w:val="18"/>
                <w:szCs w:val="18"/>
              </w:rPr>
              <w:t>纳税人本人（法定代表人或主要负责人）有效身份证明</w:t>
            </w:r>
          </w:p>
          <w:p>
            <w:pPr>
              <w:wordWrap w:val="0"/>
              <w:jc w:val="center"/>
              <w:rPr>
                <w:rFonts w:ascii="黑体" w:hAnsi="黑体" w:eastAsia="黑体" w:cs="Times New Roman"/>
                <w:sz w:val="18"/>
                <w:szCs w:val="18"/>
              </w:rPr>
            </w:pPr>
            <w:r>
              <w:rPr>
                <w:rFonts w:ascii="黑体" w:hAnsi="黑体" w:eastAsia="黑体"/>
                <w:sz w:val="18"/>
                <w:szCs w:val="18"/>
              </w:rPr>
              <w:t>原件及复印件</w:t>
            </w:r>
          </w:p>
        </w:tc>
        <w:tc>
          <w:tcPr>
            <w:tcW w:w="648"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1623" w:type="dxa"/>
            <w:vAlign w:val="center"/>
          </w:tcPr>
          <w:p>
            <w:pPr>
              <w:wordWrap w:val="0"/>
              <w:jc w:val="center"/>
              <w:rPr>
                <w:rFonts w:ascii="黑体" w:hAnsi="黑体" w:eastAsia="黑体" w:cs="Times New Roman"/>
                <w:sz w:val="18"/>
                <w:szCs w:val="18"/>
              </w:rPr>
            </w:pPr>
            <w:r>
              <w:rPr>
                <w:rFonts w:ascii="黑体" w:eastAsia="黑体" w:cs="Microsoft Himalaya"/>
                <w:sz w:val="18"/>
                <w:szCs w:val="18"/>
              </w:rPr>
              <w:t>原件核验退回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8166" w:type="dxa"/>
            <w:gridSpan w:val="5"/>
            <w:shd w:val="clear" w:color="auto" w:fill="D9D9D9"/>
            <w:vAlign w:val="center"/>
          </w:tcPr>
          <w:p>
            <w:pPr>
              <w:wordWrap w:val="0"/>
              <w:jc w:val="center"/>
              <w:rPr>
                <w:rFonts w:ascii="黑体" w:hAnsi="黑体" w:eastAsia="黑体" w:cs="Times New Roman"/>
                <w:lang w:val="zh-CN"/>
              </w:rPr>
            </w:pPr>
            <w:r>
              <w:rPr>
                <w:rFonts w:ascii="黑体" w:hAnsi="黑体" w:eastAsia="黑体"/>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935" w:type="dxa"/>
            <w:gridSpan w:val="2"/>
            <w:shd w:val="clear" w:color="auto" w:fill="D9D9D9"/>
            <w:vAlign w:val="center"/>
          </w:tcPr>
          <w:p>
            <w:pPr>
              <w:wordWrap w:val="0"/>
              <w:jc w:val="center"/>
              <w:rPr>
                <w:rFonts w:ascii="黑体" w:hAnsi="黑体" w:eastAsia="黑体" w:cs="黑体"/>
              </w:rPr>
            </w:pPr>
            <w:r>
              <w:rPr>
                <w:rFonts w:ascii="黑体" w:hAnsi="黑体" w:eastAsia="黑体"/>
              </w:rPr>
              <w:t>适用情形</w:t>
            </w:r>
          </w:p>
        </w:tc>
        <w:tc>
          <w:tcPr>
            <w:tcW w:w="3960" w:type="dxa"/>
            <w:shd w:val="clear" w:color="auto" w:fill="D9D9D9"/>
            <w:vAlign w:val="center"/>
          </w:tcPr>
          <w:p>
            <w:pPr>
              <w:wordWrap w:val="0"/>
              <w:jc w:val="center"/>
              <w:rPr>
                <w:rFonts w:ascii="黑体" w:hAnsi="黑体" w:eastAsia="黑体"/>
              </w:rPr>
            </w:pPr>
            <w:r>
              <w:rPr>
                <w:rFonts w:ascii="黑体" w:hAnsi="黑体" w:eastAsia="黑体"/>
              </w:rPr>
              <w:t>材料名称</w:t>
            </w:r>
          </w:p>
        </w:tc>
        <w:tc>
          <w:tcPr>
            <w:tcW w:w="648" w:type="dxa"/>
            <w:shd w:val="clear" w:color="auto" w:fill="D9D9D9"/>
            <w:vAlign w:val="center"/>
          </w:tcPr>
          <w:p>
            <w:pPr>
              <w:wordWrap w:val="0"/>
              <w:jc w:val="center"/>
              <w:rPr>
                <w:rFonts w:ascii="黑体" w:hAnsi="黑体" w:eastAsia="黑体"/>
              </w:rPr>
            </w:pPr>
            <w:r>
              <w:rPr>
                <w:rFonts w:ascii="黑体" w:hAnsi="黑体" w:eastAsia="黑体"/>
              </w:rPr>
              <w:t>数量</w:t>
            </w:r>
          </w:p>
        </w:tc>
        <w:tc>
          <w:tcPr>
            <w:tcW w:w="1623" w:type="dxa"/>
            <w:shd w:val="clear" w:color="auto" w:fill="D9D9D9"/>
            <w:vAlign w:val="center"/>
          </w:tcPr>
          <w:p>
            <w:pPr>
              <w:wordWrap w:val="0"/>
              <w:jc w:val="center"/>
              <w:rPr>
                <w:rFonts w:ascii="黑体" w:hAnsi="黑体" w:eastAsia="黑体"/>
              </w:rPr>
            </w:pPr>
            <w:r>
              <w:rPr>
                <w:rFonts w:ascii="黑体" w:hAnsi="黑体" w:eastAsia="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tblHeader/>
          <w:jc w:val="center"/>
        </w:trPr>
        <w:tc>
          <w:tcPr>
            <w:tcW w:w="1935" w:type="dxa"/>
            <w:gridSpan w:val="2"/>
            <w:vMerge w:val="restart"/>
            <w:vAlign w:val="center"/>
          </w:tcPr>
          <w:p>
            <w:pPr>
              <w:wordWrap w:val="0"/>
              <w:jc w:val="center"/>
              <w:rPr>
                <w:rFonts w:ascii="黑体" w:hAnsi="黑体" w:eastAsia="黑体" w:cs="Times New Roman"/>
                <w:sz w:val="18"/>
                <w:szCs w:val="18"/>
              </w:rPr>
            </w:pPr>
            <w:r>
              <w:rPr>
                <w:rFonts w:ascii="黑体" w:hAnsi="黑体" w:eastAsia="黑体"/>
                <w:sz w:val="18"/>
                <w:szCs w:val="18"/>
              </w:rPr>
              <w:t>授权他人委托查询时还应报送</w:t>
            </w:r>
          </w:p>
        </w:tc>
        <w:tc>
          <w:tcPr>
            <w:tcW w:w="3960" w:type="dxa"/>
            <w:vAlign w:val="center"/>
          </w:tcPr>
          <w:p>
            <w:pPr>
              <w:wordWrap w:val="0"/>
              <w:jc w:val="center"/>
              <w:rPr>
                <w:rFonts w:ascii="黑体" w:hAnsi="黑体" w:eastAsia="黑体" w:cs="Times New Roman"/>
                <w:sz w:val="18"/>
                <w:szCs w:val="18"/>
              </w:rPr>
            </w:pPr>
            <w:r>
              <w:rPr>
                <w:rFonts w:ascii="黑体" w:hAnsi="黑体" w:eastAsia="黑体"/>
                <w:sz w:val="18"/>
                <w:szCs w:val="18"/>
              </w:rPr>
              <w:t>经办人员有效身份证明原件及复印件</w:t>
            </w:r>
          </w:p>
        </w:tc>
        <w:tc>
          <w:tcPr>
            <w:tcW w:w="648"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1623" w:type="dxa"/>
            <w:vAlign w:val="center"/>
          </w:tcPr>
          <w:p>
            <w:pPr>
              <w:wordWrap w:val="0"/>
              <w:jc w:val="center"/>
              <w:rPr>
                <w:rFonts w:ascii="黑体" w:hAnsi="黑体" w:eastAsia="黑体" w:cs="Times New Roman"/>
                <w:sz w:val="18"/>
                <w:szCs w:val="18"/>
              </w:rPr>
            </w:pPr>
            <w:r>
              <w:rPr>
                <w:rFonts w:ascii="黑体" w:eastAsia="黑体" w:cs="Microsoft Himalaya"/>
                <w:sz w:val="18"/>
                <w:szCs w:val="18"/>
              </w:rPr>
              <w:t>原件查验后退回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exact"/>
          <w:tblHeader/>
          <w:jc w:val="center"/>
        </w:trPr>
        <w:tc>
          <w:tcPr>
            <w:tcW w:w="1935" w:type="dxa"/>
            <w:gridSpan w:val="2"/>
            <w:vMerge w:val="continue"/>
            <w:vAlign w:val="center"/>
          </w:tcPr>
          <w:p>
            <w:pPr>
              <w:wordWrap w:val="0"/>
              <w:jc w:val="center"/>
              <w:rPr>
                <w:rFonts w:ascii="黑体" w:hAnsi="黑体" w:eastAsia="黑体" w:cs="Times New Roman"/>
                <w:sz w:val="18"/>
                <w:szCs w:val="18"/>
              </w:rPr>
            </w:pPr>
          </w:p>
        </w:tc>
        <w:tc>
          <w:tcPr>
            <w:tcW w:w="3960" w:type="dxa"/>
            <w:vAlign w:val="center"/>
          </w:tcPr>
          <w:p>
            <w:pPr>
              <w:wordWrap w:val="0"/>
              <w:jc w:val="center"/>
              <w:rPr>
                <w:rFonts w:ascii="黑体" w:hAnsi="黑体" w:eastAsia="黑体" w:cs="Times New Roman"/>
                <w:sz w:val="18"/>
                <w:szCs w:val="18"/>
              </w:rPr>
            </w:pPr>
            <w:r>
              <w:rPr>
                <w:rFonts w:ascii="黑体" w:hAnsi="黑体" w:eastAsia="黑体"/>
                <w:sz w:val="18"/>
                <w:szCs w:val="18"/>
              </w:rPr>
              <w:t>由纳税人本人（法定代表人或主要负责人）签章的授权委托书</w:t>
            </w:r>
          </w:p>
        </w:tc>
        <w:tc>
          <w:tcPr>
            <w:tcW w:w="648"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1623" w:type="dxa"/>
            <w:vAlign w:val="center"/>
          </w:tcPr>
          <w:p>
            <w:pPr>
              <w:wordWrap w:val="0"/>
              <w:jc w:val="center"/>
              <w:rPr>
                <w:rFonts w:ascii="黑体" w:hAnsi="黑体" w:eastAsia="黑体" w:cs="Times New Roman"/>
                <w:sz w:val="18"/>
                <w:szCs w:val="18"/>
              </w:rPr>
            </w:pPr>
          </w:p>
        </w:tc>
      </w:tr>
    </w:tbl>
    <w:p>
      <w:pPr>
        <w:wordWrap w:val="0"/>
        <w:spacing w:line="480" w:lineRule="auto"/>
        <w:ind w:firstLine="480"/>
        <w:contextualSpacing/>
        <w:rPr>
          <w:rFonts w:ascii="宋体" w:hAnsi="宋体"/>
          <w:sz w:val="24"/>
          <w:szCs w:val="24"/>
        </w:rPr>
      </w:pPr>
      <w:r>
        <w:rPr>
          <w:rFonts w:hint="eastAsia" w:ascii="Times New Roman" w:hAnsi="Times New Roman" w:cs="Times New Roman"/>
          <w:sz w:val="24"/>
          <w:szCs w:val="24"/>
        </w:rPr>
        <w:t>3.</w:t>
      </w:r>
      <w:r>
        <w:rPr>
          <w:rFonts w:ascii="宋体" w:hAnsi="宋体"/>
          <w:sz w:val="24"/>
          <w:szCs w:val="24"/>
        </w:rPr>
        <w:t>纳税人对查询结果有异议，向税务机关申请核实：</w:t>
      </w:r>
    </w:p>
    <w:tbl>
      <w:tblPr>
        <w:tblStyle w:val="12"/>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5214"/>
        <w:gridCol w:w="648"/>
        <w:gridCol w:w="16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jc w:val="center"/>
              <w:rPr>
                <w:rFonts w:ascii="黑体" w:hAnsi="黑体" w:eastAsia="黑体" w:cs="Times New Roman"/>
              </w:rPr>
            </w:pPr>
            <w:r>
              <w:rPr>
                <w:rFonts w:ascii="黑体" w:hAnsi="黑体" w:eastAsia="黑体" w:cs="黑体"/>
              </w:rPr>
              <w:t>序号</w:t>
            </w:r>
          </w:p>
        </w:tc>
        <w:tc>
          <w:tcPr>
            <w:tcW w:w="5214" w:type="dxa"/>
            <w:shd w:val="clear" w:color="auto" w:fill="D9D9D9"/>
            <w:vAlign w:val="center"/>
          </w:tcPr>
          <w:p>
            <w:pPr>
              <w:wordWrap w:val="0"/>
              <w:jc w:val="center"/>
              <w:rPr>
                <w:rFonts w:ascii="黑体" w:hAnsi="黑体" w:eastAsia="黑体" w:cs="Times New Roman"/>
              </w:rPr>
            </w:pPr>
            <w:r>
              <w:rPr>
                <w:rFonts w:ascii="黑体" w:hAnsi="黑体" w:eastAsia="黑体" w:cs="黑体"/>
              </w:rPr>
              <w:t>材料名称</w:t>
            </w:r>
          </w:p>
        </w:tc>
        <w:tc>
          <w:tcPr>
            <w:tcW w:w="648" w:type="dxa"/>
            <w:shd w:val="clear" w:color="auto" w:fill="D9D9D9"/>
            <w:vAlign w:val="center"/>
          </w:tcPr>
          <w:p>
            <w:pPr>
              <w:wordWrap w:val="0"/>
              <w:jc w:val="center"/>
              <w:rPr>
                <w:rFonts w:ascii="黑体" w:hAnsi="黑体" w:eastAsia="黑体" w:cs="Times New Roman"/>
              </w:rPr>
            </w:pPr>
            <w:r>
              <w:rPr>
                <w:rFonts w:ascii="黑体" w:hAnsi="黑体" w:eastAsia="黑体" w:cs="黑体"/>
              </w:rPr>
              <w:t>数量</w:t>
            </w:r>
          </w:p>
        </w:tc>
        <w:tc>
          <w:tcPr>
            <w:tcW w:w="1622" w:type="dxa"/>
            <w:shd w:val="clear" w:color="auto" w:fill="D9D9D9"/>
            <w:vAlign w:val="center"/>
          </w:tcPr>
          <w:p>
            <w:pPr>
              <w:wordWrap w:val="0"/>
              <w:jc w:val="center"/>
              <w:rPr>
                <w:rFonts w:ascii="黑体" w:hAnsi="黑体" w:eastAsia="黑体" w:cs="Times New Roman"/>
              </w:rPr>
            </w:pPr>
            <w:r>
              <w:rPr>
                <w:rFonts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1</w:t>
            </w:r>
          </w:p>
        </w:tc>
        <w:tc>
          <w:tcPr>
            <w:tcW w:w="5214" w:type="dxa"/>
            <w:vAlign w:val="center"/>
          </w:tcPr>
          <w:p>
            <w:pPr>
              <w:wordWrap w:val="0"/>
              <w:jc w:val="center"/>
              <w:rPr>
                <w:rFonts w:ascii="黑体" w:hAnsi="黑体" w:eastAsia="黑体" w:cs="Times New Roman"/>
                <w:sz w:val="18"/>
                <w:szCs w:val="18"/>
              </w:rPr>
            </w:pPr>
            <w:r>
              <w:rPr>
                <w:rFonts w:ascii="黑体" w:hAnsi="黑体" w:eastAsia="黑体"/>
                <w:sz w:val="18"/>
                <w:szCs w:val="18"/>
              </w:rPr>
              <w:t>《涉税信息查询结果核实申请表》</w:t>
            </w:r>
          </w:p>
        </w:tc>
        <w:tc>
          <w:tcPr>
            <w:tcW w:w="648"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1622" w:type="dxa"/>
            <w:vAlign w:val="center"/>
          </w:tcPr>
          <w:p>
            <w:pPr>
              <w:wordWrap w:val="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2</w:t>
            </w:r>
          </w:p>
        </w:tc>
        <w:tc>
          <w:tcPr>
            <w:tcW w:w="5214" w:type="dxa"/>
            <w:vAlign w:val="center"/>
          </w:tcPr>
          <w:p>
            <w:pPr>
              <w:wordWrap w:val="0"/>
              <w:jc w:val="center"/>
              <w:rPr>
                <w:rFonts w:ascii="黑体" w:hAnsi="黑体" w:eastAsia="黑体" w:cs="Times New Roman"/>
                <w:sz w:val="18"/>
                <w:szCs w:val="18"/>
              </w:rPr>
            </w:pPr>
            <w:r>
              <w:rPr>
                <w:rFonts w:ascii="黑体" w:hAnsi="黑体" w:eastAsia="黑体"/>
                <w:sz w:val="18"/>
                <w:szCs w:val="18"/>
              </w:rPr>
              <w:t>原涉税信息查询结果</w:t>
            </w:r>
          </w:p>
        </w:tc>
        <w:tc>
          <w:tcPr>
            <w:tcW w:w="648"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1622" w:type="dxa"/>
            <w:vAlign w:val="center"/>
          </w:tcPr>
          <w:p>
            <w:pPr>
              <w:wordWrap w:val="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3</w:t>
            </w:r>
          </w:p>
        </w:tc>
        <w:tc>
          <w:tcPr>
            <w:tcW w:w="5214" w:type="dxa"/>
            <w:vAlign w:val="center"/>
          </w:tcPr>
          <w:p>
            <w:pPr>
              <w:wordWrap w:val="0"/>
              <w:jc w:val="center"/>
              <w:rPr>
                <w:rFonts w:ascii="黑体" w:hAnsi="黑体" w:eastAsia="黑体" w:cs="Times New Roman"/>
                <w:sz w:val="18"/>
                <w:szCs w:val="18"/>
              </w:rPr>
            </w:pPr>
            <w:r>
              <w:rPr>
                <w:rFonts w:ascii="黑体" w:hAnsi="黑体" w:eastAsia="黑体"/>
                <w:sz w:val="18"/>
                <w:szCs w:val="18"/>
              </w:rPr>
              <w:t>相关证明资料</w:t>
            </w:r>
          </w:p>
        </w:tc>
        <w:tc>
          <w:tcPr>
            <w:tcW w:w="648"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1622" w:type="dxa"/>
            <w:vAlign w:val="center"/>
          </w:tcPr>
          <w:p>
            <w:pPr>
              <w:wordWrap w:val="0"/>
              <w:jc w:val="center"/>
              <w:rPr>
                <w:rFonts w:ascii="黑体" w:hAnsi="黑体" w:eastAsia="黑体" w:cs="Times New Roman"/>
                <w:sz w:val="18"/>
                <w:szCs w:val="18"/>
              </w:rPr>
            </w:pPr>
          </w:p>
        </w:tc>
      </w:tr>
    </w:tbl>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【办理地点】</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1.</w:t>
      </w:r>
      <w:r>
        <w:rPr>
          <w:rFonts w:ascii="宋体" w:hAnsi="宋体"/>
          <w:sz w:val="24"/>
          <w:szCs w:val="24"/>
        </w:rPr>
        <w:t xml:space="preserve"> 可以通过网站、客户端软件、自助办税终端、移动办税终端等渠道，经过有效身份认证和识别，自行查询税费缴纳情况、纳税信用评价结果、涉税事项办理进度等自身涉税信息。</w:t>
      </w:r>
      <w:r>
        <w:rPr>
          <w:rFonts w:hint="eastAsia" w:ascii="宋体" w:hAnsi="宋体"/>
          <w:sz w:val="24"/>
          <w:szCs w:val="24"/>
        </w:rPr>
        <w:t>新疆维吾尔自治区电子税务局网址为：</w:t>
      </w:r>
    </w:p>
    <w:p>
      <w:pPr>
        <w:pStyle w:val="47"/>
        <w:widowControl/>
        <w:wordWrap w:val="0"/>
        <w:adjustRightInd/>
        <w:snapToGrid/>
        <w:rPr>
          <w:rStyle w:val="11"/>
          <w:rFonts w:ascii="宋体" w:hAnsi="宋体" w:eastAsia="宋体" w:cstheme="minorBidi"/>
          <w:bCs w:val="0"/>
        </w:rPr>
      </w:pPr>
      <w:r>
        <w:fldChar w:fldCharType="begin"/>
      </w:r>
      <w:r>
        <w:instrText xml:space="preserve"> HYPERLINK "https://etax.xinjiang.chinatax.gov.cn/wszx-web/bszm/apps/views/beforeLogin/indexBefore/pageIndex.html" </w:instrText>
      </w:r>
      <w:r>
        <w:fldChar w:fldCharType="separate"/>
      </w:r>
      <w:r>
        <w:rPr>
          <w:rStyle w:val="11"/>
          <w:rFonts w:hint="eastAsia" w:ascii="宋体" w:hAnsi="宋体" w:eastAsia="宋体" w:cstheme="minorBidi"/>
          <w:bCs w:val="0"/>
        </w:rPr>
        <w:t>https://etax.xinjiang.chinatax.gov.cn/wszx-web/bszm/apps/views/beforeLogin/indexBefore/pageIndex.html</w:t>
      </w:r>
      <w:r>
        <w:rPr>
          <w:rStyle w:val="11"/>
          <w:rFonts w:hint="eastAsia" w:ascii="宋体" w:hAnsi="宋体" w:eastAsia="宋体" w:cstheme="minorBidi"/>
          <w:bCs w:val="0"/>
        </w:rPr>
        <w:fldChar w:fldCharType="end"/>
      </w:r>
    </w:p>
    <w:p>
      <w:pPr>
        <w:widowControl/>
        <w:wordWrap w:val="0"/>
        <w:spacing w:line="360" w:lineRule="auto"/>
        <w:ind w:firstLine="480"/>
        <w:rPr>
          <w:rFonts w:ascii="宋体" w:hAnsi="宋体"/>
          <w:color w:val="000000" w:themeColor="text1"/>
          <w:sz w:val="24"/>
          <w:szCs w:val="24"/>
          <w14:textFill>
            <w14:solidFill>
              <w14:schemeClr w14:val="tx1"/>
            </w14:solidFill>
          </w14:textFill>
        </w:rPr>
      </w:pPr>
      <w:r>
        <w:rPr>
          <w:rFonts w:hint="eastAsia" w:ascii="宋体" w:hAnsi="宋体"/>
          <w:sz w:val="24"/>
          <w:szCs w:val="24"/>
        </w:rPr>
        <w:t>国家税务总局新疆维吾尔自治区税务局</w:t>
      </w:r>
      <w:r>
        <w:rPr>
          <w:rFonts w:ascii="宋体" w:hAnsi="宋体"/>
          <w:sz w:val="24"/>
          <w:szCs w:val="24"/>
        </w:rPr>
        <w:t>门户网站</w:t>
      </w:r>
      <w:r>
        <w:rPr>
          <w:rFonts w:hint="eastAsia" w:ascii="宋体" w:hAnsi="宋体"/>
          <w:sz w:val="24"/>
          <w:szCs w:val="24"/>
        </w:rPr>
        <w:t>网址为：</w:t>
      </w:r>
      <w:r>
        <w:rPr>
          <w:rStyle w:val="11"/>
          <w:rFonts w:hint="eastAsia" w:ascii="宋体" w:hAnsi="宋体" w:cstheme="minorBidi"/>
          <w:szCs w:val="22"/>
        </w:rPr>
        <w:t>https://xj-n-tax.gov.cn</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2.</w:t>
      </w:r>
      <w:r>
        <w:rPr>
          <w:rFonts w:ascii="宋体" w:hAnsi="宋体"/>
          <w:sz w:val="24"/>
          <w:szCs w:val="24"/>
        </w:rPr>
        <w:t>无法自行获取所需自身涉税信息，</w:t>
      </w:r>
      <w:bookmarkStart w:id="5" w:name="_Hlk12720655"/>
      <w:r>
        <w:rPr>
          <w:rFonts w:ascii="宋体" w:hAnsi="宋体"/>
          <w:sz w:val="24"/>
          <w:szCs w:val="24"/>
        </w:rPr>
        <w:t>可以通过办税服务厅（场所）提出书面申请。</w:t>
      </w:r>
    </w:p>
    <w:bookmarkEnd w:id="5"/>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【办理机构】</w:t>
      </w:r>
    </w:p>
    <w:p>
      <w:pPr>
        <w:wordWrap w:val="0"/>
        <w:spacing w:line="360" w:lineRule="auto"/>
        <w:ind w:firstLine="480"/>
        <w:rPr>
          <w:rFonts w:ascii="宋体" w:hAnsi="宋体"/>
          <w:sz w:val="24"/>
          <w:szCs w:val="24"/>
        </w:rPr>
      </w:pPr>
      <w:r>
        <w:rPr>
          <w:rFonts w:ascii="宋体" w:hAnsi="宋体"/>
          <w:sz w:val="24"/>
          <w:szCs w:val="24"/>
        </w:rPr>
        <w:t>主管税务机关</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【收费标准】</w:t>
      </w:r>
    </w:p>
    <w:p>
      <w:pPr>
        <w:wordWrap w:val="0"/>
        <w:spacing w:line="360" w:lineRule="auto"/>
        <w:ind w:firstLine="480"/>
        <w:rPr>
          <w:rFonts w:ascii="宋体" w:hAnsi="宋体" w:cs="Times New Roman"/>
          <w:sz w:val="24"/>
          <w:szCs w:val="24"/>
        </w:rPr>
      </w:pPr>
      <w:r>
        <w:rPr>
          <w:rFonts w:ascii="宋体" w:hAnsi="宋体"/>
          <w:sz w:val="24"/>
          <w:szCs w:val="24"/>
        </w:rPr>
        <w:t>不收费</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【办理时间】</w:t>
      </w:r>
    </w:p>
    <w:p>
      <w:pPr>
        <w:wordWrap w:val="0"/>
        <w:spacing w:line="360" w:lineRule="auto"/>
        <w:ind w:firstLine="480"/>
        <w:contextualSpacing/>
        <w:rPr>
          <w:rFonts w:ascii="宋体" w:hAnsi="宋体"/>
          <w:sz w:val="24"/>
          <w:szCs w:val="24"/>
        </w:rPr>
      </w:pPr>
      <w:r>
        <w:rPr>
          <w:rFonts w:ascii="宋体" w:hAnsi="宋体"/>
          <w:sz w:val="24"/>
          <w:szCs w:val="24"/>
        </w:rPr>
        <w:t>自行获取的，即时查询。</w:t>
      </w:r>
    </w:p>
    <w:p>
      <w:pPr>
        <w:wordWrap w:val="0"/>
        <w:spacing w:line="360" w:lineRule="auto"/>
        <w:ind w:firstLine="480"/>
        <w:contextualSpacing/>
        <w:rPr>
          <w:rFonts w:ascii="宋体" w:hAnsi="宋体"/>
          <w:sz w:val="24"/>
          <w:szCs w:val="24"/>
        </w:rPr>
      </w:pPr>
      <w:r>
        <w:rPr>
          <w:rFonts w:ascii="宋体" w:hAnsi="宋体"/>
          <w:sz w:val="24"/>
          <w:szCs w:val="24"/>
        </w:rPr>
        <w:t>提出书面申请的，本事项在</w:t>
      </w:r>
      <w:r>
        <w:rPr>
          <w:rFonts w:hint="eastAsia" w:ascii="Times New Roman" w:hAnsi="Times New Roman" w:cs="Times New Roman"/>
          <w:sz w:val="24"/>
          <w:szCs w:val="24"/>
        </w:rPr>
        <w:t>20</w:t>
      </w:r>
      <w:r>
        <w:rPr>
          <w:rFonts w:ascii="宋体" w:hAnsi="宋体"/>
          <w:sz w:val="24"/>
          <w:szCs w:val="24"/>
        </w:rPr>
        <w:t>个工作日内办结。</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【联系电话】</w:t>
      </w:r>
    </w:p>
    <w:p>
      <w:pPr>
        <w:ind w:firstLine="480" w:firstLineChars="200"/>
        <w:rPr>
          <w:rFonts w:ascii="宋体" w:hAnsi="宋体"/>
          <w:sz w:val="24"/>
          <w:szCs w:val="24"/>
        </w:rPr>
      </w:pPr>
      <w:r>
        <w:rPr>
          <w:rFonts w:hint="eastAsia" w:ascii="宋体" w:hAnsi="宋体"/>
          <w:sz w:val="24"/>
          <w:szCs w:val="24"/>
        </w:rPr>
        <w:t>主管税务机关对外公开的联系电话，可点击下列链接通过办税地图获取：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11"/>
          <w:rFonts w:ascii="宋体" w:hAnsi="宋体"/>
          <w:sz w:val="24"/>
          <w:szCs w:val="24"/>
        </w:rPr>
        <w:t>https://etax.xinjiang.chinatax.gov.cn/yhs-web/cxzx/bmap.html#/bsdt?code=bsdt&amp;id=9916</w:t>
      </w:r>
      <w:r>
        <w:rPr>
          <w:rStyle w:val="11"/>
          <w:rFonts w:ascii="宋体" w:hAnsi="宋体"/>
          <w:sz w:val="24"/>
          <w:szCs w:val="24"/>
        </w:rPr>
        <w:fldChar w:fldCharType="end"/>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【办理流程】</w:t>
      </w:r>
    </w:p>
    <w:p>
      <w:pPr>
        <w:wordWrap w:val="0"/>
        <w:spacing w:line="360" w:lineRule="auto"/>
        <w:rPr>
          <w:rFonts w:ascii="宋体" w:hAnsi="宋体" w:cs="Times New Roman"/>
          <w:b/>
          <w:bCs/>
        </w:rPr>
      </w:pPr>
      <w:r>
        <w:rPr>
          <w:rFonts w:ascii="宋体" w:hAnsi="宋体" w:cs="Times New Roman"/>
        </w:rPr>
        <w:drawing>
          <wp:inline distT="0" distB="0" distL="114300" distR="114300">
            <wp:extent cx="5183505" cy="2090420"/>
            <wp:effectExtent l="0" t="0" r="13335" b="0"/>
            <wp:docPr id="129" name="图片 129" descr="C:\Users\baoqianyu\Desktop\流程图\涉税查询.png涉税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129" descr="C:\Users\baoqianyu\Desktop\流程图\涉税查询.png涉税查询"/>
                    <pic:cNvPicPr>
                      <a:picLocks noChangeAspect="1"/>
                    </pic:cNvPicPr>
                  </pic:nvPicPr>
                  <pic:blipFill>
                    <a:blip r:embed="rId4"/>
                    <a:srcRect/>
                    <a:stretch>
                      <a:fillRect/>
                    </a:stretch>
                  </pic:blipFill>
                  <pic:spPr>
                    <a:xfrm>
                      <a:off x="0" y="0"/>
                      <a:ext cx="5183505" cy="2090420"/>
                    </a:xfrm>
                    <a:prstGeom prst="rect">
                      <a:avLst/>
                    </a:prstGeom>
                    <a:noFill/>
                    <a:ln>
                      <a:noFill/>
                    </a:ln>
                  </pic:spPr>
                </pic:pic>
              </a:graphicData>
            </a:graphic>
          </wp:inline>
        </w:drawing>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【纳税人注意事项】</w:t>
      </w:r>
    </w:p>
    <w:p>
      <w:pPr>
        <w:wordWrap w:val="0"/>
        <w:spacing w:line="360" w:lineRule="auto"/>
        <w:ind w:firstLine="480"/>
        <w:contextualSpacing/>
        <w:rPr>
          <w:rFonts w:ascii="宋体" w:hAnsi="宋体"/>
          <w:sz w:val="24"/>
          <w:szCs w:val="24"/>
        </w:rPr>
      </w:pPr>
      <w:r>
        <w:rPr>
          <w:rFonts w:ascii="宋体" w:hAnsi="宋体"/>
          <w:sz w:val="24"/>
          <w:szCs w:val="24"/>
        </w:rPr>
        <w:t>纳税人对报送材料的真实性和合法性承担责任。</w:t>
      </w:r>
    </w:p>
    <w:p>
      <w:pPr>
        <w:rPr>
          <w:rFonts w:ascii="宋体" w:hAnsi="宋体"/>
          <w:sz w:val="24"/>
          <w:szCs w:val="24"/>
        </w:rPr>
      </w:pPr>
      <w:r>
        <w:rPr>
          <w:rFonts w:ascii="宋体" w:hAnsi="宋体"/>
          <w:sz w:val="24"/>
          <w:szCs w:val="24"/>
        </w:rPr>
        <w:br w:type="page"/>
      </w:r>
    </w:p>
    <w:p>
      <w:pPr>
        <w:pStyle w:val="42"/>
        <w:adjustRightInd/>
        <w:snapToGrid/>
        <w:spacing w:before="332" w:after="332"/>
      </w:pPr>
      <w:r>
        <w:t>12</w:t>
      </w:r>
      <w:r>
        <w:rPr>
          <w:rFonts w:hint="eastAsia"/>
        </w:rPr>
        <w:t>.</w:t>
      </w:r>
      <w:r>
        <w:t>1</w:t>
      </w:r>
      <w:r>
        <w:rPr>
          <w:rFonts w:hint="eastAsia"/>
        </w:rPr>
        <w:t>.</w:t>
      </w:r>
      <w:r>
        <w:t>3—</w:t>
      </w:r>
      <w:r>
        <w:rPr>
          <w:rFonts w:hint="eastAsia"/>
        </w:rPr>
        <w:t>1</w:t>
      </w:r>
      <w:r>
        <w:rPr>
          <w:rFonts w:hint="eastAsia"/>
          <w:lang w:val="en-US" w:eastAsia="zh-CN"/>
        </w:rPr>
        <w:t>89</w:t>
      </w:r>
      <w:bookmarkStart w:id="6" w:name="_GoBack"/>
      <w:bookmarkEnd w:id="6"/>
      <w:r>
        <w:rPr>
          <w:rFonts w:hint="eastAsia"/>
        </w:rPr>
        <w:t>　第三方涉税保密信息查询</w:t>
      </w:r>
    </w:p>
    <w:p>
      <w:pPr>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【事项名称】</w:t>
      </w:r>
    </w:p>
    <w:p>
      <w:pPr>
        <w:spacing w:line="360" w:lineRule="auto"/>
        <w:ind w:firstLine="480" w:firstLineChars="200"/>
        <w:contextualSpacing/>
        <w:rPr>
          <w:rFonts w:ascii="宋体" w:hAnsi="宋体"/>
          <w:sz w:val="24"/>
          <w:szCs w:val="24"/>
        </w:rPr>
      </w:pPr>
      <w:r>
        <w:rPr>
          <w:rFonts w:hint="eastAsia" w:ascii="宋体" w:hAnsi="宋体"/>
          <w:sz w:val="24"/>
          <w:szCs w:val="24"/>
        </w:rPr>
        <w:t>第三方涉税保密信息查询</w:t>
      </w:r>
    </w:p>
    <w:p>
      <w:pPr>
        <w:spacing w:line="360" w:lineRule="auto"/>
        <w:ind w:firstLine="480" w:firstLineChars="200"/>
        <w:rPr>
          <w:rFonts w:ascii="黑体" w:hAnsi="黑体" w:eastAsia="黑体" w:cs="Times New Roman"/>
          <w:bCs/>
          <w:sz w:val="24"/>
          <w:szCs w:val="24"/>
        </w:rPr>
      </w:pPr>
      <w:r>
        <w:rPr>
          <w:rFonts w:hint="eastAsia" w:ascii="黑体" w:hAnsi="黑体" w:eastAsia="黑体" w:cs="Times New Roman"/>
          <w:bCs/>
          <w:sz w:val="24"/>
          <w:szCs w:val="24"/>
        </w:rPr>
        <w:t>【申请条件】</w:t>
      </w:r>
    </w:p>
    <w:p>
      <w:pPr>
        <w:wordWrap w:val="0"/>
        <w:spacing w:line="360" w:lineRule="auto"/>
        <w:ind w:firstLine="480"/>
        <w:contextualSpacing/>
        <w:rPr>
          <w:rFonts w:ascii="宋体" w:hAnsi="宋体"/>
          <w:sz w:val="24"/>
          <w:szCs w:val="24"/>
        </w:rPr>
      </w:pPr>
      <w:r>
        <w:rPr>
          <w:rFonts w:ascii="宋体" w:hAnsi="宋体"/>
          <w:sz w:val="24"/>
          <w:szCs w:val="24"/>
        </w:rPr>
        <w:t>税务机关根据法律法规规定，依申请向人民法院、人民检察院、公安机关、审计机关、抵押权人、质权人等单位和个人提供的涉税保密信息查询服务。</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【设定依据】</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1.</w:t>
      </w:r>
      <w:r>
        <w:rPr>
          <w:rFonts w:ascii="宋体" w:hAnsi="宋体"/>
          <w:sz w:val="24"/>
          <w:szCs w:val="24"/>
        </w:rPr>
        <w:t>《国家税务总局关于印发〈纳税人涉税保密信息管理暂行办法〉的通知》（国税发〔</w:t>
      </w:r>
      <w:r>
        <w:rPr>
          <w:rFonts w:hint="eastAsia" w:ascii="Times New Roman" w:hAnsi="Times New Roman" w:cs="Times New Roman"/>
          <w:sz w:val="24"/>
          <w:szCs w:val="24"/>
        </w:rPr>
        <w:t>2008</w:t>
      </w:r>
      <w:r>
        <w:rPr>
          <w:rFonts w:ascii="宋体" w:hAnsi="宋体"/>
          <w:sz w:val="24"/>
          <w:szCs w:val="24"/>
        </w:rPr>
        <w:t>〕</w:t>
      </w:r>
      <w:r>
        <w:rPr>
          <w:rFonts w:hint="eastAsia" w:ascii="Times New Roman" w:hAnsi="Times New Roman" w:cs="Times New Roman"/>
          <w:sz w:val="24"/>
          <w:szCs w:val="24"/>
        </w:rPr>
        <w:t>93</w:t>
      </w:r>
      <w:r>
        <w:rPr>
          <w:rFonts w:ascii="宋体" w:hAnsi="宋体"/>
          <w:sz w:val="24"/>
          <w:szCs w:val="24"/>
        </w:rPr>
        <w:t>号）</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2.</w:t>
      </w:r>
      <w:r>
        <w:rPr>
          <w:rFonts w:ascii="宋体" w:hAnsi="宋体"/>
          <w:sz w:val="24"/>
          <w:szCs w:val="24"/>
        </w:rPr>
        <w:t>中共中央办公厅国务院办公厅印发《关于完善审计制度若干重大问题的框架意见》及相关配套文件</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【办理材料】</w:t>
      </w:r>
    </w:p>
    <w:p>
      <w:pPr>
        <w:wordWrap w:val="0"/>
        <w:spacing w:line="360" w:lineRule="auto"/>
        <w:ind w:firstLine="480"/>
        <w:contextualSpacing/>
        <w:rPr>
          <w:rFonts w:ascii="宋体" w:hAnsi="宋体"/>
          <w:sz w:val="24"/>
          <w:szCs w:val="24"/>
        </w:rPr>
      </w:pPr>
      <w:r>
        <w:rPr>
          <w:rFonts w:hint="eastAsia" w:ascii="Times New Roman" w:hAnsi="Times New Roman" w:cs="Times New Roman"/>
          <w:sz w:val="24"/>
          <w:szCs w:val="24"/>
        </w:rPr>
        <w:t>1.</w:t>
      </w:r>
      <w:r>
        <w:rPr>
          <w:rFonts w:ascii="宋体" w:hAnsi="宋体"/>
          <w:sz w:val="24"/>
          <w:szCs w:val="24"/>
        </w:rPr>
        <w:t>人民法院、人民检察院、公安机关和审计机关向税务机关提出查询申请：</w:t>
      </w:r>
    </w:p>
    <w:tbl>
      <w:tblPr>
        <w:tblStyle w:val="12"/>
        <w:tblW w:w="81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45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jc w:val="center"/>
              <w:rPr>
                <w:rFonts w:ascii="黑体" w:hAnsi="黑体" w:eastAsia="黑体" w:cs="Times New Roman"/>
              </w:rPr>
            </w:pPr>
            <w:r>
              <w:rPr>
                <w:rFonts w:ascii="黑体" w:hAnsi="黑体" w:eastAsia="黑体" w:cs="黑体"/>
              </w:rPr>
              <w:t>序号</w:t>
            </w:r>
          </w:p>
        </w:tc>
        <w:tc>
          <w:tcPr>
            <w:tcW w:w="4535" w:type="dxa"/>
            <w:shd w:val="clear" w:color="auto" w:fill="D9D9D9"/>
            <w:vAlign w:val="center"/>
          </w:tcPr>
          <w:p>
            <w:pPr>
              <w:wordWrap w:val="0"/>
              <w:jc w:val="center"/>
              <w:rPr>
                <w:rFonts w:ascii="黑体" w:hAnsi="黑体" w:eastAsia="黑体" w:cs="Times New Roman"/>
              </w:rPr>
            </w:pPr>
            <w:r>
              <w:rPr>
                <w:rFonts w:ascii="黑体" w:hAnsi="黑体" w:eastAsia="黑体" w:cs="黑体"/>
              </w:rPr>
              <w:t>材料名称</w:t>
            </w:r>
          </w:p>
        </w:tc>
        <w:tc>
          <w:tcPr>
            <w:tcW w:w="680" w:type="dxa"/>
            <w:shd w:val="clear" w:color="auto" w:fill="D9D9D9"/>
            <w:vAlign w:val="center"/>
          </w:tcPr>
          <w:p>
            <w:pPr>
              <w:wordWrap w:val="0"/>
              <w:jc w:val="center"/>
              <w:rPr>
                <w:rFonts w:ascii="黑体" w:hAnsi="黑体" w:eastAsia="黑体" w:cs="Times New Roman"/>
              </w:rPr>
            </w:pPr>
            <w:r>
              <w:rPr>
                <w:rFonts w:ascii="黑体" w:hAnsi="黑体" w:eastAsia="黑体" w:cs="黑体"/>
              </w:rPr>
              <w:t>数量</w:t>
            </w:r>
          </w:p>
        </w:tc>
        <w:tc>
          <w:tcPr>
            <w:tcW w:w="2268" w:type="dxa"/>
            <w:shd w:val="clear" w:color="auto" w:fill="D9D9D9"/>
            <w:vAlign w:val="center"/>
          </w:tcPr>
          <w:p>
            <w:pPr>
              <w:wordWrap w:val="0"/>
              <w:jc w:val="center"/>
              <w:rPr>
                <w:rFonts w:ascii="黑体" w:hAnsi="黑体" w:eastAsia="黑体" w:cs="Times New Roman"/>
              </w:rPr>
            </w:pPr>
            <w:r>
              <w:rPr>
                <w:rFonts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1</w:t>
            </w:r>
          </w:p>
        </w:tc>
        <w:tc>
          <w:tcPr>
            <w:tcW w:w="4535" w:type="dxa"/>
            <w:vAlign w:val="center"/>
          </w:tcPr>
          <w:p>
            <w:pPr>
              <w:wordWrap w:val="0"/>
              <w:jc w:val="center"/>
              <w:rPr>
                <w:rFonts w:ascii="黑体" w:hAnsi="黑体" w:eastAsia="黑体" w:cs="Times New Roman"/>
                <w:sz w:val="18"/>
                <w:szCs w:val="18"/>
              </w:rPr>
            </w:pPr>
            <w:r>
              <w:rPr>
                <w:rFonts w:ascii="黑体" w:hAnsi="黑体" w:eastAsia="黑体"/>
                <w:sz w:val="18"/>
                <w:szCs w:val="18"/>
              </w:rPr>
              <w:t>《</w:t>
            </w:r>
            <w:r>
              <w:rPr>
                <w:rFonts w:hint="eastAsia" w:ascii="黑体" w:hAnsi="黑体" w:eastAsia="黑体"/>
                <w:sz w:val="18"/>
                <w:szCs w:val="18"/>
                <w:lang w:val="en-US" w:eastAsia="zh-CN"/>
              </w:rPr>
              <w:t>涉税信息查询申请表</w:t>
            </w:r>
            <w:r>
              <w:rPr>
                <w:rFonts w:ascii="黑体" w:hAnsi="黑体" w:eastAsia="黑体"/>
                <w:sz w:val="18"/>
                <w:szCs w:val="18"/>
              </w:rPr>
              <w:t>》</w:t>
            </w:r>
          </w:p>
        </w:tc>
        <w:tc>
          <w:tcPr>
            <w:tcW w:w="680"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2</w:t>
            </w:r>
          </w:p>
        </w:tc>
        <w:tc>
          <w:tcPr>
            <w:tcW w:w="4535" w:type="dxa"/>
            <w:vAlign w:val="center"/>
          </w:tcPr>
          <w:p>
            <w:pPr>
              <w:wordWrap w:val="0"/>
              <w:jc w:val="center"/>
              <w:rPr>
                <w:rFonts w:ascii="黑体" w:hAnsi="黑体" w:eastAsia="黑体" w:cs="Times New Roman"/>
                <w:sz w:val="18"/>
                <w:szCs w:val="18"/>
              </w:rPr>
            </w:pPr>
            <w:r>
              <w:rPr>
                <w:rFonts w:ascii="黑体" w:hAnsi="黑体" w:eastAsia="黑体"/>
                <w:sz w:val="18"/>
                <w:szCs w:val="18"/>
              </w:rPr>
              <w:t>单位介绍信</w:t>
            </w:r>
          </w:p>
        </w:tc>
        <w:tc>
          <w:tcPr>
            <w:tcW w:w="680"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vAlign w:val="center"/>
          </w:tcPr>
          <w:p>
            <w:pPr>
              <w:wordWrap w:val="0"/>
              <w:jc w:val="center"/>
              <w:rPr>
                <w:rFonts w:ascii="黑体" w:hAnsi="黑体" w:eastAsia="黑体"/>
                <w:sz w:val="18"/>
                <w:szCs w:val="18"/>
              </w:rPr>
            </w:pPr>
            <w:r>
              <w:rPr>
                <w:rFonts w:hint="eastAsia" w:ascii="Times New Roman" w:hAnsi="Times New Roman" w:eastAsia="黑体" w:cs="Times New Roman"/>
                <w:sz w:val="18"/>
                <w:szCs w:val="18"/>
              </w:rPr>
              <w:t>3</w:t>
            </w:r>
          </w:p>
        </w:tc>
        <w:tc>
          <w:tcPr>
            <w:tcW w:w="4535" w:type="dxa"/>
            <w:vAlign w:val="center"/>
          </w:tcPr>
          <w:p>
            <w:pPr>
              <w:wordWrap w:val="0"/>
              <w:jc w:val="center"/>
              <w:rPr>
                <w:rFonts w:ascii="黑体" w:hAnsi="黑体" w:eastAsia="黑体" w:cs="Times New Roman"/>
                <w:sz w:val="18"/>
                <w:szCs w:val="18"/>
              </w:rPr>
            </w:pPr>
            <w:r>
              <w:rPr>
                <w:rFonts w:ascii="黑体" w:hAnsi="黑体" w:eastAsia="黑体"/>
                <w:sz w:val="18"/>
                <w:szCs w:val="18"/>
              </w:rPr>
              <w:t>查询人有效身份证明原件</w:t>
            </w:r>
          </w:p>
        </w:tc>
        <w:tc>
          <w:tcPr>
            <w:tcW w:w="680" w:type="dxa"/>
            <w:vAlign w:val="center"/>
          </w:tcPr>
          <w:p>
            <w:pPr>
              <w:wordWrap w:val="0"/>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bl>
    <w:p>
      <w:pPr>
        <w:wordWrap w:val="0"/>
        <w:spacing w:line="480" w:lineRule="auto"/>
        <w:ind w:firstLine="480"/>
        <w:contextualSpacing/>
        <w:rPr>
          <w:rFonts w:ascii="宋体" w:hAnsi="宋体"/>
          <w:sz w:val="24"/>
          <w:szCs w:val="24"/>
        </w:rPr>
      </w:pPr>
      <w:r>
        <w:rPr>
          <w:rFonts w:hint="eastAsia" w:ascii="Times New Roman" w:hAnsi="Times New Roman" w:cs="Times New Roman"/>
          <w:sz w:val="24"/>
          <w:szCs w:val="24"/>
        </w:rPr>
        <w:t>2.</w:t>
      </w:r>
      <w:r>
        <w:rPr>
          <w:rFonts w:ascii="宋体" w:hAnsi="宋体"/>
          <w:sz w:val="24"/>
          <w:szCs w:val="24"/>
        </w:rPr>
        <w:t>抵押权人、质权人申请查询纳税人欠税有关情况：</w:t>
      </w:r>
    </w:p>
    <w:tbl>
      <w:tblPr>
        <w:tblStyle w:val="12"/>
        <w:tblW w:w="8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701"/>
        <w:gridCol w:w="2835"/>
        <w:gridCol w:w="680"/>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序号</w:t>
            </w:r>
          </w:p>
        </w:tc>
        <w:tc>
          <w:tcPr>
            <w:tcW w:w="4536" w:type="dxa"/>
            <w:gridSpan w:val="2"/>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材料名称</w:t>
            </w:r>
          </w:p>
        </w:tc>
        <w:tc>
          <w:tcPr>
            <w:tcW w:w="680" w:type="dxa"/>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数量</w:t>
            </w:r>
          </w:p>
        </w:tc>
        <w:tc>
          <w:tcPr>
            <w:tcW w:w="2268" w:type="dxa"/>
            <w:shd w:val="clear" w:color="auto" w:fill="D9D9D9"/>
            <w:vAlign w:val="center"/>
          </w:tcPr>
          <w:p>
            <w:pPr>
              <w:wordWrap w:val="0"/>
              <w:spacing w:afterAutospacing="1"/>
              <w:jc w:val="center"/>
              <w:rPr>
                <w:rFonts w:ascii="黑体" w:hAnsi="黑体" w:eastAsia="黑体" w:cs="Times New Roman"/>
              </w:rPr>
            </w:pPr>
            <w:r>
              <w:rPr>
                <w:rFonts w:ascii="黑体" w:hAnsi="黑体" w:eastAsia="黑体" w:cs="黑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jc w:val="center"/>
              <w:rPr>
                <w:rFonts w:ascii="黑体" w:hAnsi="黑体" w:eastAsia="黑体"/>
                <w:sz w:val="18"/>
                <w:szCs w:val="18"/>
              </w:rPr>
            </w:pPr>
            <w:r>
              <w:rPr>
                <w:rFonts w:hint="eastAsia" w:ascii="Times New Roman" w:hAnsi="Times New Roman" w:eastAsia="黑体" w:cs="Times New Roman"/>
                <w:sz w:val="18"/>
                <w:szCs w:val="18"/>
              </w:rPr>
              <w:t>1</w:t>
            </w:r>
          </w:p>
        </w:tc>
        <w:tc>
          <w:tcPr>
            <w:tcW w:w="4536"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w:t>
            </w:r>
            <w:r>
              <w:rPr>
                <w:rFonts w:hint="eastAsia" w:ascii="黑体" w:hAnsi="黑体" w:eastAsia="黑体"/>
                <w:sz w:val="18"/>
                <w:szCs w:val="18"/>
                <w:lang w:val="en-US" w:eastAsia="zh-CN"/>
              </w:rPr>
              <w:t>涉税信息查询申请表</w:t>
            </w:r>
            <w:r>
              <w:rPr>
                <w:rFonts w:ascii="黑体" w:hAnsi="黑体" w:eastAsia="黑体"/>
                <w:sz w:val="18"/>
                <w:szCs w:val="18"/>
              </w:rPr>
              <w:t>》</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jc w:val="center"/>
              <w:rPr>
                <w:rFonts w:ascii="黑体" w:hAnsi="黑体" w:eastAsia="黑体"/>
                <w:sz w:val="18"/>
                <w:szCs w:val="18"/>
              </w:rPr>
            </w:pPr>
            <w:r>
              <w:rPr>
                <w:rFonts w:hint="eastAsia" w:ascii="Times New Roman" w:hAnsi="Times New Roman" w:eastAsia="黑体" w:cs="Times New Roman"/>
                <w:sz w:val="18"/>
                <w:szCs w:val="18"/>
              </w:rPr>
              <w:t>2</w:t>
            </w:r>
          </w:p>
        </w:tc>
        <w:tc>
          <w:tcPr>
            <w:tcW w:w="4536"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合法有效的抵押合同或者质押合同的原件</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680" w:type="dxa"/>
            <w:vAlign w:val="center"/>
          </w:tcPr>
          <w:p>
            <w:pPr>
              <w:wordWrap w:val="0"/>
              <w:spacing w:afterAutospacing="1"/>
              <w:jc w:val="center"/>
              <w:rPr>
                <w:rFonts w:ascii="黑体" w:hAnsi="黑体" w:eastAsia="黑体"/>
                <w:sz w:val="18"/>
                <w:szCs w:val="18"/>
              </w:rPr>
            </w:pPr>
            <w:r>
              <w:rPr>
                <w:rFonts w:hint="eastAsia" w:ascii="Times New Roman" w:hAnsi="Times New Roman" w:eastAsia="黑体" w:cs="Times New Roman"/>
                <w:sz w:val="18"/>
                <w:szCs w:val="18"/>
              </w:rPr>
              <w:t>3</w:t>
            </w:r>
          </w:p>
        </w:tc>
        <w:tc>
          <w:tcPr>
            <w:tcW w:w="4536"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查询人本人有效身份证明原件</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8164" w:type="dxa"/>
            <w:gridSpan w:val="5"/>
            <w:shd w:val="clear" w:color="auto" w:fill="D9D9D9"/>
            <w:vAlign w:val="center"/>
          </w:tcPr>
          <w:p>
            <w:pPr>
              <w:wordWrap w:val="0"/>
              <w:spacing w:after="100" w:afterAutospacing="1"/>
              <w:jc w:val="center"/>
              <w:rPr>
                <w:rFonts w:ascii="黑体" w:hAnsi="黑体" w:eastAsia="黑体" w:cs="Times New Roman"/>
                <w:lang w:val="zh-CN"/>
              </w:rPr>
            </w:pPr>
            <w:r>
              <w:rPr>
                <w:rFonts w:ascii="黑体" w:hAnsi="黑体" w:eastAsia="黑体"/>
                <w:lang w:val="zh-CN"/>
              </w:rPr>
              <w:t>有以下情形的，还应提供相应材料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381" w:type="dxa"/>
            <w:gridSpan w:val="2"/>
            <w:shd w:val="clear" w:color="auto" w:fill="D9D9D9"/>
            <w:vAlign w:val="center"/>
          </w:tcPr>
          <w:p>
            <w:pPr>
              <w:wordWrap w:val="0"/>
              <w:spacing w:after="100" w:afterAutospacing="1"/>
              <w:jc w:val="center"/>
              <w:rPr>
                <w:rFonts w:ascii="黑体" w:hAnsi="黑体" w:eastAsia="黑体" w:cs="黑体"/>
                <w:sz w:val="18"/>
                <w:szCs w:val="18"/>
              </w:rPr>
            </w:pPr>
            <w:r>
              <w:rPr>
                <w:rFonts w:ascii="黑体" w:hAnsi="黑体" w:eastAsia="黑体"/>
                <w:sz w:val="18"/>
                <w:szCs w:val="18"/>
              </w:rPr>
              <w:t>适用情形</w:t>
            </w:r>
          </w:p>
        </w:tc>
        <w:tc>
          <w:tcPr>
            <w:tcW w:w="2835" w:type="dxa"/>
            <w:shd w:val="clear" w:color="auto" w:fill="D9D9D9"/>
            <w:vAlign w:val="center"/>
          </w:tcPr>
          <w:p>
            <w:pPr>
              <w:wordWrap w:val="0"/>
              <w:spacing w:after="100" w:afterAutospacing="1"/>
              <w:jc w:val="center"/>
              <w:rPr>
                <w:rFonts w:ascii="黑体" w:hAnsi="黑体" w:eastAsia="黑体"/>
                <w:sz w:val="18"/>
                <w:szCs w:val="18"/>
              </w:rPr>
            </w:pPr>
            <w:r>
              <w:rPr>
                <w:rFonts w:ascii="黑体" w:hAnsi="黑体" w:eastAsia="黑体"/>
                <w:sz w:val="18"/>
                <w:szCs w:val="18"/>
              </w:rPr>
              <w:t>材料名称</w:t>
            </w:r>
          </w:p>
        </w:tc>
        <w:tc>
          <w:tcPr>
            <w:tcW w:w="680" w:type="dxa"/>
            <w:shd w:val="clear" w:color="auto" w:fill="D9D9D9"/>
            <w:vAlign w:val="center"/>
          </w:tcPr>
          <w:p>
            <w:pPr>
              <w:wordWrap w:val="0"/>
              <w:spacing w:after="100" w:afterAutospacing="1"/>
              <w:jc w:val="center"/>
              <w:rPr>
                <w:rFonts w:ascii="黑体" w:hAnsi="黑体" w:eastAsia="黑体"/>
                <w:sz w:val="18"/>
                <w:szCs w:val="18"/>
              </w:rPr>
            </w:pPr>
            <w:r>
              <w:rPr>
                <w:rFonts w:ascii="黑体" w:hAnsi="黑体" w:eastAsia="黑体"/>
                <w:sz w:val="18"/>
                <w:szCs w:val="18"/>
              </w:rPr>
              <w:t>数量</w:t>
            </w:r>
          </w:p>
        </w:tc>
        <w:tc>
          <w:tcPr>
            <w:tcW w:w="2268" w:type="dxa"/>
            <w:shd w:val="clear" w:color="auto" w:fill="D9D9D9"/>
            <w:vAlign w:val="center"/>
          </w:tcPr>
          <w:p>
            <w:pPr>
              <w:wordWrap w:val="0"/>
              <w:spacing w:after="100" w:afterAutospacing="1"/>
              <w:jc w:val="center"/>
              <w:rPr>
                <w:rFonts w:ascii="黑体" w:hAnsi="黑体" w:eastAsia="黑体"/>
                <w:sz w:val="18"/>
                <w:szCs w:val="18"/>
              </w:rPr>
            </w:pPr>
            <w:r>
              <w:rPr>
                <w:rFonts w:ascii="黑体" w:hAnsi="黑体" w:eastAsia="黑体"/>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381"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授权其他人员代为查询</w:t>
            </w:r>
          </w:p>
        </w:tc>
        <w:tc>
          <w:tcPr>
            <w:tcW w:w="2835" w:type="dxa"/>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委托人本人签字的委托授权书</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exact"/>
          <w:jc w:val="center"/>
        </w:trPr>
        <w:tc>
          <w:tcPr>
            <w:tcW w:w="2381" w:type="dxa"/>
            <w:gridSpan w:val="2"/>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授权其他人员代为查询</w:t>
            </w:r>
          </w:p>
        </w:tc>
        <w:tc>
          <w:tcPr>
            <w:tcW w:w="2835" w:type="dxa"/>
            <w:vAlign w:val="center"/>
          </w:tcPr>
          <w:p>
            <w:pPr>
              <w:wordWrap w:val="0"/>
              <w:spacing w:afterAutospacing="1"/>
              <w:jc w:val="center"/>
              <w:rPr>
                <w:rFonts w:ascii="黑体" w:hAnsi="黑体" w:eastAsia="黑体" w:cs="Times New Roman"/>
                <w:sz w:val="18"/>
                <w:szCs w:val="18"/>
              </w:rPr>
            </w:pPr>
            <w:r>
              <w:rPr>
                <w:rFonts w:ascii="黑体" w:hAnsi="黑体" w:eastAsia="黑体"/>
                <w:sz w:val="18"/>
                <w:szCs w:val="18"/>
              </w:rPr>
              <w:t>代理人的有效身份证明原件</w:t>
            </w:r>
          </w:p>
        </w:tc>
        <w:tc>
          <w:tcPr>
            <w:tcW w:w="680" w:type="dxa"/>
            <w:vAlign w:val="center"/>
          </w:tcPr>
          <w:p>
            <w:pPr>
              <w:wordWrap w:val="0"/>
              <w:spacing w:afterAutospacing="1"/>
              <w:jc w:val="center"/>
              <w:rPr>
                <w:rFonts w:ascii="黑体" w:hAnsi="黑体" w:eastAsia="黑体" w:cs="Times New Roman"/>
                <w:sz w:val="18"/>
                <w:szCs w:val="18"/>
              </w:rPr>
            </w:pPr>
            <w:r>
              <w:rPr>
                <w:rFonts w:hint="eastAsia" w:ascii="Times New Roman" w:hAnsi="Times New Roman" w:eastAsia="黑体" w:cs="Times New Roman"/>
                <w:sz w:val="18"/>
                <w:szCs w:val="18"/>
              </w:rPr>
              <w:t>1</w:t>
            </w:r>
            <w:r>
              <w:rPr>
                <w:rFonts w:ascii="黑体" w:hAnsi="黑体" w:eastAsia="黑体"/>
                <w:sz w:val="18"/>
                <w:szCs w:val="18"/>
              </w:rPr>
              <w:t>份</w:t>
            </w:r>
          </w:p>
        </w:tc>
        <w:tc>
          <w:tcPr>
            <w:tcW w:w="2268" w:type="dxa"/>
            <w:vAlign w:val="center"/>
          </w:tcPr>
          <w:p>
            <w:pPr>
              <w:wordWrap w:val="0"/>
              <w:spacing w:afterAutospacing="1"/>
              <w:jc w:val="center"/>
              <w:rPr>
                <w:rFonts w:ascii="黑体" w:hAnsi="黑体" w:eastAsia="黑体" w:cs="Times New Roman"/>
                <w:sz w:val="18"/>
                <w:szCs w:val="18"/>
              </w:rPr>
            </w:pPr>
            <w:r>
              <w:rPr>
                <w:rFonts w:hint="eastAsia" w:ascii="黑体" w:hAnsi="黑体" w:eastAsia="黑体" w:cs="Times New Roman"/>
                <w:sz w:val="18"/>
                <w:szCs w:val="18"/>
              </w:rPr>
              <w:t>查验后退回</w:t>
            </w:r>
          </w:p>
        </w:tc>
      </w:tr>
    </w:tbl>
    <w:p>
      <w:pPr>
        <w:wordWrap w:val="0"/>
        <w:spacing w:line="360" w:lineRule="auto"/>
        <w:ind w:firstLine="480"/>
        <w:contextualSpacing/>
        <w:rPr>
          <w:rFonts w:ascii="黑体" w:hAnsi="黑体" w:eastAsia="黑体"/>
          <w:sz w:val="24"/>
          <w:szCs w:val="24"/>
        </w:rPr>
      </w:pPr>
      <w:r>
        <w:rPr>
          <w:rFonts w:ascii="黑体" w:hAnsi="黑体" w:eastAsia="黑体"/>
          <w:sz w:val="24"/>
          <w:szCs w:val="24"/>
        </w:rPr>
        <w:t>【办理地点】</w:t>
      </w:r>
    </w:p>
    <w:p>
      <w:pPr>
        <w:wordWrap w:val="0"/>
        <w:spacing w:line="360" w:lineRule="auto"/>
        <w:ind w:firstLine="480"/>
        <w:contextualSpacing/>
        <w:rPr>
          <w:rFonts w:ascii="宋体" w:hAnsi="宋体"/>
          <w:sz w:val="24"/>
          <w:szCs w:val="24"/>
        </w:rPr>
      </w:pPr>
      <w:r>
        <w:rPr>
          <w:rFonts w:ascii="宋体" w:hAnsi="宋体"/>
          <w:sz w:val="24"/>
          <w:szCs w:val="24"/>
        </w:rPr>
        <w:t>抵押权人、质权人申请查询纳税人欠税有关情况，可以通过办税服务厅（场所）提出书面申请；</w:t>
      </w:r>
    </w:p>
    <w:p>
      <w:pPr>
        <w:wordWrap w:val="0"/>
        <w:spacing w:line="360" w:lineRule="auto"/>
        <w:ind w:firstLine="480"/>
        <w:contextualSpacing/>
        <w:rPr>
          <w:rFonts w:ascii="宋体" w:hAnsi="宋体"/>
          <w:sz w:val="24"/>
          <w:szCs w:val="24"/>
        </w:rPr>
      </w:pPr>
      <w:r>
        <w:rPr>
          <w:rFonts w:ascii="宋体" w:hAnsi="宋体"/>
          <w:sz w:val="24"/>
          <w:szCs w:val="24"/>
        </w:rPr>
        <w:t>人民法院、人民检察院和公安机关依法查询纳税人涉税保密信息的，应有两名以上工作人员向被查询纳税人所在地的县级或县级以上税务机关提出查询申请。</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【办理机构】</w:t>
      </w:r>
    </w:p>
    <w:p>
      <w:pPr>
        <w:wordWrap w:val="0"/>
        <w:spacing w:line="360" w:lineRule="auto"/>
        <w:ind w:firstLine="480"/>
        <w:rPr>
          <w:rFonts w:ascii="宋体" w:hAnsi="宋体" w:cs="Times New Roman"/>
          <w:sz w:val="24"/>
          <w:szCs w:val="24"/>
        </w:rPr>
      </w:pPr>
      <w:r>
        <w:rPr>
          <w:rFonts w:ascii="宋体" w:hAnsi="宋体"/>
          <w:sz w:val="24"/>
          <w:szCs w:val="24"/>
        </w:rPr>
        <w:t>主管税务机关</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【收费标准】</w:t>
      </w:r>
    </w:p>
    <w:p>
      <w:pPr>
        <w:wordWrap w:val="0"/>
        <w:spacing w:line="360" w:lineRule="auto"/>
        <w:ind w:firstLine="480"/>
        <w:rPr>
          <w:rFonts w:ascii="宋体" w:hAnsi="宋体" w:cs="Times New Roman"/>
          <w:sz w:val="24"/>
          <w:szCs w:val="24"/>
        </w:rPr>
      </w:pPr>
      <w:r>
        <w:rPr>
          <w:rFonts w:ascii="宋体" w:hAnsi="宋体"/>
          <w:sz w:val="24"/>
          <w:szCs w:val="24"/>
        </w:rPr>
        <w:t>不收费</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【办理时间】</w:t>
      </w:r>
    </w:p>
    <w:p>
      <w:pPr>
        <w:wordWrap w:val="0"/>
        <w:spacing w:line="360" w:lineRule="auto"/>
        <w:ind w:firstLine="480"/>
        <w:rPr>
          <w:rFonts w:ascii="宋体" w:hAnsi="宋体" w:cs="Times New Roman"/>
          <w:sz w:val="24"/>
          <w:szCs w:val="24"/>
        </w:rPr>
      </w:pPr>
      <w:r>
        <w:rPr>
          <w:rFonts w:hint="eastAsia" w:ascii="Times New Roman" w:hAnsi="Times New Roman" w:cs="Times New Roman"/>
          <w:sz w:val="24"/>
          <w:szCs w:val="24"/>
        </w:rPr>
        <w:t>20</w:t>
      </w:r>
      <w:r>
        <w:rPr>
          <w:rFonts w:ascii="宋体" w:hAnsi="宋体"/>
          <w:sz w:val="24"/>
          <w:szCs w:val="24"/>
        </w:rPr>
        <w:t>个工作日内办结</w:t>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【联系电话】</w:t>
      </w:r>
    </w:p>
    <w:p>
      <w:pPr>
        <w:ind w:firstLine="480" w:firstLineChars="200"/>
        <w:rPr>
          <w:rFonts w:ascii="宋体" w:hAnsi="宋体"/>
          <w:sz w:val="24"/>
          <w:szCs w:val="24"/>
        </w:rPr>
      </w:pPr>
      <w:r>
        <w:rPr>
          <w:rFonts w:hint="eastAsia" w:ascii="宋体" w:hAnsi="宋体"/>
          <w:sz w:val="24"/>
          <w:szCs w:val="24"/>
        </w:rPr>
        <w:t>各级税务机关对外公开的联系电话，可点击下列链接通过办税地图获取：</w:t>
      </w:r>
      <w:r>
        <w:fldChar w:fldCharType="begin"/>
      </w:r>
      <w:r>
        <w:instrText xml:space="preserve"> HYPERLINK "https://etax.xinjiang.chinatax.gov.cn/yhs-web/cxzx/bmap.html" \l "/bsdt?code=bsdt&amp;id=9916" </w:instrText>
      </w:r>
      <w:r>
        <w:fldChar w:fldCharType="separate"/>
      </w:r>
      <w:r>
        <w:rPr>
          <w:rStyle w:val="11"/>
          <w:rFonts w:ascii="宋体" w:hAnsi="宋体"/>
          <w:sz w:val="24"/>
          <w:szCs w:val="24"/>
        </w:rPr>
        <w:t>https://etax.xinjiang.chinatax.gov.cn/yhs-web/cxzx/bmap.html#/bsdt?code=bsdt&amp;id=9916</w:t>
      </w:r>
      <w:r>
        <w:rPr>
          <w:rStyle w:val="11"/>
          <w:rFonts w:ascii="宋体" w:hAnsi="宋体"/>
          <w:sz w:val="24"/>
          <w:szCs w:val="24"/>
        </w:rPr>
        <w:fldChar w:fldCharType="end"/>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【办理流程】</w:t>
      </w:r>
    </w:p>
    <w:p>
      <w:pPr>
        <w:wordWrap w:val="0"/>
        <w:spacing w:line="360" w:lineRule="auto"/>
        <w:rPr>
          <w:rFonts w:ascii="宋体" w:hAnsi="宋体" w:cs="Times New Roman"/>
          <w:b/>
          <w:bCs/>
        </w:rPr>
      </w:pPr>
      <w:r>
        <w:rPr>
          <w:rFonts w:cs="Times New Roman"/>
        </w:rPr>
        <w:drawing>
          <wp:inline distT="0" distB="0" distL="114300" distR="114300">
            <wp:extent cx="5184140" cy="1925955"/>
            <wp:effectExtent l="0" t="0" r="12700" b="0"/>
            <wp:docPr id="130" name="图片 130" descr="C:\Users\baoqianyu\Desktop\涉税保密查询.png涉税保密查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图片 130" descr="C:\Users\baoqianyu\Desktop\涉税保密查询.png涉税保密查询"/>
                    <pic:cNvPicPr>
                      <a:picLocks noChangeAspect="1"/>
                    </pic:cNvPicPr>
                  </pic:nvPicPr>
                  <pic:blipFill>
                    <a:blip r:embed="rId5"/>
                    <a:srcRect/>
                    <a:stretch>
                      <a:fillRect/>
                    </a:stretch>
                  </pic:blipFill>
                  <pic:spPr>
                    <a:xfrm>
                      <a:off x="0" y="0"/>
                      <a:ext cx="5184140" cy="1925955"/>
                    </a:xfrm>
                    <a:prstGeom prst="rect">
                      <a:avLst/>
                    </a:prstGeom>
                    <a:noFill/>
                    <a:ln>
                      <a:noFill/>
                    </a:ln>
                  </pic:spPr>
                </pic:pic>
              </a:graphicData>
            </a:graphic>
          </wp:inline>
        </w:drawing>
      </w:r>
    </w:p>
    <w:p>
      <w:pPr>
        <w:wordWrap w:val="0"/>
        <w:spacing w:line="360" w:lineRule="auto"/>
        <w:ind w:firstLine="480"/>
        <w:rPr>
          <w:rFonts w:ascii="黑体" w:hAnsi="黑体" w:eastAsia="黑体" w:cs="Times New Roman"/>
          <w:bCs/>
          <w:sz w:val="24"/>
          <w:szCs w:val="24"/>
        </w:rPr>
      </w:pPr>
      <w:r>
        <w:rPr>
          <w:rFonts w:ascii="黑体" w:hAnsi="黑体" w:eastAsia="黑体" w:cs="Times New Roman"/>
          <w:bCs/>
          <w:sz w:val="24"/>
          <w:szCs w:val="24"/>
        </w:rPr>
        <w:t>【查询人注意事项】</w:t>
      </w:r>
    </w:p>
    <w:p>
      <w:pPr>
        <w:wordWrap w:val="0"/>
        <w:spacing w:line="360" w:lineRule="auto"/>
        <w:ind w:firstLine="480"/>
        <w:contextualSpacing/>
        <w:rPr>
          <w:rFonts w:ascii="Times New Roman" w:hAnsi="Times New Roman" w:eastAsia="黑体" w:cs="Times New Roman"/>
        </w:rPr>
      </w:pPr>
      <w:r>
        <w:rPr>
          <w:rFonts w:ascii="宋体" w:hAnsi="宋体"/>
          <w:sz w:val="24"/>
          <w:szCs w:val="24"/>
        </w:rPr>
        <w:t>查询人对报送材料的真实性和合法性承担责任。</w:t>
      </w:r>
    </w:p>
    <w:sectPr>
      <w:pgSz w:w="11906" w:h="16838"/>
      <w:pgMar w:top="1440" w:right="1800" w:bottom="1440" w:left="1800"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Cambria">
    <w:panose1 w:val="02040503050406030204"/>
    <w:charset w:val="00"/>
    <w:family w:val="roman"/>
    <w:pitch w:val="default"/>
    <w:sig w:usb0="E00002FF" w:usb1="400004FF" w:usb2="00000000" w:usb3="00000000" w:csb0="2000019F" w:csb1="00000000"/>
  </w:font>
  <w:font w:name="楷体_GB2312">
    <w:panose1 w:val="02010609030101010101"/>
    <w:charset w:val="86"/>
    <w:family w:val="modern"/>
    <w:pitch w:val="default"/>
    <w:sig w:usb0="00000001" w:usb1="080E0000" w:usb2="00000000" w:usb3="00000000" w:csb0="00040000" w:csb1="00000000"/>
  </w:font>
  <w:font w:name="Microsoft Himalaya">
    <w:panose1 w:val="01010100010101010101"/>
    <w:charset w:val="00"/>
    <w:family w:val="auto"/>
    <w:pitch w:val="default"/>
    <w:sig w:usb0="80000003" w:usb1="00010000" w:usb2="0000004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96AA7"/>
    <w:multiLevelType w:val="multilevel"/>
    <w:tmpl w:val="34B96AA7"/>
    <w:lvl w:ilvl="0" w:tentative="0">
      <w:start w:val="1"/>
      <w:numFmt w:val="bullet"/>
      <w:pStyle w:val="21"/>
      <w:lvlText w:val=""/>
      <w:lvlJc w:val="left"/>
      <w:pPr>
        <w:ind w:left="840" w:hanging="420"/>
      </w:pPr>
      <w:rPr>
        <w:rFonts w:hint="default" w:ascii="Wingdings" w:hAnsi="Wingdings" w:cs="Wingdings"/>
      </w:rPr>
    </w:lvl>
    <w:lvl w:ilvl="1" w:tentative="0">
      <w:start w:val="1"/>
      <w:numFmt w:val="bullet"/>
      <w:lvlText w:val=""/>
      <w:lvlJc w:val="left"/>
      <w:pPr>
        <w:ind w:left="1260" w:hanging="420"/>
      </w:pPr>
      <w:rPr>
        <w:rFonts w:hint="default" w:ascii="Wingdings" w:hAnsi="Wingdings" w:cs="Wingdings"/>
      </w:rPr>
    </w:lvl>
    <w:lvl w:ilvl="2" w:tentative="0">
      <w:start w:val="1"/>
      <w:numFmt w:val="bullet"/>
      <w:lvlText w:val=""/>
      <w:lvlJc w:val="left"/>
      <w:pPr>
        <w:ind w:left="1680" w:hanging="420"/>
      </w:pPr>
      <w:rPr>
        <w:rFonts w:hint="default" w:ascii="Wingdings" w:hAnsi="Wingdings" w:cs="Wingdings"/>
      </w:rPr>
    </w:lvl>
    <w:lvl w:ilvl="3" w:tentative="0">
      <w:start w:val="1"/>
      <w:numFmt w:val="bullet"/>
      <w:lvlText w:val=""/>
      <w:lvlJc w:val="left"/>
      <w:pPr>
        <w:ind w:left="2100" w:hanging="420"/>
      </w:pPr>
      <w:rPr>
        <w:rFonts w:hint="default" w:ascii="Wingdings" w:hAnsi="Wingdings" w:cs="Wingdings"/>
      </w:rPr>
    </w:lvl>
    <w:lvl w:ilvl="4" w:tentative="0">
      <w:start w:val="1"/>
      <w:numFmt w:val="bullet"/>
      <w:lvlText w:val=""/>
      <w:lvlJc w:val="left"/>
      <w:pPr>
        <w:ind w:left="2520" w:hanging="420"/>
      </w:pPr>
      <w:rPr>
        <w:rFonts w:hint="default" w:ascii="Wingdings" w:hAnsi="Wingdings" w:cs="Wingdings"/>
      </w:rPr>
    </w:lvl>
    <w:lvl w:ilvl="5" w:tentative="0">
      <w:start w:val="1"/>
      <w:numFmt w:val="bullet"/>
      <w:lvlText w:val=""/>
      <w:lvlJc w:val="left"/>
      <w:pPr>
        <w:ind w:left="2940" w:hanging="420"/>
      </w:pPr>
      <w:rPr>
        <w:rFonts w:hint="default" w:ascii="Wingdings" w:hAnsi="Wingdings" w:cs="Wingdings"/>
      </w:rPr>
    </w:lvl>
    <w:lvl w:ilvl="6" w:tentative="0">
      <w:start w:val="1"/>
      <w:numFmt w:val="bullet"/>
      <w:lvlText w:val=""/>
      <w:lvlJc w:val="left"/>
      <w:pPr>
        <w:ind w:left="3360" w:hanging="420"/>
      </w:pPr>
      <w:rPr>
        <w:rFonts w:hint="default" w:ascii="Wingdings" w:hAnsi="Wingdings" w:cs="Wingdings"/>
      </w:rPr>
    </w:lvl>
    <w:lvl w:ilvl="7" w:tentative="0">
      <w:start w:val="1"/>
      <w:numFmt w:val="bullet"/>
      <w:lvlText w:val=""/>
      <w:lvlJc w:val="left"/>
      <w:pPr>
        <w:ind w:left="3780" w:hanging="420"/>
      </w:pPr>
      <w:rPr>
        <w:rFonts w:hint="default" w:ascii="Wingdings" w:hAnsi="Wingdings" w:cs="Wingdings"/>
      </w:rPr>
    </w:lvl>
    <w:lvl w:ilvl="8" w:tentative="0">
      <w:start w:val="1"/>
      <w:numFmt w:val="bullet"/>
      <w:lvlText w:val=""/>
      <w:lvlJc w:val="left"/>
      <w:pPr>
        <w:ind w:left="4200" w:hanging="420"/>
      </w:pPr>
      <w:rPr>
        <w:rFonts w:hint="default" w:ascii="Wingdings" w:hAnsi="Wingdings" w:cs="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oNotHyphenateCaps/>
  <w:drawingGridHorizontalSpacing w:val="111"/>
  <w:drawingGridVerticalSpacing w:val="16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7D30"/>
    <w:rsid w:val="00021C4C"/>
    <w:rsid w:val="00042277"/>
    <w:rsid w:val="0006567A"/>
    <w:rsid w:val="0007576C"/>
    <w:rsid w:val="00087E92"/>
    <w:rsid w:val="00092BB9"/>
    <w:rsid w:val="000B4CFA"/>
    <w:rsid w:val="001107BE"/>
    <w:rsid w:val="0013231F"/>
    <w:rsid w:val="00145064"/>
    <w:rsid w:val="00172A27"/>
    <w:rsid w:val="001A3778"/>
    <w:rsid w:val="001C3EAC"/>
    <w:rsid w:val="001D29D2"/>
    <w:rsid w:val="001E6293"/>
    <w:rsid w:val="002011F6"/>
    <w:rsid w:val="002108A5"/>
    <w:rsid w:val="00210C89"/>
    <w:rsid w:val="0023585A"/>
    <w:rsid w:val="0025616D"/>
    <w:rsid w:val="00282760"/>
    <w:rsid w:val="00287752"/>
    <w:rsid w:val="00291FCB"/>
    <w:rsid w:val="00292493"/>
    <w:rsid w:val="002A0D16"/>
    <w:rsid w:val="002C5B23"/>
    <w:rsid w:val="002C6485"/>
    <w:rsid w:val="002E5EBD"/>
    <w:rsid w:val="00302209"/>
    <w:rsid w:val="003164F8"/>
    <w:rsid w:val="00331042"/>
    <w:rsid w:val="00334C00"/>
    <w:rsid w:val="00350664"/>
    <w:rsid w:val="003520E8"/>
    <w:rsid w:val="00366C9A"/>
    <w:rsid w:val="00396D1D"/>
    <w:rsid w:val="003A09DF"/>
    <w:rsid w:val="003A544D"/>
    <w:rsid w:val="003B1963"/>
    <w:rsid w:val="003B2CA3"/>
    <w:rsid w:val="003C34A9"/>
    <w:rsid w:val="003C68CB"/>
    <w:rsid w:val="003D6072"/>
    <w:rsid w:val="0040027E"/>
    <w:rsid w:val="00413400"/>
    <w:rsid w:val="004166C1"/>
    <w:rsid w:val="004250FE"/>
    <w:rsid w:val="00427459"/>
    <w:rsid w:val="00430C8F"/>
    <w:rsid w:val="00433EBA"/>
    <w:rsid w:val="00441B8A"/>
    <w:rsid w:val="004460D8"/>
    <w:rsid w:val="00455705"/>
    <w:rsid w:val="0046753B"/>
    <w:rsid w:val="004677A8"/>
    <w:rsid w:val="00467B01"/>
    <w:rsid w:val="00481024"/>
    <w:rsid w:val="00484982"/>
    <w:rsid w:val="0048703F"/>
    <w:rsid w:val="00487CAE"/>
    <w:rsid w:val="00496ABE"/>
    <w:rsid w:val="00497E9D"/>
    <w:rsid w:val="004A3777"/>
    <w:rsid w:val="004B0D41"/>
    <w:rsid w:val="004D0D8A"/>
    <w:rsid w:val="004D6B6B"/>
    <w:rsid w:val="004F02F2"/>
    <w:rsid w:val="0050284C"/>
    <w:rsid w:val="00503D9F"/>
    <w:rsid w:val="00513B2A"/>
    <w:rsid w:val="0052033E"/>
    <w:rsid w:val="005333BA"/>
    <w:rsid w:val="00554A85"/>
    <w:rsid w:val="0056667A"/>
    <w:rsid w:val="00587859"/>
    <w:rsid w:val="005946CB"/>
    <w:rsid w:val="005955A6"/>
    <w:rsid w:val="005A4B4E"/>
    <w:rsid w:val="005B5663"/>
    <w:rsid w:val="005B7A09"/>
    <w:rsid w:val="005D047E"/>
    <w:rsid w:val="005E7EC0"/>
    <w:rsid w:val="00601BEC"/>
    <w:rsid w:val="00603689"/>
    <w:rsid w:val="006165B1"/>
    <w:rsid w:val="0063091A"/>
    <w:rsid w:val="006476A9"/>
    <w:rsid w:val="006479E2"/>
    <w:rsid w:val="00663EC6"/>
    <w:rsid w:val="00666701"/>
    <w:rsid w:val="00670BB1"/>
    <w:rsid w:val="0067243F"/>
    <w:rsid w:val="00697FAE"/>
    <w:rsid w:val="006C6D1B"/>
    <w:rsid w:val="006D3101"/>
    <w:rsid w:val="006E0D2F"/>
    <w:rsid w:val="006F54D3"/>
    <w:rsid w:val="00704749"/>
    <w:rsid w:val="007076C6"/>
    <w:rsid w:val="0071019B"/>
    <w:rsid w:val="00717D06"/>
    <w:rsid w:val="007247D9"/>
    <w:rsid w:val="00730940"/>
    <w:rsid w:val="00767997"/>
    <w:rsid w:val="007700D9"/>
    <w:rsid w:val="007737AD"/>
    <w:rsid w:val="00780052"/>
    <w:rsid w:val="007850F6"/>
    <w:rsid w:val="00787C60"/>
    <w:rsid w:val="00791417"/>
    <w:rsid w:val="0079172D"/>
    <w:rsid w:val="00796C3C"/>
    <w:rsid w:val="007A7587"/>
    <w:rsid w:val="007E67AA"/>
    <w:rsid w:val="008117F3"/>
    <w:rsid w:val="0082260D"/>
    <w:rsid w:val="0083163D"/>
    <w:rsid w:val="008527A4"/>
    <w:rsid w:val="008542E9"/>
    <w:rsid w:val="00863F44"/>
    <w:rsid w:val="00871B33"/>
    <w:rsid w:val="00881252"/>
    <w:rsid w:val="008920DD"/>
    <w:rsid w:val="008A082F"/>
    <w:rsid w:val="008A2A55"/>
    <w:rsid w:val="008B6373"/>
    <w:rsid w:val="008F0396"/>
    <w:rsid w:val="00917C79"/>
    <w:rsid w:val="009224E0"/>
    <w:rsid w:val="00974762"/>
    <w:rsid w:val="00981519"/>
    <w:rsid w:val="0098545D"/>
    <w:rsid w:val="00985AC8"/>
    <w:rsid w:val="00985EA5"/>
    <w:rsid w:val="00996AD4"/>
    <w:rsid w:val="009A3650"/>
    <w:rsid w:val="009A7630"/>
    <w:rsid w:val="009B705C"/>
    <w:rsid w:val="009B7553"/>
    <w:rsid w:val="009C4B52"/>
    <w:rsid w:val="009E2477"/>
    <w:rsid w:val="009E7FFC"/>
    <w:rsid w:val="009F6ED0"/>
    <w:rsid w:val="00A03240"/>
    <w:rsid w:val="00A110B7"/>
    <w:rsid w:val="00A144B1"/>
    <w:rsid w:val="00A14F2E"/>
    <w:rsid w:val="00A45CF5"/>
    <w:rsid w:val="00A66F0B"/>
    <w:rsid w:val="00A77888"/>
    <w:rsid w:val="00A77F5E"/>
    <w:rsid w:val="00A86A1F"/>
    <w:rsid w:val="00A94672"/>
    <w:rsid w:val="00AA123C"/>
    <w:rsid w:val="00AA2DE0"/>
    <w:rsid w:val="00AA3372"/>
    <w:rsid w:val="00AB1836"/>
    <w:rsid w:val="00AB5B14"/>
    <w:rsid w:val="00AB6E50"/>
    <w:rsid w:val="00AB7516"/>
    <w:rsid w:val="00AB7C23"/>
    <w:rsid w:val="00AC09A7"/>
    <w:rsid w:val="00AD27AA"/>
    <w:rsid w:val="00AD4827"/>
    <w:rsid w:val="00AE2CFB"/>
    <w:rsid w:val="00B02AC9"/>
    <w:rsid w:val="00B13F9E"/>
    <w:rsid w:val="00B25CEE"/>
    <w:rsid w:val="00B25DC6"/>
    <w:rsid w:val="00B268CC"/>
    <w:rsid w:val="00B315E6"/>
    <w:rsid w:val="00B50C40"/>
    <w:rsid w:val="00B83AD8"/>
    <w:rsid w:val="00B937E3"/>
    <w:rsid w:val="00B95228"/>
    <w:rsid w:val="00BA04A6"/>
    <w:rsid w:val="00BA7C58"/>
    <w:rsid w:val="00BF087B"/>
    <w:rsid w:val="00C05EB3"/>
    <w:rsid w:val="00C137E9"/>
    <w:rsid w:val="00C21027"/>
    <w:rsid w:val="00C54B1D"/>
    <w:rsid w:val="00C61ABB"/>
    <w:rsid w:val="00C753C0"/>
    <w:rsid w:val="00C947A6"/>
    <w:rsid w:val="00CA6974"/>
    <w:rsid w:val="00CB7BC9"/>
    <w:rsid w:val="00CE2C1D"/>
    <w:rsid w:val="00CE354F"/>
    <w:rsid w:val="00CF3F6C"/>
    <w:rsid w:val="00D15EA5"/>
    <w:rsid w:val="00D2252D"/>
    <w:rsid w:val="00D32363"/>
    <w:rsid w:val="00D510E7"/>
    <w:rsid w:val="00D56C70"/>
    <w:rsid w:val="00D82B55"/>
    <w:rsid w:val="00DA004B"/>
    <w:rsid w:val="00DA01B2"/>
    <w:rsid w:val="00DB7732"/>
    <w:rsid w:val="00DC01ED"/>
    <w:rsid w:val="00DE222E"/>
    <w:rsid w:val="00DE656B"/>
    <w:rsid w:val="00DE6E1D"/>
    <w:rsid w:val="00E03446"/>
    <w:rsid w:val="00E20FAD"/>
    <w:rsid w:val="00E344BE"/>
    <w:rsid w:val="00E5252D"/>
    <w:rsid w:val="00EA5F75"/>
    <w:rsid w:val="00F0750D"/>
    <w:rsid w:val="00F21A3C"/>
    <w:rsid w:val="00F36041"/>
    <w:rsid w:val="00F421D3"/>
    <w:rsid w:val="00F76AE2"/>
    <w:rsid w:val="00F94BD3"/>
    <w:rsid w:val="00FA75A2"/>
    <w:rsid w:val="00FB3932"/>
    <w:rsid w:val="00FC1CD5"/>
    <w:rsid w:val="00FC6CC3"/>
    <w:rsid w:val="00FE681C"/>
    <w:rsid w:val="00FE77BE"/>
    <w:rsid w:val="00FF4579"/>
    <w:rsid w:val="00FF76CA"/>
    <w:rsid w:val="01960B20"/>
    <w:rsid w:val="04982A60"/>
    <w:rsid w:val="05DC5588"/>
    <w:rsid w:val="05F22A85"/>
    <w:rsid w:val="08A42DD6"/>
    <w:rsid w:val="097B3CBD"/>
    <w:rsid w:val="0F4C5790"/>
    <w:rsid w:val="0FFC43C1"/>
    <w:rsid w:val="10383BCA"/>
    <w:rsid w:val="10D75705"/>
    <w:rsid w:val="147B55D9"/>
    <w:rsid w:val="154C0B99"/>
    <w:rsid w:val="172948F9"/>
    <w:rsid w:val="1733673A"/>
    <w:rsid w:val="17FF2EA3"/>
    <w:rsid w:val="18D57965"/>
    <w:rsid w:val="1B8D1AA8"/>
    <w:rsid w:val="1BBA43F5"/>
    <w:rsid w:val="1EB55C71"/>
    <w:rsid w:val="21721972"/>
    <w:rsid w:val="28F5611D"/>
    <w:rsid w:val="2CD06F3C"/>
    <w:rsid w:val="345F5C2F"/>
    <w:rsid w:val="36B50402"/>
    <w:rsid w:val="36BC131B"/>
    <w:rsid w:val="371C197C"/>
    <w:rsid w:val="379C4E34"/>
    <w:rsid w:val="387315B5"/>
    <w:rsid w:val="392F6B77"/>
    <w:rsid w:val="3CF53B3E"/>
    <w:rsid w:val="3D7273AE"/>
    <w:rsid w:val="3DC96C18"/>
    <w:rsid w:val="400D35E5"/>
    <w:rsid w:val="406A324A"/>
    <w:rsid w:val="433F78B8"/>
    <w:rsid w:val="45BA6A8B"/>
    <w:rsid w:val="483A629E"/>
    <w:rsid w:val="4CFB25F1"/>
    <w:rsid w:val="4D2B7EF4"/>
    <w:rsid w:val="4D7231E6"/>
    <w:rsid w:val="4D7E1755"/>
    <w:rsid w:val="4EAB1656"/>
    <w:rsid w:val="53026F2F"/>
    <w:rsid w:val="5533149A"/>
    <w:rsid w:val="557D3ADD"/>
    <w:rsid w:val="56880EA1"/>
    <w:rsid w:val="590D2B6F"/>
    <w:rsid w:val="5A29535A"/>
    <w:rsid w:val="5AA8360F"/>
    <w:rsid w:val="5ACF6A01"/>
    <w:rsid w:val="60606167"/>
    <w:rsid w:val="67F11E4C"/>
    <w:rsid w:val="6A696826"/>
    <w:rsid w:val="6BC77C3A"/>
    <w:rsid w:val="71BA7D98"/>
    <w:rsid w:val="71EE381F"/>
    <w:rsid w:val="73B3631B"/>
    <w:rsid w:val="74E243F8"/>
    <w:rsid w:val="78B710DC"/>
    <w:rsid w:val="798C34E9"/>
    <w:rsid w:val="79E375E6"/>
    <w:rsid w:val="7A77124A"/>
    <w:rsid w:val="7BF24248"/>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nhideWhenUsed="0" w:uiPriority="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qFormat="1" w:uiPriority="99" w:semiHidden="0"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宋体" w:cs="宋体"/>
      <w:kern w:val="2"/>
      <w:sz w:val="21"/>
      <w:szCs w:val="21"/>
      <w:lang w:val="en-US" w:eastAsia="zh-CN" w:bidi="ar-SA"/>
    </w:rPr>
  </w:style>
  <w:style w:type="paragraph" w:styleId="2">
    <w:name w:val="heading 1"/>
    <w:basedOn w:val="1"/>
    <w:next w:val="1"/>
    <w:link w:val="39"/>
    <w:qFormat/>
    <w:locked/>
    <w:uiPriority w:val="0"/>
    <w:pPr>
      <w:keepNext/>
      <w:keepLines/>
      <w:spacing w:before="340" w:after="330" w:line="578" w:lineRule="auto"/>
      <w:outlineLvl w:val="0"/>
    </w:pPr>
    <w:rPr>
      <w:rFonts w:cs="Times New Roman"/>
      <w:b/>
      <w:bCs/>
      <w:kern w:val="44"/>
      <w:sz w:val="44"/>
      <w:szCs w:val="44"/>
    </w:rPr>
  </w:style>
  <w:style w:type="paragraph" w:styleId="3">
    <w:name w:val="heading 2"/>
    <w:basedOn w:val="1"/>
    <w:next w:val="1"/>
    <w:link w:val="14"/>
    <w:qFormat/>
    <w:locked/>
    <w:uiPriority w:val="9"/>
    <w:pPr>
      <w:keepNext/>
      <w:keepLines/>
      <w:spacing w:before="260" w:after="260" w:line="416" w:lineRule="auto"/>
      <w:outlineLvl w:val="1"/>
    </w:pPr>
    <w:rPr>
      <w:rFonts w:ascii="Cambria" w:hAnsi="Cambria" w:cs="Times New Roman"/>
      <w:b/>
      <w:bCs/>
      <w:kern w:val="0"/>
      <w:sz w:val="32"/>
      <w:szCs w:val="32"/>
    </w:rPr>
  </w:style>
  <w:style w:type="paragraph" w:styleId="4">
    <w:name w:val="heading 3"/>
    <w:basedOn w:val="1"/>
    <w:next w:val="1"/>
    <w:link w:val="15"/>
    <w:qFormat/>
    <w:uiPriority w:val="9"/>
    <w:pPr>
      <w:keepNext/>
      <w:topLinePunct/>
      <w:adjustRightInd w:val="0"/>
      <w:snapToGrid w:val="0"/>
      <w:spacing w:beforeLines="125" w:afterLines="125"/>
      <w:ind w:firstLine="510"/>
      <w:outlineLvl w:val="2"/>
    </w:pPr>
    <w:rPr>
      <w:rFonts w:ascii="Times New Roman" w:hAnsi="Times New Roman" w:eastAsia="黑体" w:cs="Times New Roman"/>
      <w:b/>
      <w:bCs/>
      <w:kern w:val="24"/>
      <w:sz w:val="28"/>
      <w:szCs w:val="28"/>
    </w:rPr>
  </w:style>
  <w:style w:type="character" w:default="1" w:styleId="10">
    <w:name w:val="Default Paragraph Font"/>
    <w:semiHidden/>
    <w:unhideWhenUsed/>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5">
    <w:name w:val="Document Map"/>
    <w:basedOn w:val="1"/>
    <w:link w:val="35"/>
    <w:unhideWhenUsed/>
    <w:qFormat/>
    <w:uiPriority w:val="99"/>
    <w:rPr>
      <w:rFonts w:ascii="宋体" w:cs="Times New Roman"/>
      <w:kern w:val="0"/>
      <w:sz w:val="18"/>
      <w:szCs w:val="18"/>
    </w:rPr>
  </w:style>
  <w:style w:type="paragraph" w:styleId="6">
    <w:name w:val="Plain Text"/>
    <w:basedOn w:val="1"/>
    <w:link w:val="16"/>
    <w:qFormat/>
    <w:uiPriority w:val="99"/>
    <w:rPr>
      <w:rFonts w:ascii="宋体" w:hAnsi="Courier New" w:cs="Times New Roman"/>
    </w:rPr>
  </w:style>
  <w:style w:type="paragraph" w:styleId="7">
    <w:name w:val="Balloon Text"/>
    <w:basedOn w:val="1"/>
    <w:link w:val="34"/>
    <w:semiHidden/>
    <w:qFormat/>
    <w:uiPriority w:val="99"/>
    <w:rPr>
      <w:rFonts w:cs="Times New Roman"/>
      <w:kern w:val="0"/>
      <w:sz w:val="2"/>
      <w:szCs w:val="2"/>
    </w:rPr>
  </w:style>
  <w:style w:type="paragraph" w:styleId="8">
    <w:name w:val="footer"/>
    <w:basedOn w:val="1"/>
    <w:link w:val="17"/>
    <w:qFormat/>
    <w:uiPriority w:val="99"/>
    <w:pPr>
      <w:tabs>
        <w:tab w:val="center" w:pos="4153"/>
        <w:tab w:val="right" w:pos="8306"/>
      </w:tabs>
      <w:snapToGrid w:val="0"/>
      <w:jc w:val="left"/>
    </w:pPr>
    <w:rPr>
      <w:rFonts w:ascii="Calibri" w:hAnsi="Calibri" w:cs="Times New Roman"/>
      <w:kern w:val="0"/>
      <w:sz w:val="18"/>
      <w:szCs w:val="18"/>
    </w:rPr>
  </w:style>
  <w:style w:type="paragraph" w:styleId="9">
    <w:name w:val="header"/>
    <w:basedOn w:val="1"/>
    <w:link w:val="18"/>
    <w:qFormat/>
    <w:uiPriority w:val="99"/>
    <w:pPr>
      <w:pBdr>
        <w:bottom w:val="single" w:color="auto" w:sz="6" w:space="1"/>
      </w:pBdr>
      <w:tabs>
        <w:tab w:val="center" w:pos="4153"/>
        <w:tab w:val="right" w:pos="8306"/>
      </w:tabs>
      <w:snapToGrid w:val="0"/>
      <w:jc w:val="center"/>
    </w:pPr>
    <w:rPr>
      <w:rFonts w:ascii="Calibri" w:hAnsi="Calibri" w:cs="Times New Roman"/>
      <w:kern w:val="0"/>
      <w:sz w:val="18"/>
      <w:szCs w:val="18"/>
    </w:rPr>
  </w:style>
  <w:style w:type="character" w:styleId="11">
    <w:name w:val="Hyperlink"/>
    <w:basedOn w:val="10"/>
    <w:unhideWhenUsed/>
    <w:qFormat/>
    <w:uiPriority w:val="99"/>
    <w:rPr>
      <w:color w:val="0000FF"/>
      <w:u w:val="single"/>
    </w:rPr>
  </w:style>
  <w:style w:type="table" w:styleId="13">
    <w:name w:val="Table Grid"/>
    <w:basedOn w:val="12"/>
    <w:qFormat/>
    <w:uiPriority w:val="99"/>
    <w:rPr>
      <w:rFonts w:cs="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4">
    <w:name w:val="标题 2 字符"/>
    <w:link w:val="3"/>
    <w:qFormat/>
    <w:locked/>
    <w:uiPriority w:val="9"/>
    <w:rPr>
      <w:rFonts w:ascii="Cambria" w:hAnsi="Cambria" w:eastAsia="宋体" w:cs="Cambria"/>
      <w:b/>
      <w:bCs/>
      <w:sz w:val="32"/>
      <w:szCs w:val="32"/>
    </w:rPr>
  </w:style>
  <w:style w:type="character" w:customStyle="1" w:styleId="15">
    <w:name w:val="标题 3 字符"/>
    <w:link w:val="4"/>
    <w:qFormat/>
    <w:locked/>
    <w:uiPriority w:val="9"/>
    <w:rPr>
      <w:rFonts w:ascii="Times New Roman" w:hAnsi="Times New Roman" w:eastAsia="黑体" w:cs="Times New Roman"/>
      <w:b/>
      <w:bCs/>
      <w:kern w:val="24"/>
      <w:sz w:val="28"/>
      <w:szCs w:val="28"/>
    </w:rPr>
  </w:style>
  <w:style w:type="character" w:customStyle="1" w:styleId="16">
    <w:name w:val="纯文本 字符"/>
    <w:link w:val="6"/>
    <w:qFormat/>
    <w:locked/>
    <w:uiPriority w:val="99"/>
    <w:rPr>
      <w:rFonts w:ascii="宋体" w:hAnsi="Courier New" w:cs="宋体"/>
      <w:kern w:val="2"/>
      <w:sz w:val="21"/>
      <w:szCs w:val="21"/>
    </w:rPr>
  </w:style>
  <w:style w:type="character" w:customStyle="1" w:styleId="17">
    <w:name w:val="页脚 字符"/>
    <w:link w:val="8"/>
    <w:qFormat/>
    <w:locked/>
    <w:uiPriority w:val="99"/>
    <w:rPr>
      <w:sz w:val="18"/>
      <w:szCs w:val="18"/>
    </w:rPr>
  </w:style>
  <w:style w:type="character" w:customStyle="1" w:styleId="18">
    <w:name w:val="页眉 字符"/>
    <w:link w:val="9"/>
    <w:qFormat/>
    <w:locked/>
    <w:uiPriority w:val="99"/>
    <w:rPr>
      <w:sz w:val="18"/>
      <w:szCs w:val="18"/>
    </w:rPr>
  </w:style>
  <w:style w:type="paragraph" w:customStyle="1" w:styleId="19">
    <w:name w:val="列出段落1"/>
    <w:basedOn w:val="1"/>
    <w:link w:val="22"/>
    <w:qFormat/>
    <w:uiPriority w:val="99"/>
    <w:pPr>
      <w:ind w:firstLine="420" w:firstLineChars="200"/>
    </w:pPr>
  </w:style>
  <w:style w:type="character" w:customStyle="1" w:styleId="20">
    <w:name w:val="ST"/>
    <w:qFormat/>
    <w:uiPriority w:val="99"/>
    <w:rPr>
      <w:rFonts w:ascii="宋体" w:eastAsia="宋体" w:cs="宋体"/>
    </w:rPr>
  </w:style>
  <w:style w:type="paragraph" w:customStyle="1" w:styleId="21">
    <w:name w:val="标签"/>
    <w:basedOn w:val="19"/>
    <w:qFormat/>
    <w:uiPriority w:val="99"/>
    <w:pPr>
      <w:numPr>
        <w:ilvl w:val="0"/>
        <w:numId w:val="1"/>
      </w:numPr>
      <w:tabs>
        <w:tab w:val="left" w:pos="360"/>
      </w:tabs>
      <w:adjustRightInd w:val="0"/>
      <w:snapToGrid w:val="0"/>
      <w:spacing w:line="360" w:lineRule="auto"/>
      <w:ind w:firstLine="0" w:firstLineChars="0"/>
    </w:pPr>
    <w:rPr>
      <w:rFonts w:ascii="宋体" w:hAnsi="宋体"/>
      <w:sz w:val="24"/>
      <w:szCs w:val="24"/>
    </w:rPr>
  </w:style>
  <w:style w:type="character" w:customStyle="1" w:styleId="22">
    <w:name w:val="列出段落 Char"/>
    <w:basedOn w:val="10"/>
    <w:link w:val="19"/>
    <w:qFormat/>
    <w:locked/>
    <w:uiPriority w:val="99"/>
  </w:style>
  <w:style w:type="paragraph" w:customStyle="1" w:styleId="23">
    <w:name w:val="正文部分"/>
    <w:basedOn w:val="1"/>
    <w:link w:val="24"/>
    <w:qFormat/>
    <w:uiPriority w:val="99"/>
    <w:pPr>
      <w:adjustRightInd w:val="0"/>
      <w:snapToGrid w:val="0"/>
      <w:spacing w:line="360" w:lineRule="auto"/>
      <w:ind w:firstLine="480" w:firstLineChars="200"/>
    </w:pPr>
    <w:rPr>
      <w:rFonts w:ascii="宋体" w:hAnsi="宋体" w:cs="Times New Roman"/>
      <w:sz w:val="24"/>
      <w:szCs w:val="24"/>
    </w:rPr>
  </w:style>
  <w:style w:type="character" w:customStyle="1" w:styleId="24">
    <w:name w:val="正文部分 字符"/>
    <w:link w:val="23"/>
    <w:qFormat/>
    <w:locked/>
    <w:uiPriority w:val="99"/>
    <w:rPr>
      <w:rFonts w:ascii="宋体" w:hAnsi="宋体" w:eastAsia="宋体" w:cs="宋体"/>
      <w:kern w:val="2"/>
      <w:sz w:val="24"/>
      <w:szCs w:val="24"/>
    </w:rPr>
  </w:style>
  <w:style w:type="paragraph" w:customStyle="1" w:styleId="25">
    <w:name w:val="4.1 XX优惠"/>
    <w:basedOn w:val="3"/>
    <w:link w:val="26"/>
    <w:qFormat/>
    <w:uiPriority w:val="99"/>
    <w:pPr>
      <w:topLinePunct/>
      <w:adjustRightInd w:val="0"/>
      <w:spacing w:before="660" w:line="240" w:lineRule="auto"/>
      <w:ind w:firstLine="510"/>
    </w:pPr>
    <w:rPr>
      <w:rFonts w:ascii="Arial" w:hAnsi="Arial" w:eastAsia="黑体"/>
      <w:kern w:val="24"/>
    </w:rPr>
  </w:style>
  <w:style w:type="character" w:customStyle="1" w:styleId="26">
    <w:name w:val="4.1 XX优惠 字符"/>
    <w:link w:val="25"/>
    <w:qFormat/>
    <w:locked/>
    <w:uiPriority w:val="99"/>
    <w:rPr>
      <w:rFonts w:ascii="Arial" w:hAnsi="Arial" w:eastAsia="黑体" w:cs="Arial"/>
      <w:b/>
      <w:bCs/>
      <w:kern w:val="24"/>
      <w:sz w:val="32"/>
      <w:szCs w:val="32"/>
      <w:lang w:val="en-US" w:eastAsia="zh-CN"/>
    </w:rPr>
  </w:style>
  <w:style w:type="paragraph" w:customStyle="1" w:styleId="27">
    <w:name w:val="4.1.1 XX优惠"/>
    <w:basedOn w:val="4"/>
    <w:link w:val="28"/>
    <w:qFormat/>
    <w:uiPriority w:val="99"/>
    <w:pPr>
      <w:spacing w:beforeLines="0" w:after="260"/>
    </w:pPr>
    <w:rPr>
      <w:rFonts w:ascii="Calibri" w:hAnsi="Calibri"/>
    </w:rPr>
  </w:style>
  <w:style w:type="character" w:customStyle="1" w:styleId="28">
    <w:name w:val="4.1.1 XX优惠 字符"/>
    <w:link w:val="27"/>
    <w:qFormat/>
    <w:locked/>
    <w:uiPriority w:val="99"/>
    <w:rPr>
      <w:rFonts w:eastAsia="黑体"/>
      <w:b/>
      <w:bCs/>
      <w:kern w:val="24"/>
      <w:sz w:val="28"/>
      <w:szCs w:val="28"/>
      <w:lang w:val="en-US" w:eastAsia="zh-CN"/>
    </w:rPr>
  </w:style>
  <w:style w:type="paragraph" w:customStyle="1" w:styleId="29">
    <w:name w:val="正文正文"/>
    <w:basedOn w:val="1"/>
    <w:link w:val="30"/>
    <w:qFormat/>
    <w:uiPriority w:val="99"/>
    <w:pPr>
      <w:adjustRightInd w:val="0"/>
      <w:snapToGrid w:val="0"/>
      <w:spacing w:line="360" w:lineRule="auto"/>
      <w:ind w:firstLine="480" w:firstLineChars="200"/>
    </w:pPr>
    <w:rPr>
      <w:rFonts w:ascii="宋体" w:hAnsi="宋体" w:cs="Times New Roman"/>
      <w:kern w:val="0"/>
      <w:sz w:val="24"/>
      <w:szCs w:val="24"/>
    </w:rPr>
  </w:style>
  <w:style w:type="character" w:customStyle="1" w:styleId="30">
    <w:name w:val="正文正文 字符"/>
    <w:link w:val="29"/>
    <w:qFormat/>
    <w:locked/>
    <w:uiPriority w:val="99"/>
    <w:rPr>
      <w:rFonts w:ascii="宋体" w:hAnsi="宋体" w:eastAsia="宋体" w:cs="宋体"/>
      <w:sz w:val="24"/>
      <w:szCs w:val="24"/>
      <w:lang w:val="en-US" w:eastAsia="zh-CN"/>
    </w:rPr>
  </w:style>
  <w:style w:type="character" w:customStyle="1" w:styleId="31">
    <w:name w:val="纯文本 字符1"/>
    <w:semiHidden/>
    <w:qFormat/>
    <w:uiPriority w:val="99"/>
    <w:rPr>
      <w:rFonts w:ascii="宋体" w:hAnsi="Courier New" w:eastAsia="宋体" w:cs="宋体"/>
      <w:kern w:val="2"/>
      <w:sz w:val="21"/>
      <w:szCs w:val="21"/>
    </w:rPr>
  </w:style>
  <w:style w:type="paragraph" w:customStyle="1" w:styleId="32">
    <w:name w:val="【事项描】"/>
    <w:basedOn w:val="1"/>
    <w:link w:val="33"/>
    <w:qFormat/>
    <w:uiPriority w:val="99"/>
    <w:pPr>
      <w:adjustRightInd w:val="0"/>
      <w:snapToGrid w:val="0"/>
      <w:spacing w:line="360" w:lineRule="auto"/>
      <w:ind w:firstLine="482" w:firstLineChars="200"/>
    </w:pPr>
    <w:rPr>
      <w:rFonts w:ascii="宋体" w:hAnsi="宋体" w:cs="Times New Roman"/>
      <w:b/>
      <w:bCs/>
      <w:kern w:val="0"/>
      <w:sz w:val="24"/>
      <w:szCs w:val="24"/>
    </w:rPr>
  </w:style>
  <w:style w:type="character" w:customStyle="1" w:styleId="33">
    <w:name w:val="【事项描】 字符"/>
    <w:link w:val="32"/>
    <w:qFormat/>
    <w:locked/>
    <w:uiPriority w:val="99"/>
    <w:rPr>
      <w:rFonts w:ascii="宋体" w:hAnsi="宋体" w:eastAsia="宋体" w:cs="宋体"/>
      <w:b/>
      <w:bCs/>
      <w:sz w:val="24"/>
      <w:szCs w:val="24"/>
    </w:rPr>
  </w:style>
  <w:style w:type="character" w:customStyle="1" w:styleId="34">
    <w:name w:val="批注框文本 字符"/>
    <w:link w:val="7"/>
    <w:semiHidden/>
    <w:qFormat/>
    <w:locked/>
    <w:uiPriority w:val="99"/>
    <w:rPr>
      <w:rFonts w:ascii="等线" w:hAnsi="等线" w:eastAsia="等线" w:cs="等线"/>
      <w:sz w:val="2"/>
      <w:szCs w:val="2"/>
    </w:rPr>
  </w:style>
  <w:style w:type="character" w:customStyle="1" w:styleId="35">
    <w:name w:val="文档结构图 字符"/>
    <w:link w:val="5"/>
    <w:semiHidden/>
    <w:qFormat/>
    <w:uiPriority w:val="99"/>
    <w:rPr>
      <w:rFonts w:ascii="宋体" w:hAnsi="等线" w:cs="等线"/>
      <w:sz w:val="18"/>
      <w:szCs w:val="18"/>
    </w:rPr>
  </w:style>
  <w:style w:type="paragraph" w:customStyle="1" w:styleId="36">
    <w:name w:val="目录1"/>
    <w:basedOn w:val="1"/>
    <w:qFormat/>
    <w:uiPriority w:val="0"/>
    <w:pPr>
      <w:tabs>
        <w:tab w:val="right" w:leader="dot" w:pos="8278"/>
      </w:tabs>
      <w:topLinePunct/>
      <w:adjustRightInd w:val="0"/>
    </w:pPr>
    <w:rPr>
      <w:rFonts w:ascii="黑体" w:hAnsi="Times New Roman" w:eastAsia="黑体" w:cs="Times New Roman"/>
      <w:kern w:val="24"/>
      <w:sz w:val="24"/>
      <w:szCs w:val="24"/>
    </w:rPr>
  </w:style>
  <w:style w:type="paragraph" w:customStyle="1" w:styleId="37">
    <w:name w:val="样式1【标准】"/>
    <w:basedOn w:val="2"/>
    <w:link w:val="38"/>
    <w:qFormat/>
    <w:uiPriority w:val="0"/>
    <w:pPr>
      <w:tabs>
        <w:tab w:val="center" w:pos="4153"/>
        <w:tab w:val="left" w:pos="6771"/>
      </w:tabs>
      <w:topLinePunct/>
      <w:autoSpaceDE w:val="0"/>
      <w:autoSpaceDN w:val="0"/>
      <w:adjustRightInd w:val="0"/>
      <w:spacing w:beforeLines="100" w:afterLines="100" w:line="360" w:lineRule="auto"/>
      <w:ind w:firstLine="723" w:firstLineChars="200"/>
      <w:jc w:val="center"/>
    </w:pPr>
    <w:rPr>
      <w:rFonts w:ascii="Times New Roman" w:hAnsi="Times New Roman" w:eastAsia="黑体"/>
      <w:bCs w:val="0"/>
      <w:kern w:val="24"/>
      <w:sz w:val="36"/>
      <w:szCs w:val="36"/>
    </w:rPr>
  </w:style>
  <w:style w:type="character" w:customStyle="1" w:styleId="38">
    <w:name w:val="样式1【标准】 字符"/>
    <w:link w:val="37"/>
    <w:qFormat/>
    <w:uiPriority w:val="0"/>
    <w:rPr>
      <w:rFonts w:ascii="Times New Roman" w:hAnsi="Times New Roman" w:eastAsia="黑体"/>
      <w:b/>
      <w:kern w:val="24"/>
      <w:sz w:val="36"/>
      <w:szCs w:val="36"/>
    </w:rPr>
  </w:style>
  <w:style w:type="character" w:customStyle="1" w:styleId="39">
    <w:name w:val="标题 1 字符"/>
    <w:link w:val="2"/>
    <w:qFormat/>
    <w:uiPriority w:val="0"/>
    <w:rPr>
      <w:rFonts w:ascii="等线" w:hAnsi="等线" w:eastAsia="等线" w:cs="等线"/>
      <w:b/>
      <w:bCs/>
      <w:kern w:val="44"/>
      <w:sz w:val="44"/>
      <w:szCs w:val="44"/>
    </w:rPr>
  </w:style>
  <w:style w:type="paragraph" w:customStyle="1" w:styleId="40">
    <w:name w:val="二级标题"/>
    <w:basedOn w:val="3"/>
    <w:link w:val="41"/>
    <w:qFormat/>
    <w:uiPriority w:val="0"/>
    <w:pPr>
      <w:spacing w:beforeLines="150" w:afterLines="150" w:line="360" w:lineRule="auto"/>
      <w:ind w:firstLine="643" w:firstLineChars="200"/>
    </w:pPr>
    <w:rPr>
      <w:rFonts w:ascii="Times New Roman" w:hAnsi="Times New Roman" w:eastAsia="黑体"/>
      <w:kern w:val="2"/>
    </w:rPr>
  </w:style>
  <w:style w:type="character" w:customStyle="1" w:styleId="41">
    <w:name w:val="二级标题 字符"/>
    <w:link w:val="40"/>
    <w:qFormat/>
    <w:uiPriority w:val="0"/>
    <w:rPr>
      <w:rFonts w:ascii="Times New Roman" w:hAnsi="Times New Roman" w:eastAsia="黑体"/>
      <w:b/>
      <w:bCs/>
      <w:kern w:val="2"/>
      <w:sz w:val="32"/>
      <w:szCs w:val="32"/>
    </w:rPr>
  </w:style>
  <w:style w:type="paragraph" w:customStyle="1" w:styleId="42">
    <w:name w:val="3 sunshine"/>
    <w:basedOn w:val="4"/>
    <w:link w:val="43"/>
    <w:qFormat/>
    <w:uiPriority w:val="0"/>
    <w:pPr>
      <w:spacing w:beforeLines="100" w:afterLines="100" w:line="360" w:lineRule="auto"/>
      <w:ind w:firstLine="562" w:firstLineChars="200"/>
    </w:pPr>
  </w:style>
  <w:style w:type="character" w:customStyle="1" w:styleId="43">
    <w:name w:val="3 sunshine 字符"/>
    <w:link w:val="42"/>
    <w:qFormat/>
    <w:uiPriority w:val="0"/>
    <w:rPr>
      <w:rFonts w:ascii="Times New Roman" w:hAnsi="Times New Roman" w:eastAsia="黑体"/>
      <w:b/>
      <w:bCs/>
      <w:kern w:val="24"/>
      <w:sz w:val="28"/>
      <w:szCs w:val="28"/>
    </w:rPr>
  </w:style>
  <w:style w:type="paragraph" w:customStyle="1" w:styleId="44">
    <w:name w:val="材料 表头"/>
    <w:basedOn w:val="45"/>
    <w:qFormat/>
    <w:uiPriority w:val="0"/>
  </w:style>
  <w:style w:type="paragraph" w:customStyle="1" w:styleId="45">
    <w:name w:val="政策 表头"/>
    <w:basedOn w:val="1"/>
    <w:qFormat/>
    <w:uiPriority w:val="0"/>
    <w:pPr>
      <w:jc w:val="center"/>
    </w:pPr>
    <w:rPr>
      <w:rFonts w:ascii="黑体" w:hAnsi="黑体" w:eastAsia="黑体"/>
      <w:lang w:val="zh-CN"/>
    </w:rPr>
  </w:style>
  <w:style w:type="paragraph" w:customStyle="1" w:styleId="46">
    <w:name w:val="材料 文本"/>
    <w:basedOn w:val="1"/>
    <w:qFormat/>
    <w:uiPriority w:val="0"/>
    <w:pPr>
      <w:jc w:val="center"/>
    </w:pPr>
    <w:rPr>
      <w:rFonts w:ascii="黑体" w:hAnsi="黑体" w:eastAsia="黑体"/>
      <w:sz w:val="18"/>
      <w:szCs w:val="18"/>
    </w:rPr>
  </w:style>
  <w:style w:type="paragraph" w:customStyle="1" w:styleId="47">
    <w:name w:val="事项名称"/>
    <w:basedOn w:val="1"/>
    <w:next w:val="1"/>
    <w:qFormat/>
    <w:uiPriority w:val="0"/>
    <w:pPr>
      <w:adjustRightInd w:val="0"/>
      <w:snapToGrid w:val="0"/>
      <w:spacing w:line="360" w:lineRule="auto"/>
      <w:ind w:firstLine="480" w:firstLineChars="200"/>
    </w:pPr>
    <w:rPr>
      <w:rFonts w:ascii="黑体" w:hAnsi="黑体" w:eastAsia="黑体" w:cs="Times New Roman"/>
      <w:bCs/>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470</Words>
  <Characters>2679</Characters>
  <Lines>22</Lines>
  <Paragraphs>6</Paragraphs>
  <TotalTime>0</TotalTime>
  <ScaleCrop>false</ScaleCrop>
  <LinksUpToDate>false</LinksUpToDate>
  <CharactersWithSpaces>3143</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2019-10-30T04:35:00Z</dcterms:created>
  <dc:creator>龚勋</dc:creator>
  <cp:lastModifiedBy> </cp:lastModifiedBy>
  <dcterms:modified xsi:type="dcterms:W3CDTF">2021-02-20T09:01:54Z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