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djustRightInd/>
        <w:spacing w:before="312" w:after="312"/>
        <w:ind w:firstLine="0" w:firstLineChars="0"/>
        <w:rPr>
          <w:bCs/>
        </w:rPr>
      </w:pPr>
      <w:r>
        <w:rPr>
          <w:bCs/>
        </w:rPr>
        <w:t>9</w:t>
      </w:r>
      <w:r>
        <w:rPr>
          <w:rFonts w:hint="eastAsia"/>
          <w:bCs/>
        </w:rPr>
        <w:t>　信用评价指南</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信用评价，是指税务机关根据采集的纳税人纳税信用信息，按照纳税信用管理相关规定，对纳税人在一定周期内的纳税信用状况所进行的评价。符合条件的纳税人可在规定期限内向作出评价的税务机关申请纳税信用复评、补评和修复。包括1类3个事项。</w:t>
      </w:r>
    </w:p>
    <w:p>
      <w:pPr>
        <w:pStyle w:val="13"/>
        <w:spacing w:before="936" w:beforeLines="300" w:after="468"/>
      </w:pPr>
      <w:r>
        <w:t>9</w:t>
      </w:r>
      <w:r>
        <w:rPr>
          <w:rFonts w:hint="eastAsia"/>
        </w:rPr>
        <w:t>.1</w:t>
      </w:r>
      <w:r>
        <w:rPr>
          <w:rFonts w:hint="eastAsia"/>
          <w:bCs w:val="0"/>
          <w:kern w:val="24"/>
          <w:sz w:val="36"/>
          <w:szCs w:val="36"/>
        </w:rPr>
        <w:t>　</w:t>
      </w:r>
      <w:r>
        <w:rPr>
          <w:rFonts w:hint="eastAsia"/>
        </w:rPr>
        <w:t>信用评价</w:t>
      </w:r>
    </w:p>
    <w:p>
      <w:pPr>
        <w:pStyle w:val="21"/>
        <w:adjustRightInd/>
        <w:snapToGrid/>
        <w:spacing w:before="312" w:after="312"/>
      </w:pPr>
      <w:r>
        <w:rPr>
          <w:rFonts w:hint="eastAsia"/>
        </w:rPr>
        <w:t>9.1.1</w:t>
      </w:r>
      <w:r>
        <w:t>—</w:t>
      </w:r>
      <w:r>
        <w:rPr>
          <w:rFonts w:hint="eastAsia"/>
        </w:rPr>
        <w:t>17</w:t>
      </w:r>
      <w:r>
        <w:rPr>
          <w:rFonts w:hint="eastAsia"/>
          <w:lang w:val="en-US" w:eastAsia="zh-CN"/>
        </w:rPr>
        <w:t>6</w:t>
      </w:r>
      <w:r>
        <w:rPr>
          <w:rFonts w:hint="eastAsia"/>
        </w:rPr>
        <w:t>　纳税信用补评</w:t>
      </w:r>
    </w:p>
    <w:p>
      <w:pPr>
        <w:spacing w:line="360" w:lineRule="auto"/>
        <w:ind w:firstLine="480" w:firstLineChars="200"/>
        <w:rPr>
          <w:rFonts w:ascii="宋体" w:hAnsi="宋体"/>
          <w:sz w:val="24"/>
          <w:szCs w:val="24"/>
        </w:rPr>
      </w:pPr>
      <w:r>
        <w:rPr>
          <w:rFonts w:hint="eastAsia" w:ascii="黑体" w:hAnsi="黑体" w:eastAsia="黑体"/>
          <w:bCs/>
          <w:sz w:val="24"/>
          <w:szCs w:val="24"/>
        </w:rPr>
        <w:t>【事项名称】</w:t>
      </w:r>
    </w:p>
    <w:p>
      <w:pPr>
        <w:spacing w:line="360" w:lineRule="auto"/>
        <w:ind w:firstLine="480" w:firstLineChars="200"/>
        <w:rPr>
          <w:rFonts w:ascii="宋体" w:hAnsi="宋体"/>
          <w:sz w:val="24"/>
          <w:szCs w:val="24"/>
        </w:rPr>
      </w:pPr>
      <w:r>
        <w:rPr>
          <w:rFonts w:hint="eastAsia" w:ascii="宋体" w:hAnsi="宋体"/>
          <w:sz w:val="24"/>
          <w:szCs w:val="24"/>
        </w:rPr>
        <w:t>纳税信用补评</w:t>
      </w:r>
    </w:p>
    <w:p>
      <w:pPr>
        <w:spacing w:line="360" w:lineRule="auto"/>
        <w:ind w:firstLine="480" w:firstLineChars="200"/>
        <w:rPr>
          <w:rFonts w:ascii="黑体" w:hAnsi="黑体" w:eastAsia="黑体"/>
          <w:sz w:val="24"/>
        </w:rPr>
      </w:pPr>
      <w:r>
        <w:rPr>
          <w:rFonts w:hint="eastAsia" w:ascii="黑体" w:hAnsi="黑体" w:eastAsia="黑体"/>
          <w:sz w:val="24"/>
        </w:rPr>
        <w:t>【申请条件】</w:t>
      </w:r>
    </w:p>
    <w:p>
      <w:pPr>
        <w:spacing w:line="360" w:lineRule="auto"/>
        <w:ind w:firstLine="480" w:firstLineChars="200"/>
        <w:rPr>
          <w:rFonts w:ascii="宋体" w:hAnsi="宋体"/>
          <w:sz w:val="24"/>
          <w:szCs w:val="24"/>
        </w:rPr>
      </w:pPr>
      <w:r>
        <w:rPr>
          <w:rFonts w:hint="eastAsia" w:ascii="宋体" w:hAnsi="宋体"/>
          <w:sz w:val="24"/>
          <w:szCs w:val="24"/>
        </w:rPr>
        <w:t>纳税人因涉嫌税收违法被立案查处尚未结案；被审计、财政部门依法查出税收违法行为，税务机关正在依法处理，尚未办结；已申请税务行政复议、提起行政诉讼尚未结案等原因未予纳税信用评价，可待上述情形解除后，向主管税务机关申请补充评价。纳税人对当期未予纳税信用评价有异议，也可向主管税务机关申请补充评价。</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【设定依据】</w:t>
      </w:r>
    </w:p>
    <w:p>
      <w:pPr>
        <w:spacing w:line="360" w:lineRule="auto"/>
        <w:ind w:firstLine="480" w:firstLineChars="200"/>
        <w:rPr>
          <w:rFonts w:ascii="宋体" w:hAnsi="宋体"/>
          <w:sz w:val="24"/>
          <w:szCs w:val="24"/>
        </w:rPr>
      </w:pPr>
      <w:r>
        <w:rPr>
          <w:rFonts w:hint="eastAsia" w:ascii="宋体" w:hAnsi="宋体"/>
          <w:sz w:val="24"/>
          <w:szCs w:val="24"/>
        </w:rPr>
        <w:t>1.《国家税务总局关于发布〈纳税信用管理办法（试行）〉的公告》（国家税务总局公告2014年第40号）第二十五条</w:t>
      </w:r>
    </w:p>
    <w:p>
      <w:pPr>
        <w:spacing w:line="360" w:lineRule="auto"/>
        <w:ind w:firstLine="480" w:firstLineChars="200"/>
        <w:rPr>
          <w:rFonts w:ascii="宋体" w:hAnsi="宋体"/>
          <w:sz w:val="24"/>
          <w:szCs w:val="24"/>
        </w:rPr>
      </w:pPr>
      <w:r>
        <w:rPr>
          <w:rFonts w:hint="eastAsia" w:ascii="宋体" w:hAnsi="宋体"/>
          <w:sz w:val="24"/>
          <w:szCs w:val="24"/>
        </w:rPr>
        <w:t>2.《国家税务总局关于明确纳税信用补评和复评事项的公告》（国家税务总局公告2015年第46号）</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【办理材料】</w:t>
      </w:r>
    </w:p>
    <w:tbl>
      <w:tblPr>
        <w:tblStyle w:val="1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bCs/>
                <w:szCs w:val="21"/>
              </w:rPr>
            </w:pPr>
            <w:r>
              <w:rPr>
                <w:rFonts w:ascii="黑体" w:hAnsi="黑体" w:eastAsia="黑体"/>
                <w:bCs/>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bCs/>
                <w:szCs w:val="21"/>
              </w:rPr>
            </w:pPr>
            <w:r>
              <w:rPr>
                <w:rFonts w:ascii="黑体" w:hAnsi="黑体" w:eastAsia="黑体"/>
                <w:bCs/>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bCs/>
                <w:szCs w:val="21"/>
              </w:rPr>
            </w:pPr>
            <w:r>
              <w:rPr>
                <w:rFonts w:ascii="黑体" w:hAnsi="黑体" w:eastAsia="黑体"/>
                <w:bCs/>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jc w:val="center"/>
              <w:rPr>
                <w:rFonts w:ascii="黑体" w:hAnsi="黑体" w:eastAsia="黑体"/>
                <w:bCs/>
                <w:szCs w:val="21"/>
              </w:rPr>
            </w:pPr>
            <w:r>
              <w:rPr>
                <w:rFonts w:ascii="黑体" w:hAnsi="黑体" w:eastAsia="黑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bCs/>
                <w:sz w:val="18"/>
                <w:szCs w:val="18"/>
              </w:rPr>
            </w:pPr>
            <w:r>
              <w:rPr>
                <w:rFonts w:hint="eastAsia" w:ascii="Times New Roman" w:hAnsi="Times New Roman" w:eastAsia="黑体"/>
                <w:bCs/>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bCs/>
                <w:sz w:val="18"/>
                <w:szCs w:val="18"/>
              </w:rPr>
            </w:pPr>
            <w:r>
              <w:rPr>
                <w:rFonts w:ascii="黑体" w:hAnsi="黑体" w:eastAsia="黑体"/>
                <w:bCs/>
                <w:sz w:val="18"/>
                <w:szCs w:val="18"/>
              </w:rPr>
              <w:t>《纳税信用补评申请表》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bCs/>
                <w:sz w:val="18"/>
                <w:szCs w:val="18"/>
              </w:rPr>
            </w:pPr>
            <w:r>
              <w:rPr>
                <w:rFonts w:hint="eastAsia" w:ascii="Times New Roman" w:hAnsi="Times New Roman" w:eastAsia="黑体"/>
                <w:bCs/>
                <w:sz w:val="18"/>
                <w:szCs w:val="18"/>
              </w:rPr>
              <w:t>2</w:t>
            </w:r>
            <w:r>
              <w:rPr>
                <w:rFonts w:ascii="黑体" w:hAnsi="黑体" w:eastAsia="黑体"/>
                <w:bCs/>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黑体" w:hAnsi="黑体" w:eastAsia="黑体"/>
                <w:bCs/>
                <w:sz w:val="18"/>
                <w:szCs w:val="18"/>
              </w:rPr>
            </w:pPr>
          </w:p>
        </w:tc>
      </w:tr>
    </w:tbl>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【办理地点】</w:t>
      </w:r>
    </w:p>
    <w:p>
      <w:pPr>
        <w:spacing w:line="360" w:lineRule="auto"/>
        <w:ind w:firstLine="480" w:firstLineChars="200"/>
        <w:rPr>
          <w:rFonts w:ascii="宋体" w:hAnsi="宋体"/>
          <w:sz w:val="24"/>
          <w:szCs w:val="24"/>
        </w:rPr>
      </w:pPr>
      <w:r>
        <w:rPr>
          <w:rFonts w:hint="eastAsia" w:ascii="宋体" w:hAnsi="宋体"/>
          <w:sz w:val="24"/>
          <w:szCs w:val="24"/>
        </w:rPr>
        <w:t>可通过办税服务厅（场所）、新疆维吾尔自治区电子税务局办理，办税服务厅具体地点可点击下列链接通过办税地图获取：</w:t>
      </w:r>
    </w:p>
    <w:p>
      <w:pPr>
        <w:spacing w:line="360" w:lineRule="auto"/>
        <w:ind w:firstLine="420" w:firstLineChars="200"/>
        <w:rPr>
          <w:rFonts w:ascii="宋体" w:hAnsi="宋体"/>
          <w:b/>
          <w:bCs/>
          <w:sz w:val="24"/>
          <w:szCs w:val="24"/>
          <w:u w:val="single"/>
        </w:rPr>
      </w:pPr>
      <w:r>
        <w:fldChar w:fldCharType="begin"/>
      </w:r>
      <w:r>
        <w:instrText xml:space="preserve"> HYPERLINK "https://etax.xinjiang.chinatax.gov.cn/yhs-web/cxzx/bmap.html" \l "/bsdt?code=bsdt&amp;id=9916" </w:instrText>
      </w:r>
      <w:r>
        <w:fldChar w:fldCharType="separate"/>
      </w:r>
      <w:r>
        <w:rPr>
          <w:rStyle w:val="10"/>
          <w:rFonts w:hint="eastAsia" w:ascii="宋体" w:hAnsi="宋体"/>
          <w:b/>
          <w:sz w:val="24"/>
          <w:szCs w:val="24"/>
        </w:rPr>
        <w:t>https://etax.xinjiang.chinatax.gov.cn/yhs-web/cxzx/bmap.html#/bsdt?code=bsdt&amp;id=9916</w:t>
      </w:r>
      <w:r>
        <w:rPr>
          <w:rStyle w:val="10"/>
          <w:rFonts w:hint="eastAsia" w:ascii="宋体" w:hAnsi="宋体"/>
          <w:b/>
          <w:sz w:val="24"/>
          <w:szCs w:val="24"/>
        </w:rPr>
        <w:fldChar w:fldCharType="end"/>
      </w:r>
    </w:p>
    <w:p>
      <w:pPr>
        <w:spacing w:line="360" w:lineRule="auto"/>
        <w:ind w:firstLine="480" w:firstLineChars="200"/>
        <w:rPr>
          <w:rFonts w:ascii="宋体" w:hAnsi="宋体"/>
          <w:sz w:val="24"/>
          <w:szCs w:val="24"/>
        </w:rPr>
      </w:pPr>
      <w:r>
        <w:rPr>
          <w:rFonts w:hint="eastAsia" w:ascii="宋体" w:hAnsi="宋体"/>
          <w:sz w:val="24"/>
          <w:szCs w:val="24"/>
        </w:rPr>
        <w:t>新疆维吾尔自治区电子税务局网址为：</w:t>
      </w:r>
    </w:p>
    <w:p>
      <w:pPr>
        <w:spacing w:line="360" w:lineRule="auto"/>
        <w:ind w:firstLine="482" w:firstLineChars="200"/>
        <w:rPr>
          <w:rStyle w:val="10"/>
          <w:rFonts w:ascii="宋体" w:hAnsi="宋体"/>
          <w:b/>
          <w:sz w:val="24"/>
          <w:szCs w:val="24"/>
        </w:rPr>
      </w:pPr>
      <w:r>
        <w:rPr>
          <w:rStyle w:val="10"/>
          <w:rFonts w:hint="eastAsia" w:ascii="宋体" w:hAnsi="宋体"/>
          <w:b/>
          <w:sz w:val="24"/>
          <w:szCs w:val="24"/>
        </w:rPr>
        <w:t>https://etax.xinjiang.chinatax.gov.cn</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【办理机构】</w:t>
      </w:r>
    </w:p>
    <w:p>
      <w:pPr>
        <w:spacing w:line="360" w:lineRule="auto"/>
        <w:ind w:firstLine="480" w:firstLineChars="200"/>
        <w:rPr>
          <w:rFonts w:ascii="宋体" w:hAnsi="宋体"/>
          <w:sz w:val="24"/>
          <w:szCs w:val="24"/>
        </w:rPr>
      </w:pPr>
      <w:r>
        <w:rPr>
          <w:rFonts w:hint="eastAsia" w:ascii="宋体" w:hAnsi="宋体"/>
          <w:sz w:val="24"/>
          <w:szCs w:val="24"/>
        </w:rPr>
        <w:t>主管税务机关</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【收费标准】</w:t>
      </w:r>
    </w:p>
    <w:p>
      <w:pPr>
        <w:spacing w:line="360" w:lineRule="auto"/>
        <w:ind w:firstLine="480" w:firstLineChars="200"/>
        <w:rPr>
          <w:rFonts w:ascii="宋体" w:hAnsi="宋体"/>
          <w:sz w:val="24"/>
          <w:szCs w:val="24"/>
        </w:rPr>
      </w:pPr>
      <w:r>
        <w:rPr>
          <w:rFonts w:hint="eastAsia" w:ascii="宋体" w:hAnsi="宋体"/>
          <w:sz w:val="24"/>
          <w:szCs w:val="24"/>
        </w:rPr>
        <w:t>不收费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【办理时间】</w:t>
      </w:r>
    </w:p>
    <w:p>
      <w:pPr>
        <w:spacing w:line="360" w:lineRule="auto"/>
        <w:ind w:firstLine="480" w:firstLineChars="200"/>
        <w:rPr>
          <w:rFonts w:ascii="宋体" w:hAnsi="宋体"/>
          <w:sz w:val="24"/>
          <w:szCs w:val="24"/>
        </w:rPr>
      </w:pPr>
      <w:r>
        <w:rPr>
          <w:rFonts w:hint="eastAsia" w:ascii="宋体" w:hAnsi="宋体"/>
          <w:sz w:val="24"/>
          <w:szCs w:val="24"/>
        </w:rPr>
        <w:t>应自受理之日起15个工作日内办结。</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【联系电话】</w:t>
      </w:r>
    </w:p>
    <w:p>
      <w:pPr>
        <w:spacing w:line="360" w:lineRule="auto"/>
        <w:ind w:firstLine="480" w:firstLineChars="200"/>
        <w:rPr>
          <w:rFonts w:ascii="宋体" w:hAnsi="宋体"/>
          <w:sz w:val="24"/>
          <w:szCs w:val="24"/>
        </w:rPr>
      </w:pPr>
      <w:r>
        <w:rPr>
          <w:rFonts w:hint="eastAsia" w:ascii="宋体" w:hAnsi="宋体"/>
          <w:sz w:val="24"/>
          <w:szCs w:val="24"/>
        </w:rPr>
        <w:t>主管税务机关对外公开的联系电话，可点击下列链接通过办税地图获取：</w:t>
      </w:r>
      <w:r>
        <w:rPr>
          <w:rStyle w:val="10"/>
          <w:rFonts w:hint="eastAsia" w:asciiTheme="minorEastAsia" w:hAnsiTheme="minorEastAsia" w:eastAsiaTheme="minorEastAsia"/>
          <w:b/>
          <w:sz w:val="24"/>
          <w:szCs w:val="24"/>
        </w:rPr>
        <w:t>https://etax.xinjiang.chinatax.gov.cn/yhs-web/cxzx/bmap.html#/bsdt?code=bsdt&amp;id=9916</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【办理流程】</w:t>
      </w:r>
    </w:p>
    <w:p>
      <w:pPr>
        <w:spacing w:line="360" w:lineRule="auto"/>
        <w:rPr>
          <w:rFonts w:ascii="黑体" w:hAnsi="黑体" w:eastAsia="黑体"/>
          <w:bCs/>
          <w:sz w:val="24"/>
          <w:szCs w:val="24"/>
        </w:rPr>
      </w:pPr>
      <w:r>
        <w:rPr>
          <w:rFonts w:hint="eastAsia" w:ascii="黑体" w:hAnsi="黑体" w:eastAsia="黑体"/>
          <w:bCs/>
          <w:sz w:val="24"/>
          <w:szCs w:val="24"/>
        </w:rPr>
        <w:drawing>
          <wp:inline distT="0" distB="0" distL="114300" distR="114300">
            <wp:extent cx="5184140" cy="1769745"/>
            <wp:effectExtent l="0" t="0" r="12700" b="13335"/>
            <wp:docPr id="124" name="图片 12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24" name="图片 124" descr="C:\Users\baoqianyu\Desktop\流程图\流转\纳税人.png纳税人"/>
                    <pic:cNvPicPr/>
                  </pic:nvPicPr>
                  <pic:blipFill>
                    <a:blip r:embed="rId4"/>
                    <a:srcRect/>
                    <a:stretch>
                      <a:fillRect/>
                    </a:stretch>
                  </pic:blipFill>
                  <pic:spPr>
                    <a:xfrm>
                      <a:off x="0" y="0"/>
                      <a:ext cx="5184140" cy="1769745"/>
                    </a:xfrm>
                    <a:prstGeom prst="rect">
                      <a:avLst/>
                    </a:prstGeom>
                  </pic:spPr>
                </pic:pic>
              </a:graphicData>
            </a:graphic>
          </wp:inline>
        </w:drawing>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【纳税人注意事项】</w:t>
      </w:r>
    </w:p>
    <w:p>
      <w:pPr>
        <w:spacing w:line="360" w:lineRule="auto"/>
        <w:ind w:firstLine="480" w:firstLineChars="200"/>
        <w:rPr>
          <w:rFonts w:ascii="宋体" w:hAnsi="宋体"/>
          <w:sz w:val="24"/>
          <w:szCs w:val="24"/>
        </w:rPr>
      </w:pPr>
      <w:r>
        <w:rPr>
          <w:rFonts w:hint="eastAsia" w:ascii="宋体" w:hAnsi="宋体"/>
          <w:sz w:val="24"/>
          <w:szCs w:val="24"/>
        </w:rPr>
        <w:t>1.纳税人对报送材料的真实性和合法性承担责任。</w:t>
      </w:r>
    </w:p>
    <w:p>
      <w:pPr>
        <w:wordWrap w:val="0"/>
        <w:spacing w:line="360" w:lineRule="auto"/>
        <w:ind w:firstLine="480"/>
        <w:rPr>
          <w:kern w:val="24"/>
        </w:rPr>
      </w:pPr>
      <w:r>
        <w:rPr>
          <w:kern w:val="24"/>
        </w:rPr>
        <w:t>2.</w:t>
      </w:r>
      <w:r>
        <w:rPr>
          <w:rFonts w:hint="eastAsia"/>
          <w:kern w:val="24"/>
        </w:rPr>
        <w:t>文书表单可通过新疆税务局门户网站资料下载栏目查询下载或到办税服务厅领取。新疆税务局门户网站资料下载栏目：</w:t>
      </w:r>
      <w:r>
        <w:rPr>
          <w:rFonts w:hint="eastAsia" w:ascii="宋体" w:hAnsi="宋体"/>
          <w:kern w:val="24"/>
        </w:rPr>
        <w:t>https://etax.xinjiang.chinatax.gov.cn/gzfw/xzfw/</w:t>
      </w:r>
    </w:p>
    <w:p>
      <w:pPr>
        <w:spacing w:line="360" w:lineRule="auto"/>
        <w:ind w:firstLine="480" w:firstLineChars="200"/>
        <w:rPr>
          <w:rFonts w:ascii="Times New Roman" w:hAnsi="Times New Roman" w:eastAsia="黑体"/>
          <w:b/>
          <w:bCs/>
          <w:kern w:val="24"/>
          <w:sz w:val="28"/>
          <w:szCs w:val="28"/>
        </w:rPr>
      </w:pPr>
      <w:r>
        <w:rPr>
          <w:rFonts w:hint="eastAsia" w:ascii="宋体" w:hAnsi="宋体"/>
          <w:sz w:val="24"/>
          <w:szCs w:val="24"/>
        </w:rPr>
        <w:t>3.文书表单可在省（自治区、直辖市和计划单列市）税务局网站“下载中心”栏目查询下载或到办税服务厅领取。</w:t>
      </w:r>
      <w:r>
        <w:rPr>
          <w:rFonts w:hint="eastAsia" w:ascii="Times New Roman" w:hAnsi="Times New Roman" w:eastAsia="黑体"/>
          <w:b/>
          <w:bCs/>
          <w:kern w:val="24"/>
          <w:sz w:val="28"/>
          <w:szCs w:val="28"/>
        </w:rPr>
        <w:br w:type="page"/>
      </w:r>
    </w:p>
    <w:p>
      <w:pPr>
        <w:keepNext/>
        <w:topLinePunct/>
        <w:spacing w:before="312" w:beforeLines="100" w:after="312" w:afterLines="100" w:line="360" w:lineRule="auto"/>
        <w:ind w:firstLine="510"/>
        <w:outlineLvl w:val="2"/>
        <w:rPr>
          <w:rFonts w:ascii="Times New Roman" w:hAnsi="Times New Roman" w:eastAsia="黑体"/>
          <w:b/>
          <w:bCs/>
          <w:kern w:val="24"/>
          <w:sz w:val="28"/>
          <w:szCs w:val="28"/>
        </w:rPr>
      </w:pPr>
      <w:r>
        <w:rPr>
          <w:rFonts w:hint="eastAsia" w:ascii="Times New Roman" w:hAnsi="Times New Roman" w:eastAsia="黑体"/>
          <w:b/>
          <w:bCs/>
          <w:kern w:val="24"/>
          <w:sz w:val="28"/>
          <w:szCs w:val="28"/>
        </w:rPr>
        <w:t>9.1.2</w:t>
      </w:r>
      <w:r>
        <w:rPr>
          <w:rFonts w:ascii="Times New Roman" w:hAnsi="Times New Roman" w:eastAsia="黑体"/>
          <w:b/>
          <w:bCs/>
          <w:kern w:val="24"/>
          <w:sz w:val="28"/>
          <w:szCs w:val="28"/>
        </w:rPr>
        <w:t>—</w:t>
      </w:r>
      <w:r>
        <w:rPr>
          <w:rFonts w:hint="eastAsia" w:ascii="Times New Roman" w:hAnsi="Times New Roman" w:eastAsia="黑体"/>
          <w:b/>
          <w:bCs/>
          <w:kern w:val="24"/>
          <w:sz w:val="28"/>
          <w:szCs w:val="28"/>
        </w:rPr>
        <w:t>17</w:t>
      </w:r>
      <w:r>
        <w:rPr>
          <w:rFonts w:hint="eastAsia" w:ascii="Times New Roman" w:hAnsi="Times New Roman" w:eastAsia="黑体"/>
          <w:b/>
          <w:bCs/>
          <w:kern w:val="24"/>
          <w:sz w:val="28"/>
          <w:szCs w:val="28"/>
          <w:lang w:val="en-US" w:eastAsia="zh-CN"/>
        </w:rPr>
        <w:t>7</w:t>
      </w:r>
      <w:r>
        <w:rPr>
          <w:rFonts w:hint="eastAsia" w:ascii="Times New Roman" w:hAnsi="Times New Roman" w:eastAsia="黑体"/>
          <w:b/>
          <w:bCs/>
          <w:kern w:val="24"/>
          <w:sz w:val="28"/>
          <w:szCs w:val="28"/>
        </w:rPr>
        <w:t>　纳税信用复评</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pStyle w:val="23"/>
        <w:adjustRightInd/>
        <w:snapToGrid/>
        <w:ind w:firstLine="480"/>
        <w:rPr>
          <w:b w:val="0"/>
        </w:rPr>
      </w:pPr>
      <w:r>
        <w:rPr>
          <w:rFonts w:hint="eastAsia"/>
          <w:b w:val="0"/>
        </w:rPr>
        <w:t>纳税信用复评</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rPr>
          <w:rFonts w:ascii="宋体" w:hAnsi="宋体"/>
          <w:sz w:val="24"/>
          <w:szCs w:val="24"/>
        </w:rPr>
      </w:pPr>
      <w:r>
        <w:rPr>
          <w:rFonts w:ascii="宋体" w:hAnsi="宋体"/>
          <w:sz w:val="24"/>
          <w:szCs w:val="24"/>
        </w:rPr>
        <w:t>已纳入纳税信用管理的纳税人，对纳税信用评价结果有异议，可在纳税信用评价结果确定的当年内向主管税务机关申请复核。</w:t>
      </w:r>
    </w:p>
    <w:p>
      <w:pPr>
        <w:wordWrap w:val="0"/>
        <w:spacing w:line="360" w:lineRule="auto"/>
        <w:ind w:firstLine="480"/>
        <w:rPr>
          <w:rFonts w:ascii="黑体" w:hAnsi="黑体" w:eastAsia="黑体"/>
          <w:bCs/>
          <w:sz w:val="24"/>
          <w:szCs w:val="24"/>
        </w:rPr>
      </w:pPr>
      <w:r>
        <w:rPr>
          <w:rFonts w:ascii="黑体" w:hAnsi="黑体" w:eastAsia="黑体"/>
          <w:bCs/>
          <w:sz w:val="24"/>
          <w:szCs w:val="24"/>
        </w:rPr>
        <w:t>【设定依据】</w:t>
      </w:r>
    </w:p>
    <w:p>
      <w:pPr>
        <w:wordWrap w:val="0"/>
        <w:spacing w:line="360" w:lineRule="auto"/>
        <w:ind w:firstLine="480"/>
        <w:rPr>
          <w:rFonts w:ascii="宋体" w:hAnsi="宋体"/>
          <w:sz w:val="24"/>
          <w:szCs w:val="24"/>
        </w:rPr>
      </w:pPr>
      <w:r>
        <w:rPr>
          <w:rFonts w:hint="eastAsia" w:ascii="Times New Roman" w:hAnsi="Times New Roman"/>
          <w:sz w:val="24"/>
          <w:szCs w:val="24"/>
        </w:rPr>
        <w:t>1.</w:t>
      </w:r>
      <w:r>
        <w:rPr>
          <w:rFonts w:ascii="宋体" w:hAnsi="宋体"/>
          <w:sz w:val="24"/>
          <w:szCs w:val="24"/>
        </w:rPr>
        <w:t>《国家税务总局关于发布〈纳税信用管理办法（试行）〉的公告》（国家税务总局公告</w:t>
      </w:r>
      <w:r>
        <w:rPr>
          <w:rFonts w:hint="eastAsia" w:ascii="Times New Roman" w:hAnsi="Times New Roman"/>
          <w:sz w:val="24"/>
          <w:szCs w:val="24"/>
        </w:rPr>
        <w:t>2014</w:t>
      </w:r>
      <w:r>
        <w:rPr>
          <w:rFonts w:ascii="宋体" w:hAnsi="宋体"/>
          <w:sz w:val="24"/>
          <w:szCs w:val="24"/>
        </w:rPr>
        <w:t>年第</w:t>
      </w:r>
      <w:r>
        <w:rPr>
          <w:rFonts w:hint="eastAsia" w:ascii="Times New Roman" w:hAnsi="Times New Roman"/>
          <w:sz w:val="24"/>
          <w:szCs w:val="24"/>
        </w:rPr>
        <w:t>40</w:t>
      </w:r>
      <w:r>
        <w:rPr>
          <w:rFonts w:ascii="宋体" w:hAnsi="宋体"/>
          <w:sz w:val="24"/>
          <w:szCs w:val="24"/>
        </w:rPr>
        <w:t>号）第二十五条</w:t>
      </w:r>
    </w:p>
    <w:p>
      <w:pPr>
        <w:wordWrap w:val="0"/>
        <w:spacing w:line="360" w:lineRule="auto"/>
        <w:ind w:firstLine="480"/>
        <w:rPr>
          <w:rFonts w:ascii="宋体" w:hAnsi="宋体"/>
          <w:sz w:val="24"/>
          <w:szCs w:val="24"/>
        </w:rPr>
      </w:pPr>
      <w:r>
        <w:rPr>
          <w:rFonts w:hint="eastAsia" w:ascii="Times New Roman" w:hAnsi="Times New Roman"/>
          <w:sz w:val="24"/>
          <w:szCs w:val="24"/>
        </w:rPr>
        <w:t>2.</w:t>
      </w:r>
      <w:r>
        <w:rPr>
          <w:rFonts w:ascii="宋体" w:hAnsi="宋体"/>
          <w:sz w:val="24"/>
          <w:szCs w:val="24"/>
        </w:rPr>
        <w:t>《国家税务总局关于明确纳税信用补评和复评事项的公告》（国家税务总局公告</w:t>
      </w:r>
      <w:r>
        <w:rPr>
          <w:rFonts w:hint="eastAsia" w:ascii="Times New Roman" w:hAnsi="Times New Roman"/>
          <w:sz w:val="24"/>
          <w:szCs w:val="24"/>
        </w:rPr>
        <w:t>2015</w:t>
      </w:r>
      <w:r>
        <w:rPr>
          <w:rFonts w:ascii="宋体" w:hAnsi="宋体"/>
          <w:sz w:val="24"/>
          <w:szCs w:val="24"/>
        </w:rPr>
        <w:t>年第</w:t>
      </w:r>
      <w:r>
        <w:rPr>
          <w:rFonts w:hint="eastAsia" w:ascii="Times New Roman" w:hAnsi="Times New Roman"/>
          <w:sz w:val="24"/>
          <w:szCs w:val="24"/>
        </w:rPr>
        <w:t>46</w:t>
      </w:r>
      <w:r>
        <w:rPr>
          <w:rFonts w:ascii="宋体" w:hAnsi="宋体"/>
          <w:sz w:val="24"/>
          <w:szCs w:val="24"/>
        </w:rPr>
        <w:t>号）</w:t>
      </w:r>
    </w:p>
    <w:p>
      <w:pPr>
        <w:wordWrap w:val="0"/>
        <w:spacing w:line="360" w:lineRule="auto"/>
        <w:ind w:firstLine="480"/>
        <w:rPr>
          <w:rFonts w:ascii="黑体" w:hAnsi="黑体" w:eastAsia="黑体"/>
          <w:bCs/>
          <w:sz w:val="24"/>
          <w:szCs w:val="24"/>
        </w:rPr>
      </w:pPr>
      <w:r>
        <w:rPr>
          <w:rFonts w:hint="eastAsia" w:ascii="黑体" w:hAnsi="黑体" w:eastAsia="黑体"/>
          <w:bCs/>
          <w:sz w:val="24"/>
          <w:szCs w:val="24"/>
        </w:rPr>
        <w:t>【办理材料】</w:t>
      </w:r>
    </w:p>
    <w:tbl>
      <w:tblPr>
        <w:tblStyle w:val="1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szCs w:val="21"/>
              </w:rPr>
            </w:pPr>
            <w:r>
              <w:rPr>
                <w:rFonts w:hint="eastAsia" w:ascii="Times New Roman" w:hAnsi="Times New Roman" w:eastAsia="黑体"/>
                <w:szCs w:val="21"/>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cs="Microsoft Himalaya"/>
                <w:szCs w:val="21"/>
              </w:rPr>
            </w:pPr>
            <w:r>
              <w:rPr>
                <w:rFonts w:ascii="黑体" w:hAnsi="黑体" w:eastAsia="黑体" w:cs="Microsoft Himalaya"/>
                <w:szCs w:val="21"/>
              </w:rPr>
              <w:t>《纳税信用复评申请表》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cs="Microsoft Himalaya"/>
                <w:szCs w:val="21"/>
              </w:rPr>
            </w:pPr>
            <w:r>
              <w:rPr>
                <w:rFonts w:hint="eastAsia" w:ascii="Times New Roman" w:hAnsi="Times New Roman" w:eastAsia="黑体"/>
                <w:szCs w:val="21"/>
              </w:rPr>
              <w:t>2</w:t>
            </w:r>
            <w:r>
              <w:rPr>
                <w:rFonts w:ascii="黑体" w:hAnsi="黑体" w:eastAsia="黑体" w:cs="Microsoft Himalaya"/>
                <w:szCs w:val="21"/>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cs="Microsoft Himalaya"/>
                <w:szCs w:val="21"/>
              </w:rPr>
            </w:pPr>
          </w:p>
        </w:tc>
      </w:tr>
    </w:tbl>
    <w:p>
      <w:pPr>
        <w:wordWrap w:val="0"/>
        <w:spacing w:line="360" w:lineRule="auto"/>
        <w:ind w:firstLine="480"/>
        <w:rPr>
          <w:rFonts w:ascii="黑体" w:hAnsi="黑体" w:eastAsia="黑体"/>
          <w:bCs/>
          <w:sz w:val="24"/>
          <w:szCs w:val="24"/>
        </w:rPr>
      </w:pPr>
      <w:r>
        <w:rPr>
          <w:rFonts w:ascii="黑体" w:hAnsi="黑体" w:eastAsia="黑体"/>
          <w:bCs/>
          <w:sz w:val="24"/>
          <w:szCs w:val="24"/>
        </w:rPr>
        <w:t>【办理地点】</w:t>
      </w:r>
    </w:p>
    <w:p>
      <w:pPr>
        <w:wordWrap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可通过办税服务厅（场所）、新疆维吾尔自治区电子税务局办理，办税服务厅具体地点可点击下列链接通过办税地图获取：</w:t>
      </w:r>
    </w:p>
    <w:p>
      <w:pPr>
        <w:pStyle w:val="44"/>
        <w:widowControl/>
        <w:wordWrap w:val="0"/>
        <w:ind w:firstLine="482"/>
        <w:rPr>
          <w:rStyle w:val="10"/>
          <w:rFonts w:hint="default" w:asciiTheme="minorEastAsia" w:hAnsiTheme="minorEastAsia" w:eastAsiaTheme="minorEastAsia"/>
        </w:rPr>
      </w:pPr>
      <w:r>
        <w:fldChar w:fldCharType="begin"/>
      </w:r>
      <w:r>
        <w:instrText xml:space="preserve"> HYPERLINK "https://etax.xinjiang.chinatax.gov.cn/yhs-web/cxzx/bmap.html" \l "/bsdt?code=bsdt&amp;id=9916" </w:instrText>
      </w:r>
      <w:r>
        <w:fldChar w:fldCharType="separate"/>
      </w:r>
      <w:r>
        <w:rPr>
          <w:rStyle w:val="10"/>
          <w:rFonts w:asciiTheme="minorEastAsia" w:hAnsiTheme="minorEastAsia" w:eastAsiaTheme="minorEastAsia"/>
          <w:bCs w:val="0"/>
        </w:rPr>
        <w:t>https://etax.xinjiang.chinatax.gov.cn/yhs-web/cxzx/bmap.html#/bsdt?code=bsdt&amp;id=9916</w:t>
      </w:r>
      <w:r>
        <w:rPr>
          <w:rStyle w:val="10"/>
          <w:rFonts w:asciiTheme="minorEastAsia" w:hAnsiTheme="minorEastAsia" w:eastAsiaTheme="minorEastAsia"/>
          <w:bCs w:val="0"/>
        </w:rPr>
        <w:fldChar w:fldCharType="end"/>
      </w:r>
    </w:p>
    <w:p>
      <w:pPr>
        <w:wordWrap w:val="0"/>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新疆维吾尔自治区电子税务局网址为：</w:t>
      </w:r>
    </w:p>
    <w:p>
      <w:pPr>
        <w:pStyle w:val="44"/>
        <w:widowControl/>
        <w:wordWrap w:val="0"/>
        <w:ind w:firstLine="482"/>
        <w:rPr>
          <w:rStyle w:val="10"/>
          <w:rFonts w:hint="default" w:asciiTheme="minorEastAsia" w:hAnsiTheme="minorEastAsia" w:eastAsiaTheme="minorEastAsia"/>
          <w:bCs w:val="0"/>
        </w:rPr>
      </w:pPr>
      <w:r>
        <w:rPr>
          <w:rStyle w:val="10"/>
          <w:rFonts w:asciiTheme="minorEastAsia" w:hAnsiTheme="minorEastAsia" w:eastAsiaTheme="minorEastAsia"/>
          <w:bCs w:val="0"/>
        </w:rPr>
        <w:t>https://etax.xinjiang.chinatax.gov.cn</w:t>
      </w:r>
    </w:p>
    <w:p>
      <w:pPr>
        <w:wordWrap w:val="0"/>
        <w:spacing w:line="360" w:lineRule="auto"/>
        <w:ind w:firstLine="480"/>
        <w:rPr>
          <w:rFonts w:ascii="黑体" w:hAnsi="黑体" w:eastAsia="黑体"/>
          <w:bCs/>
          <w:sz w:val="24"/>
          <w:szCs w:val="24"/>
        </w:rPr>
      </w:pPr>
      <w:r>
        <w:rPr>
          <w:rFonts w:ascii="黑体" w:hAnsi="黑体" w:eastAsia="黑体"/>
          <w:bCs/>
          <w:sz w:val="24"/>
          <w:szCs w:val="24"/>
        </w:rPr>
        <w:t>【办理机构】</w:t>
      </w:r>
    </w:p>
    <w:p>
      <w:pPr>
        <w:wordWrap w:val="0"/>
        <w:spacing w:line="360" w:lineRule="auto"/>
        <w:ind w:firstLine="480"/>
        <w:rPr>
          <w:rFonts w:ascii="宋体" w:hAnsi="宋体"/>
          <w:sz w:val="24"/>
          <w:szCs w:val="24"/>
        </w:rPr>
      </w:pPr>
      <w:r>
        <w:rPr>
          <w:rFonts w:ascii="宋体" w:hAnsi="宋体"/>
          <w:sz w:val="24"/>
          <w:szCs w:val="24"/>
        </w:rPr>
        <w:t>主管税务机关</w:t>
      </w:r>
    </w:p>
    <w:p>
      <w:pPr>
        <w:wordWrap w:val="0"/>
        <w:spacing w:line="360" w:lineRule="auto"/>
        <w:ind w:firstLine="480"/>
        <w:rPr>
          <w:rFonts w:ascii="黑体" w:hAnsi="黑体" w:eastAsia="黑体"/>
          <w:bCs/>
          <w:sz w:val="24"/>
          <w:szCs w:val="24"/>
        </w:rPr>
      </w:pPr>
      <w:r>
        <w:rPr>
          <w:rFonts w:ascii="黑体" w:hAnsi="黑体" w:eastAsia="黑体"/>
          <w:bCs/>
          <w:sz w:val="24"/>
          <w:szCs w:val="24"/>
        </w:rPr>
        <w:t>【收费标准】</w:t>
      </w:r>
    </w:p>
    <w:p>
      <w:pPr>
        <w:wordWrap w:val="0"/>
        <w:spacing w:line="360" w:lineRule="auto"/>
        <w:ind w:firstLine="480"/>
        <w:rPr>
          <w:rFonts w:ascii="宋体" w:hAnsi="宋体"/>
          <w:sz w:val="24"/>
          <w:szCs w:val="24"/>
        </w:rPr>
      </w:pPr>
      <w:r>
        <w:rPr>
          <w:rFonts w:ascii="宋体" w:hAnsi="宋体"/>
          <w:sz w:val="24"/>
          <w:szCs w:val="24"/>
        </w:rPr>
        <w:t>不收费</w:t>
      </w:r>
    </w:p>
    <w:p>
      <w:pPr>
        <w:wordWrap w:val="0"/>
        <w:spacing w:line="360" w:lineRule="auto"/>
        <w:ind w:firstLine="480"/>
        <w:rPr>
          <w:rFonts w:ascii="黑体" w:hAnsi="黑体" w:eastAsia="黑体"/>
          <w:bCs/>
          <w:sz w:val="24"/>
          <w:szCs w:val="24"/>
        </w:rPr>
      </w:pPr>
      <w:r>
        <w:rPr>
          <w:rFonts w:ascii="黑体" w:hAnsi="黑体" w:eastAsia="黑体"/>
          <w:bCs/>
          <w:sz w:val="24"/>
          <w:szCs w:val="24"/>
        </w:rPr>
        <w:t>【办理时间】</w:t>
      </w:r>
    </w:p>
    <w:p>
      <w:pPr>
        <w:wordWrap w:val="0"/>
        <w:spacing w:line="360" w:lineRule="auto"/>
        <w:ind w:firstLine="480"/>
        <w:rPr>
          <w:rFonts w:ascii="宋体" w:hAnsi="宋体"/>
          <w:sz w:val="24"/>
          <w:szCs w:val="24"/>
        </w:rPr>
      </w:pPr>
      <w:r>
        <w:rPr>
          <w:rFonts w:ascii="宋体" w:hAnsi="宋体"/>
          <w:sz w:val="24"/>
          <w:szCs w:val="24"/>
        </w:rPr>
        <w:t>自受理之日起</w:t>
      </w:r>
      <w:r>
        <w:rPr>
          <w:rFonts w:hint="eastAsia" w:ascii="Times New Roman" w:hAnsi="Times New Roman"/>
          <w:sz w:val="24"/>
          <w:szCs w:val="24"/>
        </w:rPr>
        <w:t>15</w:t>
      </w:r>
      <w:r>
        <w:rPr>
          <w:rFonts w:ascii="宋体" w:hAnsi="宋体"/>
          <w:sz w:val="24"/>
          <w:szCs w:val="24"/>
        </w:rPr>
        <w:t xml:space="preserve">个工作日内办结 </w:t>
      </w:r>
    </w:p>
    <w:p>
      <w:pPr>
        <w:wordWrap w:val="0"/>
        <w:spacing w:line="360" w:lineRule="auto"/>
        <w:ind w:firstLine="480"/>
        <w:rPr>
          <w:rFonts w:ascii="黑体" w:hAnsi="黑体" w:eastAsia="黑体"/>
          <w:bCs/>
          <w:sz w:val="24"/>
          <w:szCs w:val="24"/>
        </w:rPr>
      </w:pPr>
      <w:r>
        <w:rPr>
          <w:rFonts w:ascii="黑体" w:hAnsi="黑体" w:eastAsia="黑体"/>
          <w:bCs/>
          <w:sz w:val="24"/>
          <w:szCs w:val="24"/>
        </w:rPr>
        <w:t>【联系电话】</w:t>
      </w:r>
    </w:p>
    <w:p>
      <w:pPr>
        <w:wordWrap w:val="0"/>
        <w:spacing w:line="360" w:lineRule="auto"/>
        <w:ind w:firstLine="480"/>
        <w:rPr>
          <w:rFonts w:ascii="宋体" w:hAnsi="宋体"/>
          <w:sz w:val="24"/>
          <w:szCs w:val="24"/>
        </w:rPr>
      </w:pPr>
      <w:r>
        <w:rPr>
          <w:rFonts w:hint="eastAsia" w:ascii="宋体" w:hAnsi="宋体"/>
          <w:sz w:val="24"/>
          <w:szCs w:val="24"/>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0"/>
          <w:rFonts w:ascii="宋体" w:hAnsi="宋体"/>
          <w:sz w:val="24"/>
          <w:szCs w:val="24"/>
        </w:rPr>
        <w:t>https://etax.xinjiang.chinatax.gov.cn/yhs-web/cxzx/bmap.html#/bsdt?code=bsdt&amp;id=9916</w:t>
      </w:r>
      <w:r>
        <w:rPr>
          <w:rStyle w:val="10"/>
          <w:rFonts w:ascii="宋体" w:hAnsi="宋体"/>
          <w:sz w:val="24"/>
          <w:szCs w:val="24"/>
        </w:rPr>
        <w:fldChar w:fldCharType="end"/>
      </w:r>
    </w:p>
    <w:p>
      <w:pPr>
        <w:wordWrap w:val="0"/>
        <w:spacing w:line="360" w:lineRule="auto"/>
        <w:ind w:firstLine="480"/>
        <w:rPr>
          <w:rFonts w:ascii="黑体" w:hAnsi="黑体" w:eastAsia="黑体"/>
          <w:bCs/>
          <w:sz w:val="24"/>
          <w:szCs w:val="24"/>
        </w:rPr>
      </w:pPr>
      <w:r>
        <w:rPr>
          <w:rFonts w:ascii="黑体" w:hAnsi="黑体" w:eastAsia="黑体"/>
          <w:bCs/>
          <w:sz w:val="24"/>
          <w:szCs w:val="24"/>
        </w:rPr>
        <w:t>【办理流程】</w:t>
      </w:r>
    </w:p>
    <w:p>
      <w:pPr>
        <w:wordWrap w:val="0"/>
        <w:spacing w:line="360" w:lineRule="auto"/>
        <w:rPr>
          <w:rFonts w:ascii="黑体" w:hAnsi="黑体" w:eastAsia="黑体"/>
          <w:bCs/>
          <w:sz w:val="24"/>
          <w:szCs w:val="24"/>
        </w:rPr>
      </w:pPr>
      <w:r>
        <w:rPr>
          <w:rFonts w:ascii="宋体" w:hAnsi="宋体"/>
        </w:rPr>
        <w:drawing>
          <wp:inline distT="0" distB="0" distL="114300" distR="114300">
            <wp:extent cx="5184140" cy="1769745"/>
            <wp:effectExtent l="0" t="0" r="12700" b="13335"/>
            <wp:docPr id="125" name="图片 125"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25" name="图片 125" descr="C:\Users\baoqianyu\Desktop\流程图\流转\纳税人.png纳税人"/>
                    <pic:cNvPicPr/>
                  </pic:nvPicPr>
                  <pic:blipFill>
                    <a:blip r:embed="rId4"/>
                    <a:srcRect/>
                    <a:stretch>
                      <a:fillRect/>
                    </a:stretch>
                  </pic:blipFill>
                  <pic:spPr>
                    <a:xfrm>
                      <a:off x="0" y="0"/>
                      <a:ext cx="5184140" cy="1769745"/>
                    </a:xfrm>
                    <a:prstGeom prst="rect">
                      <a:avLst/>
                    </a:prstGeom>
                  </pic:spPr>
                </pic:pic>
              </a:graphicData>
            </a:graphic>
          </wp:inline>
        </w:drawing>
      </w:r>
      <w:r>
        <w:rPr>
          <w:rFonts w:ascii="宋体" w:hAnsi="宋体"/>
          <w:sz w:val="24"/>
          <w:szCs w:val="24"/>
        </w:rPr>
        <w:tab/>
      </w:r>
      <w:r>
        <w:rPr>
          <w:rFonts w:ascii="黑体" w:hAnsi="黑体" w:eastAsia="黑体"/>
          <w:bCs/>
          <w:sz w:val="24"/>
          <w:szCs w:val="24"/>
        </w:rPr>
        <w:t>【纳税人注意事项】</w:t>
      </w:r>
    </w:p>
    <w:p>
      <w:pPr>
        <w:wordWrap w:val="0"/>
        <w:spacing w:line="360" w:lineRule="auto"/>
        <w:ind w:firstLine="480"/>
        <w:rPr>
          <w:rFonts w:ascii="宋体" w:hAnsi="宋体"/>
          <w:sz w:val="24"/>
          <w:szCs w:val="24"/>
        </w:rPr>
      </w:pPr>
      <w:r>
        <w:rPr>
          <w:rFonts w:hint="eastAsia" w:ascii="Times New Roman" w:hAnsi="Times New Roman"/>
          <w:sz w:val="24"/>
          <w:szCs w:val="24"/>
        </w:rPr>
        <w:t>1.</w:t>
      </w:r>
      <w:r>
        <w:rPr>
          <w:rFonts w:ascii="宋体" w:hAnsi="宋体"/>
          <w:sz w:val="24"/>
          <w:szCs w:val="24"/>
        </w:rPr>
        <w:t>纳税人对报送材料的真实性和合法性承担责任。</w:t>
      </w:r>
    </w:p>
    <w:p>
      <w:pPr>
        <w:wordWrap w:val="0"/>
        <w:spacing w:line="360" w:lineRule="auto"/>
        <w:ind w:firstLine="480"/>
        <w:rPr>
          <w:rFonts w:ascii="宋体" w:hAnsi="宋体"/>
          <w:sz w:val="24"/>
          <w:szCs w:val="24"/>
        </w:rPr>
      </w:pPr>
      <w:r>
        <w:rPr>
          <w:rFonts w:hint="eastAsia" w:ascii="Times New Roman" w:hAnsi="Times New Roman"/>
          <w:sz w:val="24"/>
          <w:szCs w:val="24"/>
        </w:rPr>
        <w:t>2.</w:t>
      </w:r>
      <w:r>
        <w:rPr>
          <w:rFonts w:ascii="宋体" w:hAnsi="宋体"/>
          <w:sz w:val="24"/>
          <w:szCs w:val="24"/>
        </w:rPr>
        <w:t>纳税人使用符合电子签名法规定条件的电子签名，与手写签名或者盖章具有同等法律效力。</w:t>
      </w:r>
    </w:p>
    <w:p>
      <w:pPr>
        <w:wordWrap w:val="0"/>
        <w:spacing w:line="360" w:lineRule="auto"/>
        <w:ind w:firstLine="480"/>
        <w:rPr>
          <w:rFonts w:ascii="宋体" w:hAnsi="宋体"/>
          <w:sz w:val="24"/>
          <w:szCs w:val="24"/>
        </w:rPr>
      </w:pPr>
      <w:r>
        <w:rPr>
          <w:rFonts w:hint="eastAsia" w:ascii="Times New Roman" w:hAnsi="Times New Roman"/>
          <w:sz w:val="24"/>
          <w:szCs w:val="24"/>
        </w:rPr>
        <w:t>3.</w:t>
      </w:r>
      <w:r>
        <w:rPr>
          <w:rFonts w:ascii="宋体" w:hAnsi="宋体"/>
          <w:sz w:val="24"/>
          <w:szCs w:val="24"/>
        </w:rPr>
        <w:t>纳税人评价结果确定的当年内申请复评。</w:t>
      </w:r>
    </w:p>
    <w:p>
      <w:pPr>
        <w:wordWrap w:val="0"/>
        <w:spacing w:line="360" w:lineRule="auto"/>
        <w:ind w:firstLine="480"/>
        <w:rPr>
          <w:rFonts w:ascii="宋体" w:hAnsi="宋体"/>
          <w:sz w:val="24"/>
          <w:szCs w:val="24"/>
        </w:rPr>
      </w:pPr>
      <w:r>
        <w:rPr>
          <w:rFonts w:hint="eastAsia" w:ascii="Times New Roman" w:hAnsi="Times New Roman"/>
          <w:sz w:val="24"/>
          <w:szCs w:val="24"/>
        </w:rPr>
        <w:t>4.</w:t>
      </w:r>
      <w:r>
        <w:rPr>
          <w:rFonts w:hint="eastAsia" w:ascii="Times New Roman" w:hAnsi="Times New Roman"/>
          <w:kern w:val="24"/>
          <w:sz w:val="24"/>
          <w:szCs w:val="24"/>
        </w:rPr>
        <w:t xml:space="preserve"> </w:t>
      </w:r>
      <w:r>
        <w:rPr>
          <w:rFonts w:hint="eastAsia" w:ascii="宋体" w:hAnsi="宋体"/>
          <w:sz w:val="24"/>
          <w:szCs w:val="24"/>
        </w:rPr>
        <w:t>文书表单可通过新疆税务局门户网站资料下载栏目查询下载或到办税服务厅领取。新疆税务局门户网站资料下载栏目：https://etax.xinjiang.chinatax.gov.cn/gzfw/xzfw/</w:t>
      </w: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wordWrap w:val="0"/>
        <w:spacing w:line="360" w:lineRule="auto"/>
        <w:ind w:firstLine="480"/>
        <w:rPr>
          <w:rFonts w:ascii="宋体" w:hAnsi="宋体"/>
          <w:sz w:val="24"/>
          <w:szCs w:val="24"/>
        </w:rPr>
      </w:pPr>
    </w:p>
    <w:p>
      <w:pPr>
        <w:keepNext/>
        <w:topLinePunct/>
        <w:spacing w:before="312" w:beforeLines="100" w:after="312" w:afterLines="100" w:line="360" w:lineRule="auto"/>
        <w:ind w:firstLine="510"/>
        <w:outlineLvl w:val="2"/>
        <w:rPr>
          <w:rFonts w:ascii="Times New Roman" w:hAnsi="Times New Roman" w:eastAsia="黑体"/>
          <w:b/>
          <w:bCs/>
          <w:kern w:val="24"/>
          <w:sz w:val="28"/>
          <w:szCs w:val="28"/>
        </w:rPr>
      </w:pPr>
      <w:r>
        <w:rPr>
          <w:rFonts w:hint="eastAsia" w:ascii="Times New Roman" w:hAnsi="Times New Roman" w:eastAsia="黑体"/>
          <w:b/>
          <w:bCs/>
          <w:kern w:val="24"/>
          <w:sz w:val="28"/>
          <w:szCs w:val="28"/>
        </w:rPr>
        <w:t>9.1.3</w:t>
      </w:r>
      <w:r>
        <w:rPr>
          <w:rFonts w:ascii="Times New Roman" w:hAnsi="Times New Roman" w:eastAsia="黑体"/>
          <w:b/>
          <w:bCs/>
          <w:kern w:val="24"/>
          <w:sz w:val="28"/>
          <w:szCs w:val="28"/>
        </w:rPr>
        <w:t>—1</w:t>
      </w:r>
      <w:r>
        <w:rPr>
          <w:rFonts w:hint="eastAsia" w:ascii="Times New Roman" w:hAnsi="Times New Roman" w:eastAsia="黑体"/>
          <w:b/>
          <w:bCs/>
          <w:kern w:val="24"/>
          <w:sz w:val="28"/>
          <w:szCs w:val="28"/>
          <w:lang w:val="en-US" w:eastAsia="zh-CN"/>
        </w:rPr>
        <w:t>78</w:t>
      </w:r>
      <w:bookmarkStart w:id="0" w:name="_GoBack"/>
      <w:bookmarkEnd w:id="0"/>
      <w:r>
        <w:rPr>
          <w:rFonts w:hint="eastAsia" w:ascii="Times New Roman" w:hAnsi="Times New Roman" w:eastAsia="黑体"/>
          <w:b/>
          <w:bCs/>
          <w:kern w:val="24"/>
          <w:sz w:val="28"/>
          <w:szCs w:val="28"/>
        </w:rPr>
        <w:t>　纳税信用修复</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【事项名称】</w:t>
      </w:r>
    </w:p>
    <w:p>
      <w:pPr>
        <w:pStyle w:val="23"/>
        <w:adjustRightInd/>
        <w:snapToGrid/>
        <w:ind w:firstLine="480"/>
        <w:rPr>
          <w:b w:val="0"/>
        </w:rPr>
      </w:pPr>
      <w:r>
        <w:rPr>
          <w:rFonts w:hint="eastAsia"/>
          <w:b w:val="0"/>
        </w:rPr>
        <w:t>纳税信用修复</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【申请条件】</w:t>
      </w:r>
    </w:p>
    <w:p>
      <w:pPr>
        <w:wordWrap w:val="0"/>
        <w:spacing w:line="360" w:lineRule="auto"/>
        <w:ind w:firstLine="480"/>
        <w:rPr>
          <w:rFonts w:ascii="Times New Roman" w:hAnsi="Times New Roman"/>
          <w:sz w:val="24"/>
          <w:szCs w:val="24"/>
        </w:rPr>
      </w:pPr>
      <w:r>
        <w:rPr>
          <w:rFonts w:hint="eastAsia" w:ascii="Times New Roman" w:hAnsi="Times New Roman"/>
          <w:sz w:val="24"/>
          <w:szCs w:val="24"/>
        </w:rPr>
        <w:t>纳入纳税信用管理的企业纳税人，符合下列条件之一的，可在规定期限内向主管税务机关申请纳税信用修复。</w:t>
      </w:r>
    </w:p>
    <w:p>
      <w:pPr>
        <w:wordWrap w:val="0"/>
        <w:spacing w:line="360" w:lineRule="auto"/>
        <w:ind w:firstLine="480"/>
        <w:rPr>
          <w:rFonts w:ascii="Times New Roman" w:hAnsi="Times New Roman"/>
          <w:sz w:val="24"/>
          <w:szCs w:val="24"/>
        </w:rPr>
      </w:pPr>
      <w:r>
        <w:rPr>
          <w:rFonts w:hint="eastAsia" w:ascii="Times New Roman" w:hAnsi="Times New Roman"/>
          <w:sz w:val="24"/>
          <w:szCs w:val="24"/>
        </w:rPr>
        <w:t>1.纳税人发生未按法定期限办理纳税申报、税款缴纳、资料备案等事项且已补办的。</w:t>
      </w:r>
    </w:p>
    <w:p>
      <w:pPr>
        <w:wordWrap w:val="0"/>
        <w:spacing w:line="360" w:lineRule="auto"/>
        <w:ind w:firstLine="480"/>
        <w:rPr>
          <w:rFonts w:ascii="Times New Roman" w:hAnsi="Times New Roman"/>
          <w:sz w:val="24"/>
          <w:szCs w:val="24"/>
        </w:rPr>
      </w:pPr>
      <w:r>
        <w:rPr>
          <w:rFonts w:hint="eastAsia" w:ascii="Times New Roman" w:hAnsi="Times New Roman"/>
          <w:sz w:val="24"/>
          <w:szCs w:val="24"/>
        </w:rPr>
        <w:t>2.未按税务机关处理结论缴纳或者足额缴纳税款、滞纳金和罚款，未构成犯罪，纳税信用级别被直接判为D级的纳税人，在税务机关处理结论明确的期限期满后60日内足额缴纳、补缴的。</w:t>
      </w:r>
    </w:p>
    <w:p>
      <w:pPr>
        <w:wordWrap w:val="0"/>
        <w:spacing w:line="360" w:lineRule="auto"/>
        <w:ind w:firstLine="480"/>
        <w:rPr>
          <w:rFonts w:ascii="Times New Roman" w:hAnsi="Times New Roman"/>
          <w:sz w:val="24"/>
          <w:szCs w:val="24"/>
        </w:rPr>
      </w:pPr>
      <w:r>
        <w:rPr>
          <w:rFonts w:hint="eastAsia" w:ascii="Times New Roman" w:hAnsi="Times New Roman"/>
          <w:sz w:val="24"/>
          <w:szCs w:val="24"/>
        </w:rPr>
        <w:t>3.纳税人履行相应法律义务并由税务机关依法解除非正常户状态的。</w:t>
      </w:r>
    </w:p>
    <w:p>
      <w:pPr>
        <w:wordWrap w:val="0"/>
        <w:spacing w:line="360" w:lineRule="auto"/>
        <w:ind w:firstLine="480"/>
        <w:rPr>
          <w:rFonts w:ascii="黑体" w:hAnsi="黑体" w:eastAsia="黑体"/>
          <w:bCs/>
          <w:sz w:val="24"/>
          <w:szCs w:val="24"/>
        </w:rPr>
      </w:pPr>
      <w:r>
        <w:rPr>
          <w:rFonts w:ascii="黑体" w:hAnsi="黑体" w:eastAsia="黑体"/>
          <w:bCs/>
          <w:sz w:val="24"/>
          <w:szCs w:val="24"/>
        </w:rPr>
        <w:t>【设定依据】</w:t>
      </w:r>
    </w:p>
    <w:p>
      <w:pPr>
        <w:wordWrap w:val="0"/>
        <w:spacing w:line="360" w:lineRule="auto"/>
        <w:ind w:firstLine="480"/>
        <w:rPr>
          <w:rFonts w:ascii="宋体" w:hAnsi="宋体"/>
          <w:sz w:val="24"/>
          <w:szCs w:val="24"/>
        </w:rPr>
      </w:pPr>
      <w:r>
        <w:rPr>
          <w:rFonts w:ascii="宋体" w:hAnsi="宋体"/>
          <w:sz w:val="24"/>
          <w:szCs w:val="24"/>
        </w:rPr>
        <w:t>《国家税务总局关于</w:t>
      </w:r>
      <w:r>
        <w:rPr>
          <w:rFonts w:hint="eastAsia" w:ascii="宋体" w:hAnsi="宋体"/>
          <w:sz w:val="24"/>
          <w:szCs w:val="24"/>
        </w:rPr>
        <w:t>纳税信用修复有关事项</w:t>
      </w:r>
      <w:r>
        <w:rPr>
          <w:rFonts w:ascii="宋体" w:hAnsi="宋体"/>
          <w:sz w:val="24"/>
          <w:szCs w:val="24"/>
        </w:rPr>
        <w:t>的公告》（国家税务总局公告</w:t>
      </w:r>
      <w:r>
        <w:rPr>
          <w:rFonts w:hint="eastAsia" w:ascii="Times New Roman" w:hAnsi="Times New Roman"/>
          <w:sz w:val="24"/>
          <w:szCs w:val="24"/>
        </w:rPr>
        <w:t>2019</w:t>
      </w:r>
      <w:r>
        <w:rPr>
          <w:rFonts w:ascii="宋体" w:hAnsi="宋体"/>
          <w:sz w:val="24"/>
          <w:szCs w:val="24"/>
        </w:rPr>
        <w:t>年第</w:t>
      </w:r>
      <w:r>
        <w:rPr>
          <w:rFonts w:hint="eastAsia" w:ascii="Times New Roman" w:hAnsi="Times New Roman"/>
          <w:sz w:val="24"/>
          <w:szCs w:val="24"/>
        </w:rPr>
        <w:t>37</w:t>
      </w:r>
      <w:r>
        <w:rPr>
          <w:rFonts w:ascii="宋体" w:hAnsi="宋体"/>
          <w:sz w:val="24"/>
          <w:szCs w:val="24"/>
        </w:rPr>
        <w:t>号）</w:t>
      </w:r>
    </w:p>
    <w:p>
      <w:pPr>
        <w:wordWrap w:val="0"/>
        <w:spacing w:line="360" w:lineRule="auto"/>
        <w:ind w:firstLine="480"/>
        <w:rPr>
          <w:rFonts w:ascii="黑体" w:hAnsi="黑体" w:eastAsia="黑体"/>
          <w:bCs/>
          <w:sz w:val="24"/>
          <w:szCs w:val="24"/>
        </w:rPr>
      </w:pPr>
      <w:r>
        <w:rPr>
          <w:rFonts w:hint="eastAsia" w:ascii="黑体" w:hAnsi="黑体" w:eastAsia="黑体"/>
          <w:bCs/>
          <w:sz w:val="24"/>
          <w:szCs w:val="24"/>
        </w:rPr>
        <w:t>【办理材料】</w:t>
      </w:r>
    </w:p>
    <w:tbl>
      <w:tblPr>
        <w:tblStyle w:val="1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069"/>
        <w:gridCol w:w="85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序号</w:t>
            </w:r>
          </w:p>
        </w:tc>
        <w:tc>
          <w:tcPr>
            <w:tcW w:w="40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材料名称</w:t>
            </w:r>
          </w:p>
        </w:tc>
        <w:tc>
          <w:tcPr>
            <w:tcW w:w="85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数量</w:t>
            </w:r>
          </w:p>
        </w:tc>
        <w:tc>
          <w:tcPr>
            <w:tcW w:w="256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360" w:lineRule="auto"/>
              <w:jc w:val="center"/>
              <w:rPr>
                <w:rFonts w:ascii="黑体" w:hAnsi="黑体" w:eastAsia="黑体"/>
                <w:szCs w:val="21"/>
              </w:rPr>
            </w:pPr>
            <w:r>
              <w:rPr>
                <w:rFonts w:ascii="黑体" w:hAns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szCs w:val="21"/>
              </w:rPr>
            </w:pPr>
            <w:r>
              <w:rPr>
                <w:rFonts w:hint="eastAsia" w:ascii="Times New Roman" w:hAnsi="Times New Roman" w:eastAsia="黑体"/>
                <w:szCs w:val="21"/>
              </w:rPr>
              <w:t>1</w:t>
            </w:r>
          </w:p>
        </w:tc>
        <w:tc>
          <w:tcPr>
            <w:tcW w:w="406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cs="Microsoft Himalaya"/>
                <w:sz w:val="18"/>
                <w:szCs w:val="18"/>
              </w:rPr>
            </w:pPr>
            <w:r>
              <w:rPr>
                <w:rFonts w:ascii="黑体" w:hAnsi="黑体" w:eastAsia="黑体" w:cs="Microsoft Himalaya"/>
                <w:sz w:val="18"/>
                <w:szCs w:val="18"/>
              </w:rPr>
              <w:t>《纳税信用</w:t>
            </w:r>
            <w:r>
              <w:rPr>
                <w:rFonts w:hint="eastAsia" w:ascii="黑体" w:hAnsi="黑体" w:eastAsia="黑体" w:cs="Microsoft Himalaya"/>
                <w:sz w:val="18"/>
                <w:szCs w:val="18"/>
              </w:rPr>
              <w:t>修复</w:t>
            </w:r>
            <w:r>
              <w:rPr>
                <w:rFonts w:ascii="黑体" w:hAnsi="黑体" w:eastAsia="黑体" w:cs="Microsoft Himalaya"/>
                <w:sz w:val="18"/>
                <w:szCs w:val="18"/>
              </w:rPr>
              <w:t>申请表》</w:t>
            </w:r>
          </w:p>
        </w:tc>
        <w:tc>
          <w:tcPr>
            <w:tcW w:w="850"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cs="Microsoft Himalaya"/>
                <w:sz w:val="18"/>
                <w:szCs w:val="18"/>
              </w:rPr>
            </w:pPr>
            <w:r>
              <w:rPr>
                <w:rFonts w:hint="eastAsia" w:ascii="黑体" w:hAnsi="黑体" w:eastAsia="黑体" w:cs="Microsoft Himalaya"/>
                <w:sz w:val="18"/>
                <w:szCs w:val="18"/>
              </w:rPr>
              <w:t>2</w:t>
            </w:r>
            <w:r>
              <w:rPr>
                <w:rFonts w:ascii="黑体" w:hAnsi="黑体" w:eastAsia="黑体" w:cs="Microsoft Himalaya"/>
                <w:sz w:val="18"/>
                <w:szCs w:val="18"/>
              </w:rPr>
              <w:t>份</w:t>
            </w:r>
          </w:p>
        </w:tc>
        <w:tc>
          <w:tcPr>
            <w:tcW w:w="2564"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ascii="黑体" w:hAnsi="黑体" w:eastAsia="黑体" w:cs="Microsoft Himalaya"/>
                <w:sz w:val="18"/>
                <w:szCs w:val="18"/>
              </w:rPr>
            </w:pPr>
            <w:r>
              <w:rPr>
                <w:rFonts w:hint="eastAsia" w:ascii="黑体" w:hAnsi="黑体" w:eastAsia="黑体" w:cs="Microsoft Himalaya"/>
                <w:sz w:val="18"/>
                <w:szCs w:val="18"/>
              </w:rPr>
              <w:t>符合</w:t>
            </w:r>
            <w:r>
              <w:rPr>
                <w:rFonts w:ascii="黑体" w:hAnsi="黑体" w:eastAsia="黑体" w:cs="Microsoft Himalaya"/>
                <w:sz w:val="18"/>
                <w:szCs w:val="18"/>
              </w:rPr>
              <w:t>条件的可免于申请</w:t>
            </w:r>
          </w:p>
        </w:tc>
      </w:tr>
    </w:tbl>
    <w:p>
      <w:pPr>
        <w:wordWrap w:val="0"/>
        <w:spacing w:line="360" w:lineRule="auto"/>
        <w:ind w:firstLine="480"/>
        <w:rPr>
          <w:rFonts w:ascii="黑体" w:hAnsi="黑体" w:eastAsia="黑体"/>
          <w:bCs/>
          <w:sz w:val="24"/>
          <w:szCs w:val="24"/>
        </w:rPr>
      </w:pPr>
      <w:r>
        <w:rPr>
          <w:rFonts w:ascii="黑体" w:hAnsi="黑体" w:eastAsia="黑体"/>
          <w:bCs/>
          <w:sz w:val="24"/>
          <w:szCs w:val="24"/>
        </w:rPr>
        <w:t>【办理地点】</w:t>
      </w:r>
    </w:p>
    <w:p>
      <w:pPr>
        <w:wordWrap w:val="0"/>
        <w:spacing w:line="360" w:lineRule="auto"/>
        <w:ind w:firstLine="480"/>
        <w:rPr>
          <w:rFonts w:ascii="宋体" w:hAnsi="宋体"/>
          <w:sz w:val="24"/>
          <w:szCs w:val="24"/>
        </w:rPr>
      </w:pPr>
      <w:r>
        <w:rPr>
          <w:rFonts w:ascii="宋体" w:hAnsi="宋体"/>
          <w:sz w:val="24"/>
          <w:szCs w:val="24"/>
        </w:rPr>
        <w:t>可通过办税服务厅（场所）办理，具体地点可从省（自治区、直辖市和计划单列市）税务局网站“纳税服务”栏目查询。</w:t>
      </w:r>
    </w:p>
    <w:p>
      <w:pPr>
        <w:wordWrap w:val="0"/>
        <w:spacing w:line="360" w:lineRule="auto"/>
        <w:ind w:firstLine="480"/>
        <w:rPr>
          <w:rFonts w:ascii="黑体" w:hAnsi="黑体" w:eastAsia="黑体"/>
          <w:bCs/>
          <w:sz w:val="24"/>
          <w:szCs w:val="24"/>
        </w:rPr>
      </w:pPr>
      <w:r>
        <w:rPr>
          <w:rFonts w:ascii="黑体" w:hAnsi="黑体" w:eastAsia="黑体"/>
          <w:bCs/>
          <w:sz w:val="24"/>
          <w:szCs w:val="24"/>
        </w:rPr>
        <w:t>【办理机构】</w:t>
      </w:r>
    </w:p>
    <w:p>
      <w:pPr>
        <w:wordWrap w:val="0"/>
        <w:spacing w:line="360" w:lineRule="auto"/>
        <w:ind w:firstLine="480"/>
        <w:rPr>
          <w:rFonts w:ascii="宋体" w:hAnsi="宋体"/>
          <w:sz w:val="24"/>
          <w:szCs w:val="24"/>
        </w:rPr>
      </w:pPr>
      <w:r>
        <w:rPr>
          <w:rFonts w:ascii="宋体" w:hAnsi="宋体"/>
          <w:sz w:val="24"/>
          <w:szCs w:val="24"/>
        </w:rPr>
        <w:t>主管税务机关</w:t>
      </w:r>
    </w:p>
    <w:p>
      <w:pPr>
        <w:wordWrap w:val="0"/>
        <w:spacing w:line="360" w:lineRule="auto"/>
        <w:ind w:firstLine="480"/>
        <w:rPr>
          <w:rFonts w:ascii="黑体" w:hAnsi="黑体" w:eastAsia="黑体"/>
          <w:bCs/>
          <w:sz w:val="24"/>
          <w:szCs w:val="24"/>
        </w:rPr>
      </w:pPr>
      <w:r>
        <w:rPr>
          <w:rFonts w:ascii="黑体" w:hAnsi="黑体" w:eastAsia="黑体"/>
          <w:bCs/>
          <w:sz w:val="24"/>
          <w:szCs w:val="24"/>
        </w:rPr>
        <w:t>【收费标准】</w:t>
      </w:r>
    </w:p>
    <w:p>
      <w:pPr>
        <w:wordWrap w:val="0"/>
        <w:spacing w:line="360" w:lineRule="auto"/>
        <w:ind w:firstLine="480"/>
        <w:rPr>
          <w:rFonts w:ascii="宋体" w:hAnsi="宋体"/>
          <w:sz w:val="24"/>
          <w:szCs w:val="24"/>
        </w:rPr>
      </w:pPr>
      <w:r>
        <w:rPr>
          <w:rFonts w:ascii="宋体" w:hAnsi="宋体"/>
          <w:sz w:val="24"/>
          <w:szCs w:val="24"/>
        </w:rPr>
        <w:t>不收费</w:t>
      </w:r>
    </w:p>
    <w:p>
      <w:pPr>
        <w:wordWrap w:val="0"/>
        <w:spacing w:line="360" w:lineRule="auto"/>
        <w:ind w:firstLine="480"/>
        <w:rPr>
          <w:rFonts w:ascii="黑体" w:hAnsi="黑体" w:eastAsia="黑体"/>
          <w:bCs/>
          <w:sz w:val="24"/>
          <w:szCs w:val="24"/>
        </w:rPr>
      </w:pPr>
      <w:r>
        <w:rPr>
          <w:rFonts w:ascii="黑体" w:hAnsi="黑体" w:eastAsia="黑体"/>
          <w:bCs/>
          <w:sz w:val="24"/>
          <w:szCs w:val="24"/>
        </w:rPr>
        <w:t>【办理时间】</w:t>
      </w:r>
    </w:p>
    <w:p>
      <w:pPr>
        <w:wordWrap w:val="0"/>
        <w:spacing w:line="360" w:lineRule="auto"/>
        <w:ind w:firstLine="480"/>
        <w:rPr>
          <w:rFonts w:ascii="宋体" w:hAnsi="宋体"/>
          <w:sz w:val="24"/>
          <w:szCs w:val="24"/>
        </w:rPr>
      </w:pPr>
      <w:r>
        <w:rPr>
          <w:rFonts w:ascii="宋体" w:hAnsi="宋体"/>
          <w:sz w:val="24"/>
          <w:szCs w:val="24"/>
        </w:rPr>
        <w:t>自受理之日起</w:t>
      </w:r>
      <w:r>
        <w:rPr>
          <w:rFonts w:hint="eastAsia" w:ascii="Times New Roman" w:hAnsi="Times New Roman"/>
          <w:sz w:val="24"/>
          <w:szCs w:val="24"/>
        </w:rPr>
        <w:t>15</w:t>
      </w:r>
      <w:r>
        <w:rPr>
          <w:rFonts w:ascii="宋体" w:hAnsi="宋体"/>
          <w:sz w:val="24"/>
          <w:szCs w:val="24"/>
        </w:rPr>
        <w:t xml:space="preserve">个工作日内办结 </w:t>
      </w:r>
    </w:p>
    <w:p>
      <w:pPr>
        <w:wordWrap w:val="0"/>
        <w:spacing w:line="360" w:lineRule="auto"/>
        <w:ind w:firstLine="480"/>
        <w:rPr>
          <w:rFonts w:ascii="黑体" w:hAnsi="黑体" w:eastAsia="黑体"/>
          <w:bCs/>
          <w:sz w:val="24"/>
          <w:szCs w:val="24"/>
        </w:rPr>
      </w:pPr>
      <w:r>
        <w:rPr>
          <w:rFonts w:ascii="黑体" w:hAnsi="黑体" w:eastAsia="黑体"/>
          <w:bCs/>
          <w:sz w:val="24"/>
          <w:szCs w:val="24"/>
        </w:rPr>
        <w:t>【联系电话】</w:t>
      </w:r>
    </w:p>
    <w:p>
      <w:pPr>
        <w:wordWrap w:val="0"/>
        <w:spacing w:line="360" w:lineRule="auto"/>
        <w:ind w:firstLine="480"/>
        <w:rPr>
          <w:rFonts w:ascii="宋体" w:hAnsi="宋体"/>
          <w:sz w:val="24"/>
          <w:szCs w:val="24"/>
        </w:rPr>
      </w:pPr>
      <w:r>
        <w:rPr>
          <w:rFonts w:ascii="宋体" w:hAnsi="宋体"/>
          <w:sz w:val="24"/>
          <w:szCs w:val="24"/>
        </w:rPr>
        <w:t>主管税务机关对外公开的联系电话，可从省（自治区、直辖市和计划单列市）税务局网站“纳税服务”栏目查询。</w:t>
      </w:r>
    </w:p>
    <w:p>
      <w:pPr>
        <w:wordWrap w:val="0"/>
        <w:spacing w:line="360" w:lineRule="auto"/>
        <w:ind w:firstLine="480"/>
        <w:rPr>
          <w:rFonts w:ascii="黑体" w:hAnsi="黑体" w:eastAsia="黑体"/>
          <w:bCs/>
          <w:sz w:val="24"/>
          <w:szCs w:val="24"/>
        </w:rPr>
      </w:pPr>
      <w:r>
        <w:rPr>
          <w:rFonts w:ascii="黑体" w:hAnsi="黑体" w:eastAsia="黑体"/>
          <w:bCs/>
          <w:sz w:val="24"/>
          <w:szCs w:val="24"/>
        </w:rPr>
        <w:t>【办理流程】</w:t>
      </w:r>
    </w:p>
    <w:p>
      <w:pPr>
        <w:wordWrap w:val="0"/>
        <w:spacing w:line="360" w:lineRule="auto"/>
        <w:rPr>
          <w:rFonts w:ascii="黑体" w:hAnsi="黑体" w:eastAsia="黑体"/>
          <w:bCs/>
          <w:sz w:val="24"/>
          <w:szCs w:val="24"/>
        </w:rPr>
      </w:pPr>
      <w:r>
        <w:rPr>
          <w:rFonts w:ascii="宋体" w:hAnsi="宋体"/>
        </w:rPr>
        <w:drawing>
          <wp:inline distT="0" distB="0" distL="114300" distR="114300">
            <wp:extent cx="5184140" cy="1769745"/>
            <wp:effectExtent l="0" t="0" r="12700" b="13335"/>
            <wp:docPr id="1" name="图片 125"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1" name="图片 125" descr="C:\Users\baoqianyu\Desktop\流程图\流转\纳税人.png纳税人"/>
                    <pic:cNvPicPr/>
                  </pic:nvPicPr>
                  <pic:blipFill>
                    <a:blip r:embed="rId4" cstate="print"/>
                    <a:srcRect/>
                    <a:stretch>
                      <a:fillRect/>
                    </a:stretch>
                  </pic:blipFill>
                  <pic:spPr>
                    <a:xfrm>
                      <a:off x="0" y="0"/>
                      <a:ext cx="5184140" cy="1769745"/>
                    </a:xfrm>
                    <a:prstGeom prst="rect">
                      <a:avLst/>
                    </a:prstGeom>
                  </pic:spPr>
                </pic:pic>
              </a:graphicData>
            </a:graphic>
          </wp:inline>
        </w:drawing>
      </w:r>
      <w:r>
        <w:rPr>
          <w:rFonts w:ascii="宋体" w:hAnsi="宋体"/>
          <w:sz w:val="24"/>
          <w:szCs w:val="24"/>
        </w:rPr>
        <w:tab/>
      </w:r>
      <w:r>
        <w:rPr>
          <w:rFonts w:ascii="黑体" w:hAnsi="黑体" w:eastAsia="黑体"/>
          <w:bCs/>
          <w:sz w:val="24"/>
          <w:szCs w:val="24"/>
        </w:rPr>
        <w:t>【纳税人注意事项】</w:t>
      </w:r>
    </w:p>
    <w:p>
      <w:pPr>
        <w:wordWrap w:val="0"/>
        <w:spacing w:line="360" w:lineRule="auto"/>
        <w:ind w:firstLine="480"/>
        <w:rPr>
          <w:rFonts w:ascii="宋体" w:hAnsi="宋体"/>
          <w:sz w:val="24"/>
          <w:szCs w:val="24"/>
        </w:rPr>
      </w:pPr>
      <w:r>
        <w:rPr>
          <w:rFonts w:hint="eastAsia" w:ascii="Times New Roman" w:hAnsi="Times New Roman"/>
          <w:sz w:val="24"/>
          <w:szCs w:val="24"/>
        </w:rPr>
        <w:t>1.</w:t>
      </w:r>
      <w:r>
        <w:rPr>
          <w:rFonts w:ascii="宋体" w:hAnsi="宋体"/>
          <w:sz w:val="24"/>
          <w:szCs w:val="24"/>
        </w:rPr>
        <w:t>纳税人对报送材料的真实性和合法性承担责任。</w:t>
      </w:r>
    </w:p>
    <w:p>
      <w:pPr>
        <w:wordWrap w:val="0"/>
        <w:spacing w:line="360" w:lineRule="auto"/>
        <w:ind w:firstLine="480"/>
        <w:rPr>
          <w:rFonts w:ascii="宋体" w:hAnsi="宋体"/>
          <w:sz w:val="24"/>
          <w:szCs w:val="24"/>
        </w:rPr>
      </w:pPr>
      <w:r>
        <w:rPr>
          <w:rFonts w:ascii="Times New Roman" w:hAnsi="Times New Roman"/>
          <w:sz w:val="24"/>
          <w:szCs w:val="24"/>
        </w:rPr>
        <w:t>2.</w:t>
      </w:r>
      <w:r>
        <w:rPr>
          <w:rFonts w:hint="eastAsia" w:ascii="宋体" w:hAnsi="宋体"/>
          <w:sz w:val="24"/>
          <w:szCs w:val="24"/>
        </w:rPr>
        <w:t>需向主管税务机关提出纳税信用修复申请的纳税人应同时对纠正失信行为的真实性作出承诺。</w:t>
      </w:r>
    </w:p>
    <w:p>
      <w:pPr>
        <w:wordWrap w:val="0"/>
        <w:spacing w:line="360" w:lineRule="auto"/>
        <w:ind w:firstLine="480"/>
        <w:rPr>
          <w:rFonts w:ascii="宋体" w:hAnsi="宋体"/>
          <w:sz w:val="24"/>
          <w:szCs w:val="24"/>
        </w:rPr>
      </w:pPr>
      <w:r>
        <w:rPr>
          <w:rFonts w:ascii="Times New Roman" w:hAnsi="Times New Roman"/>
          <w:sz w:val="24"/>
          <w:szCs w:val="24"/>
        </w:rPr>
        <w:t>3</w:t>
      </w:r>
      <w:r>
        <w:rPr>
          <w:rFonts w:hint="eastAsia" w:ascii="Times New Roman" w:hAnsi="Times New Roman"/>
          <w:sz w:val="24"/>
          <w:szCs w:val="24"/>
        </w:rPr>
        <w:t>.</w:t>
      </w:r>
      <w:r>
        <w:rPr>
          <w:rFonts w:ascii="宋体" w:hAnsi="宋体"/>
          <w:sz w:val="24"/>
          <w:szCs w:val="24"/>
        </w:rPr>
        <w:t>纳税人使用符合电子签名法规定条件的电子签名，与手写签名或者盖章具有同等法律效力。</w:t>
      </w:r>
    </w:p>
    <w:p>
      <w:pPr>
        <w:wordWrap w:val="0"/>
        <w:spacing w:line="360" w:lineRule="auto"/>
        <w:ind w:firstLine="480"/>
        <w:rPr>
          <w:rFonts w:ascii="宋体" w:hAnsi="宋体"/>
          <w:sz w:val="24"/>
          <w:szCs w:val="24"/>
        </w:rPr>
      </w:pPr>
      <w:r>
        <w:rPr>
          <w:rFonts w:ascii="Times New Roman" w:hAnsi="Times New Roman"/>
          <w:sz w:val="24"/>
          <w:szCs w:val="24"/>
        </w:rPr>
        <w:t>4</w:t>
      </w:r>
      <w:r>
        <w:rPr>
          <w:rFonts w:hint="eastAsia" w:ascii="Times New Roman" w:hAnsi="Times New Roman"/>
          <w:sz w:val="24"/>
          <w:szCs w:val="24"/>
        </w:rPr>
        <w:t>.</w:t>
      </w:r>
      <w:r>
        <w:rPr>
          <w:rFonts w:ascii="宋体" w:hAnsi="宋体"/>
          <w:sz w:val="24"/>
          <w:szCs w:val="24"/>
        </w:rPr>
        <w:t>文书表单可在省（自治区、直辖市和计划单列市）税务局网站“下载中心”栏目查询下载或到办税服务厅领取。</w:t>
      </w:r>
    </w:p>
    <w:p>
      <w:pPr>
        <w:wordWrap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.发生未按法定期限办理纳税申报、税款缴纳、资料备案等事项且已补办的纳税人，失信行为已纳入纳税信用评价的，可在失信行为被税务机关列入失信记录的次年年底前向主管税务机关提出信用修复申请。</w:t>
      </w:r>
    </w:p>
    <w:p>
      <w:pPr>
        <w:wordWrap w:val="0"/>
        <w:spacing w:line="360" w:lineRule="auto"/>
        <w:ind w:firstLine="480"/>
        <w:rPr>
          <w:rFonts w:ascii="宋体" w:hAnsi="宋体"/>
          <w:sz w:val="24"/>
          <w:szCs w:val="24"/>
        </w:rPr>
      </w:pPr>
      <w:r>
        <w:rPr>
          <w:rFonts w:hint="eastAsia" w:ascii="宋体" w:hAnsi="宋体"/>
          <w:sz w:val="24"/>
          <w:szCs w:val="24"/>
        </w:rPr>
        <w:t>发生未按法定期限办理纳税申报、税款缴纳、资料备案等事项且已补办的纳税人，失信行为尚未纳入纳税信用评价的，纳税人无需提出申请，税务机关将调整纳税人该项纳税信用评价指标分值并进行纳税信用评价。</w:t>
      </w:r>
    </w:p>
    <w:p>
      <w:pPr>
        <w:wordWrap w:val="0"/>
        <w:spacing w:line="360" w:lineRule="auto"/>
        <w:ind w:firstLine="480"/>
        <w:rPr>
          <w:rFonts w:ascii="Times New Roman" w:hAnsi="Times New Roman"/>
          <w:sz w:val="24"/>
          <w:szCs w:val="24"/>
        </w:rPr>
      </w:pPr>
      <w:r>
        <w:rPr>
          <w:rFonts w:ascii="宋体" w:hAnsi="宋体"/>
          <w:sz w:val="24"/>
          <w:szCs w:val="24"/>
        </w:rPr>
        <w:t>6</w:t>
      </w:r>
      <w:r>
        <w:rPr>
          <w:rFonts w:hint="eastAsia" w:ascii="宋体" w:hAnsi="宋体"/>
          <w:sz w:val="24"/>
          <w:szCs w:val="24"/>
        </w:rPr>
        <w:t>.</w:t>
      </w:r>
      <w:r>
        <w:rPr>
          <w:rFonts w:hint="eastAsia" w:ascii="Times New Roman" w:hAnsi="Times New Roman"/>
          <w:sz w:val="24"/>
          <w:szCs w:val="24"/>
        </w:rPr>
        <w:t>未按税务机关处理结论缴纳或者足额缴纳税款、滞纳金和罚款，未构成犯罪，纳税信用级别被直接判为D级，在税务机关处理结论明确的期限期满后60日内足额缴纳、补缴的纳税人和履行相应法律义务并由税务机关依法解除非正常户状态的纳税人，可在纳税信用被直接判为D级的次年年底前向主管税务机关提出申请，税务机关将根据纳税人失信行为纠正情况调整该项纳税信用评价指标的状态，重新评价纳税人的纳税信用级别，但不得评价为A级。</w:t>
      </w:r>
    </w:p>
    <w:p>
      <w:pPr>
        <w:wordWrap w:val="0"/>
        <w:spacing w:line="360" w:lineRule="auto"/>
        <w:ind w:firstLine="480"/>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.非正常户失信行为纳税信用修复一个纳税年度内只能申请一次。纳税年度自公历1月1日起至12月31日止。</w:t>
      </w:r>
    </w:p>
    <w:p>
      <w:pPr>
        <w:wordWrap w:val="0"/>
        <w:spacing w:line="360" w:lineRule="auto"/>
        <w:ind w:firstLine="480"/>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 纳税信用修复后纳税信用级别不再为D级的纳税人，其直接责任人注册登记或者负责经营的其他纳税人之前被关联为D级的，可向主管税务机关申请解除纳税信用D级关联。</w:t>
      </w:r>
    </w:p>
    <w:p>
      <w:pPr>
        <w:wordWrap w:val="0"/>
        <w:spacing w:line="360" w:lineRule="auto"/>
        <w:ind w:firstLine="480"/>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.纳税信用修复完成后，纳税人按照修复后的纳税信用级别适用相应的税收政策和管理服务措施，之前已适用的税收政策和管理服务措施不作追溯调整。</w:t>
      </w:r>
    </w:p>
    <w:p>
      <w:pPr>
        <w:wordWrap w:val="0"/>
        <w:spacing w:line="360" w:lineRule="auto"/>
        <w:ind w:firstLine="480"/>
        <w:rPr>
          <w:rFonts w:ascii="Times New Roman" w:hAnsi="Times New Roman"/>
          <w:sz w:val="24"/>
          <w:szCs w:val="24"/>
        </w:rPr>
      </w:pPr>
    </w:p>
    <w:p/>
    <w:p>
      <w:pPr>
        <w:wordWrap w:val="0"/>
        <w:spacing w:line="360" w:lineRule="auto"/>
        <w:ind w:firstLine="480"/>
        <w:rPr>
          <w:rFonts w:hint="eastAsia"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95B45"/>
    <w:multiLevelType w:val="multilevel"/>
    <w:tmpl w:val="56095B45"/>
    <w:lvl w:ilvl="0" w:tentative="0">
      <w:start w:val="1"/>
      <w:numFmt w:val="bullet"/>
      <w:pStyle w:val="15"/>
      <w:lvlText w:val=""/>
      <w:lvlJc w:val="left"/>
      <w:pPr>
        <w:ind w:left="930" w:hanging="420"/>
      </w:pPr>
      <w:rPr>
        <w:rFonts w:hint="default" w:ascii="Wingdings" w:hAnsi="Wingdings"/>
      </w:rPr>
    </w:lvl>
    <w:lvl w:ilvl="1" w:tentative="0">
      <w:start w:val="1"/>
      <w:numFmt w:val="bullet"/>
      <w:lvlText w:val=""/>
      <w:lvlJc w:val="left"/>
      <w:pPr>
        <w:ind w:left="1350" w:hanging="420"/>
      </w:pPr>
      <w:rPr>
        <w:rFonts w:hint="default" w:ascii="Wingdings" w:hAnsi="Wingdings"/>
      </w:rPr>
    </w:lvl>
    <w:lvl w:ilvl="2" w:tentative="0">
      <w:start w:val="1"/>
      <w:numFmt w:val="bullet"/>
      <w:lvlText w:val=""/>
      <w:lvlJc w:val="left"/>
      <w:pPr>
        <w:ind w:left="1770" w:hanging="420"/>
      </w:pPr>
      <w:rPr>
        <w:rFonts w:hint="default" w:ascii="Wingdings" w:hAnsi="Wingdings"/>
      </w:rPr>
    </w:lvl>
    <w:lvl w:ilvl="3" w:tentative="0">
      <w:start w:val="1"/>
      <w:numFmt w:val="bullet"/>
      <w:lvlText w:val=""/>
      <w:lvlJc w:val="left"/>
      <w:pPr>
        <w:ind w:left="2190" w:hanging="420"/>
      </w:pPr>
      <w:rPr>
        <w:rFonts w:hint="default" w:ascii="Wingdings" w:hAnsi="Wingdings"/>
      </w:rPr>
    </w:lvl>
    <w:lvl w:ilvl="4" w:tentative="0">
      <w:start w:val="1"/>
      <w:numFmt w:val="bullet"/>
      <w:lvlText w:val=""/>
      <w:lvlJc w:val="left"/>
      <w:pPr>
        <w:ind w:left="2610" w:hanging="420"/>
      </w:pPr>
      <w:rPr>
        <w:rFonts w:hint="default" w:ascii="Wingdings" w:hAnsi="Wingdings"/>
      </w:rPr>
    </w:lvl>
    <w:lvl w:ilvl="5" w:tentative="0">
      <w:start w:val="1"/>
      <w:numFmt w:val="bullet"/>
      <w:lvlText w:val=""/>
      <w:lvlJc w:val="left"/>
      <w:pPr>
        <w:ind w:left="3030" w:hanging="420"/>
      </w:pPr>
      <w:rPr>
        <w:rFonts w:hint="default" w:ascii="Wingdings" w:hAnsi="Wingdings"/>
      </w:rPr>
    </w:lvl>
    <w:lvl w:ilvl="6" w:tentative="0">
      <w:start w:val="1"/>
      <w:numFmt w:val="bullet"/>
      <w:lvlText w:val=""/>
      <w:lvlJc w:val="left"/>
      <w:pPr>
        <w:ind w:left="3450" w:hanging="420"/>
      </w:pPr>
      <w:rPr>
        <w:rFonts w:hint="default" w:ascii="Wingdings" w:hAnsi="Wingdings"/>
      </w:rPr>
    </w:lvl>
    <w:lvl w:ilvl="7" w:tentative="0">
      <w:start w:val="1"/>
      <w:numFmt w:val="bullet"/>
      <w:lvlText w:val=""/>
      <w:lvlJc w:val="left"/>
      <w:pPr>
        <w:ind w:left="3870" w:hanging="420"/>
      </w:pPr>
      <w:rPr>
        <w:rFonts w:hint="default" w:ascii="Wingdings" w:hAnsi="Wingdings"/>
      </w:rPr>
    </w:lvl>
    <w:lvl w:ilvl="8" w:tentative="0">
      <w:start w:val="1"/>
      <w:numFmt w:val="bullet"/>
      <w:lvlText w:val=""/>
      <w:lvlJc w:val="left"/>
      <w:pPr>
        <w:ind w:left="4290" w:hanging="420"/>
      </w:pPr>
      <w:rPr>
        <w:rFonts w:hint="default" w:ascii="Wingdings" w:hAnsi="Wingdings"/>
      </w:rPr>
    </w:lvl>
  </w:abstractNum>
  <w:abstractNum w:abstractNumId="1">
    <w:nsid w:val="56930417"/>
    <w:multiLevelType w:val="multilevel"/>
    <w:tmpl w:val="56930417"/>
    <w:lvl w:ilvl="0" w:tentative="0">
      <w:start w:val="1"/>
      <w:numFmt w:val="bullet"/>
      <w:pStyle w:val="2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0859"/>
    <w:rsid w:val="000B4327"/>
    <w:rsid w:val="000C454B"/>
    <w:rsid w:val="00130881"/>
    <w:rsid w:val="00154125"/>
    <w:rsid w:val="00172A27"/>
    <w:rsid w:val="0018317A"/>
    <w:rsid w:val="001A4496"/>
    <w:rsid w:val="00214938"/>
    <w:rsid w:val="0028193D"/>
    <w:rsid w:val="002C08B6"/>
    <w:rsid w:val="002D5593"/>
    <w:rsid w:val="00367284"/>
    <w:rsid w:val="00375BA0"/>
    <w:rsid w:val="003A1F90"/>
    <w:rsid w:val="003A6ADD"/>
    <w:rsid w:val="003C0934"/>
    <w:rsid w:val="003D63F1"/>
    <w:rsid w:val="004364B4"/>
    <w:rsid w:val="00480D45"/>
    <w:rsid w:val="0049732A"/>
    <w:rsid w:val="004D5388"/>
    <w:rsid w:val="0056720F"/>
    <w:rsid w:val="00570844"/>
    <w:rsid w:val="005C7669"/>
    <w:rsid w:val="005D4635"/>
    <w:rsid w:val="005E3DD3"/>
    <w:rsid w:val="005F55A6"/>
    <w:rsid w:val="005F5AC7"/>
    <w:rsid w:val="006145D9"/>
    <w:rsid w:val="00626E47"/>
    <w:rsid w:val="0063088E"/>
    <w:rsid w:val="006C085A"/>
    <w:rsid w:val="00714D9C"/>
    <w:rsid w:val="0071698A"/>
    <w:rsid w:val="00785CD6"/>
    <w:rsid w:val="00821879"/>
    <w:rsid w:val="008473A5"/>
    <w:rsid w:val="00853641"/>
    <w:rsid w:val="00857038"/>
    <w:rsid w:val="00904470"/>
    <w:rsid w:val="0090668B"/>
    <w:rsid w:val="00921777"/>
    <w:rsid w:val="00953199"/>
    <w:rsid w:val="0095750F"/>
    <w:rsid w:val="00967033"/>
    <w:rsid w:val="00987B63"/>
    <w:rsid w:val="009B37D5"/>
    <w:rsid w:val="009D3FD3"/>
    <w:rsid w:val="00A027A3"/>
    <w:rsid w:val="00A12D27"/>
    <w:rsid w:val="00A255C1"/>
    <w:rsid w:val="00A2633B"/>
    <w:rsid w:val="00A32F3A"/>
    <w:rsid w:val="00A3633F"/>
    <w:rsid w:val="00A65714"/>
    <w:rsid w:val="00A97159"/>
    <w:rsid w:val="00AD0C2B"/>
    <w:rsid w:val="00AE521D"/>
    <w:rsid w:val="00B13353"/>
    <w:rsid w:val="00B41A13"/>
    <w:rsid w:val="00B76D9D"/>
    <w:rsid w:val="00BB6150"/>
    <w:rsid w:val="00C042FA"/>
    <w:rsid w:val="00C84986"/>
    <w:rsid w:val="00D00C5D"/>
    <w:rsid w:val="00D50B4A"/>
    <w:rsid w:val="00D60D76"/>
    <w:rsid w:val="00DA753B"/>
    <w:rsid w:val="00DC7DC8"/>
    <w:rsid w:val="00E03690"/>
    <w:rsid w:val="00E33E89"/>
    <w:rsid w:val="00E43FB2"/>
    <w:rsid w:val="00E80419"/>
    <w:rsid w:val="00E825C8"/>
    <w:rsid w:val="00E82D06"/>
    <w:rsid w:val="00EB10E1"/>
    <w:rsid w:val="00EC5928"/>
    <w:rsid w:val="00EC6660"/>
    <w:rsid w:val="00F10FFE"/>
    <w:rsid w:val="00F2661F"/>
    <w:rsid w:val="00F3195B"/>
    <w:rsid w:val="00F44B64"/>
    <w:rsid w:val="00F90BD1"/>
    <w:rsid w:val="00FB2F24"/>
    <w:rsid w:val="02D11211"/>
    <w:rsid w:val="0B702141"/>
    <w:rsid w:val="0C305439"/>
    <w:rsid w:val="0D28713C"/>
    <w:rsid w:val="0FA86E61"/>
    <w:rsid w:val="11E42F98"/>
    <w:rsid w:val="123D09F9"/>
    <w:rsid w:val="14750DFE"/>
    <w:rsid w:val="17511349"/>
    <w:rsid w:val="1ADE526B"/>
    <w:rsid w:val="1C653FE6"/>
    <w:rsid w:val="1CED5B76"/>
    <w:rsid w:val="1EBB605A"/>
    <w:rsid w:val="1F276EE2"/>
    <w:rsid w:val="217E1A37"/>
    <w:rsid w:val="257B6D91"/>
    <w:rsid w:val="274F2D6E"/>
    <w:rsid w:val="279E1DD4"/>
    <w:rsid w:val="2B7E3F08"/>
    <w:rsid w:val="2E6D6B77"/>
    <w:rsid w:val="2EB70B20"/>
    <w:rsid w:val="2F063F9C"/>
    <w:rsid w:val="31DB7FCC"/>
    <w:rsid w:val="33F31659"/>
    <w:rsid w:val="35644F83"/>
    <w:rsid w:val="388412B0"/>
    <w:rsid w:val="418D4F03"/>
    <w:rsid w:val="443233CD"/>
    <w:rsid w:val="46CC1A4F"/>
    <w:rsid w:val="47D27ECA"/>
    <w:rsid w:val="48852D64"/>
    <w:rsid w:val="51380147"/>
    <w:rsid w:val="514F2488"/>
    <w:rsid w:val="52A81E2A"/>
    <w:rsid w:val="533029C8"/>
    <w:rsid w:val="550C1809"/>
    <w:rsid w:val="55435D61"/>
    <w:rsid w:val="598F6D48"/>
    <w:rsid w:val="5D867C7F"/>
    <w:rsid w:val="5FBD3BB1"/>
    <w:rsid w:val="612E7BDE"/>
    <w:rsid w:val="62FE750F"/>
    <w:rsid w:val="66080A8D"/>
    <w:rsid w:val="66485584"/>
    <w:rsid w:val="66812814"/>
    <w:rsid w:val="6B4E0DA9"/>
    <w:rsid w:val="6C8C4B34"/>
    <w:rsid w:val="6D9C46C9"/>
    <w:rsid w:val="6DDB2915"/>
    <w:rsid w:val="71A1280F"/>
    <w:rsid w:val="71D7525A"/>
    <w:rsid w:val="725907D9"/>
    <w:rsid w:val="72C27974"/>
    <w:rsid w:val="743D47B5"/>
    <w:rsid w:val="75E85932"/>
    <w:rsid w:val="76F51055"/>
    <w:rsid w:val="79200F33"/>
    <w:rsid w:val="7B374F30"/>
    <w:rsid w:val="FC9B9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6"/>
    <w:qFormat/>
    <w:uiPriority w:val="0"/>
    <w:rPr>
      <w:rFonts w:ascii="宋体"/>
      <w:sz w:val="18"/>
      <w:szCs w:val="18"/>
    </w:rPr>
  </w:style>
  <w:style w:type="paragraph" w:styleId="6">
    <w:name w:val="Balloon Text"/>
    <w:basedOn w:val="1"/>
    <w:link w:val="43"/>
    <w:qFormat/>
    <w:uiPriority w:val="0"/>
    <w:rPr>
      <w:sz w:val="18"/>
      <w:szCs w:val="18"/>
    </w:rPr>
  </w:style>
  <w:style w:type="paragraph" w:styleId="7">
    <w:name w:val="footer"/>
    <w:basedOn w:val="1"/>
    <w:link w:val="25"/>
    <w:qFormat/>
    <w:uiPriority w:val="0"/>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themeColor="hyperlink"/>
      <w:u w:val="single"/>
      <w14:textFill>
        <w14:solidFill>
          <w14:schemeClr w14:val="hlink"/>
        </w14:solidFill>
      </w14:textFill>
    </w:rPr>
  </w:style>
  <w:style w:type="table" w:styleId="12">
    <w:name w:val="Table Grid"/>
    <w:basedOn w:val="11"/>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二级标题"/>
    <w:basedOn w:val="3"/>
    <w:link w:val="41"/>
    <w:qFormat/>
    <w:uiPriority w:val="0"/>
    <w:pPr>
      <w:spacing w:beforeLines="150" w:afterLines="150" w:line="360" w:lineRule="auto"/>
      <w:ind w:firstLine="643" w:firstLineChars="200"/>
    </w:pPr>
    <w:rPr>
      <w:rFonts w:ascii="Times New Roman" w:hAnsi="Times New Roman" w:eastAsia="黑体"/>
    </w:rPr>
  </w:style>
  <w:style w:type="paragraph" w:customStyle="1" w:styleId="14">
    <w:name w:val="5.1证明"/>
    <w:basedOn w:val="1"/>
    <w:link w:val="31"/>
    <w:qFormat/>
    <w:uiPriority w:val="0"/>
    <w:pPr>
      <w:keepNext/>
      <w:keepLines/>
      <w:topLinePunct/>
      <w:adjustRightInd w:val="0"/>
      <w:spacing w:before="660" w:after="260"/>
      <w:ind w:firstLine="510"/>
      <w:outlineLvl w:val="1"/>
    </w:pPr>
    <w:rPr>
      <w:rFonts w:ascii="Arial" w:hAnsi="Arial" w:eastAsia="黑体"/>
      <w:b/>
      <w:bCs/>
      <w:kern w:val="24"/>
      <w:sz w:val="32"/>
      <w:szCs w:val="32"/>
    </w:rPr>
  </w:style>
  <w:style w:type="paragraph" w:customStyle="1" w:styleId="15">
    <w:name w:val="标签"/>
    <w:basedOn w:val="1"/>
    <w:link w:val="37"/>
    <w:qFormat/>
    <w:uiPriority w:val="0"/>
    <w:pPr>
      <w:numPr>
        <w:ilvl w:val="0"/>
        <w:numId w:val="1"/>
      </w:numPr>
      <w:topLinePunct/>
      <w:adjustRightInd w:val="0"/>
      <w:spacing w:line="360" w:lineRule="auto"/>
    </w:pPr>
    <w:rPr>
      <w:rFonts w:ascii="Times New Roman" w:hAnsi="Times New Roman"/>
      <w:kern w:val="24"/>
      <w:sz w:val="24"/>
      <w:szCs w:val="24"/>
    </w:rPr>
  </w:style>
  <w:style w:type="paragraph" w:customStyle="1" w:styleId="16">
    <w:name w:val="正文正文"/>
    <w:basedOn w:val="1"/>
    <w:link w:val="39"/>
    <w:qFormat/>
    <w:uiPriority w:val="0"/>
    <w:pPr>
      <w:adjustRightInd w:val="0"/>
      <w:snapToGrid w:val="0"/>
      <w:spacing w:line="360" w:lineRule="auto"/>
      <w:ind w:firstLine="480" w:firstLineChars="200"/>
    </w:pPr>
    <w:rPr>
      <w:rFonts w:ascii="宋体" w:hAnsi="宋体"/>
      <w:sz w:val="24"/>
      <w:szCs w:val="24"/>
    </w:rPr>
  </w:style>
  <w:style w:type="paragraph" w:customStyle="1" w:styleId="17">
    <w:name w:val="列出段落1"/>
    <w:basedOn w:val="1"/>
    <w:qFormat/>
    <w:uiPriority w:val="34"/>
    <w:pPr>
      <w:ind w:firstLine="420" w:firstLineChars="200"/>
    </w:pPr>
  </w:style>
  <w:style w:type="paragraph" w:customStyle="1" w:styleId="18">
    <w:name w:val="样式1【标准】"/>
    <w:basedOn w:val="2"/>
    <w:link w:val="34"/>
    <w:qFormat/>
    <w:uiPriority w:val="0"/>
    <w:pPr>
      <w:tabs>
        <w:tab w:val="center" w:pos="4153"/>
        <w:tab w:val="left" w:pos="6771"/>
      </w:tabs>
      <w:topLinePunct/>
      <w:autoSpaceDE w:val="0"/>
      <w:autoSpaceDN w:val="0"/>
      <w:adjustRightInd w:val="0"/>
      <w:spacing w:beforeLines="100" w:afterLines="100" w:line="360" w:lineRule="auto"/>
      <w:ind w:firstLine="723" w:firstLineChars="200"/>
      <w:jc w:val="center"/>
    </w:pPr>
    <w:rPr>
      <w:rFonts w:ascii="Times New Roman" w:hAnsi="Times New Roman" w:eastAsia="黑体"/>
      <w:bCs w:val="0"/>
      <w:kern w:val="24"/>
      <w:sz w:val="36"/>
      <w:szCs w:val="36"/>
    </w:rPr>
  </w:style>
  <w:style w:type="paragraph" w:customStyle="1" w:styleId="19">
    <w:name w:val="4.1 XX优惠"/>
    <w:basedOn w:val="3"/>
    <w:link w:val="32"/>
    <w:qFormat/>
    <w:uiPriority w:val="0"/>
    <w:pPr>
      <w:topLinePunct/>
      <w:adjustRightInd w:val="0"/>
      <w:spacing w:before="660" w:line="240" w:lineRule="auto"/>
      <w:ind w:firstLine="510"/>
    </w:pPr>
    <w:rPr>
      <w:rFonts w:ascii="Arial" w:hAnsi="Arial" w:eastAsia="黑体"/>
      <w:kern w:val="24"/>
    </w:rPr>
  </w:style>
  <w:style w:type="paragraph" w:customStyle="1" w:styleId="20">
    <w:name w:val="标签标签"/>
    <w:basedOn w:val="17"/>
    <w:link w:val="36"/>
    <w:qFormat/>
    <w:uiPriority w:val="0"/>
    <w:pPr>
      <w:numPr>
        <w:ilvl w:val="0"/>
        <w:numId w:val="2"/>
      </w:numPr>
      <w:adjustRightInd w:val="0"/>
      <w:snapToGrid w:val="0"/>
      <w:spacing w:beforeLines="25" w:afterLines="25" w:line="360" w:lineRule="auto"/>
      <w:ind w:left="0" w:firstLine="480"/>
    </w:pPr>
    <w:rPr>
      <w:rFonts w:ascii="黑体" w:hAnsi="黑体" w:eastAsia="黑体"/>
      <w:kern w:val="24"/>
      <w:sz w:val="24"/>
      <w:szCs w:val="24"/>
    </w:rPr>
  </w:style>
  <w:style w:type="paragraph" w:customStyle="1" w:styleId="21">
    <w:name w:val="3 sunshine"/>
    <w:basedOn w:val="4"/>
    <w:link w:val="28"/>
    <w:qFormat/>
    <w:uiPriority w:val="0"/>
    <w:pPr>
      <w:keepLines w:val="0"/>
      <w:topLinePunct/>
      <w:adjustRightInd w:val="0"/>
      <w:snapToGrid w:val="0"/>
      <w:spacing w:beforeLines="100" w:afterLines="100" w:line="360" w:lineRule="auto"/>
      <w:ind w:firstLine="562" w:firstLineChars="200"/>
    </w:pPr>
    <w:rPr>
      <w:rFonts w:ascii="Times New Roman" w:hAnsi="Times New Roman" w:eastAsia="黑体"/>
      <w:kern w:val="24"/>
      <w:sz w:val="28"/>
      <w:szCs w:val="28"/>
    </w:rPr>
  </w:style>
  <w:style w:type="paragraph" w:customStyle="1" w:styleId="22">
    <w:name w:val="5.1.1 完税"/>
    <w:basedOn w:val="1"/>
    <w:link w:val="30"/>
    <w:qFormat/>
    <w:uiPriority w:val="0"/>
    <w:pPr>
      <w:keepNext/>
      <w:topLinePunct/>
      <w:adjustRightInd w:val="0"/>
      <w:snapToGrid w:val="0"/>
      <w:spacing w:afterLines="125"/>
      <w:ind w:firstLine="510"/>
      <w:outlineLvl w:val="2"/>
    </w:pPr>
    <w:rPr>
      <w:rFonts w:ascii="Times New Roman" w:hAnsi="Times New Roman" w:eastAsia="黑体"/>
      <w:b/>
      <w:bCs/>
      <w:kern w:val="24"/>
      <w:sz w:val="28"/>
      <w:szCs w:val="28"/>
    </w:rPr>
  </w:style>
  <w:style w:type="paragraph" w:customStyle="1" w:styleId="23">
    <w:name w:val="【事项描】"/>
    <w:basedOn w:val="1"/>
    <w:link w:val="42"/>
    <w:qFormat/>
    <w:uiPriority w:val="0"/>
    <w:pPr>
      <w:adjustRightInd w:val="0"/>
      <w:snapToGrid w:val="0"/>
      <w:spacing w:line="360" w:lineRule="auto"/>
      <w:ind w:firstLine="482" w:firstLineChars="200"/>
    </w:pPr>
    <w:rPr>
      <w:rFonts w:ascii="宋体" w:hAnsi="宋体"/>
      <w:b/>
      <w:sz w:val="24"/>
      <w:szCs w:val="24"/>
    </w:rPr>
  </w:style>
  <w:style w:type="paragraph" w:customStyle="1" w:styleId="24">
    <w:name w:val="4.1.1 XX优惠"/>
    <w:basedOn w:val="4"/>
    <w:link w:val="40"/>
    <w:qFormat/>
    <w:uiPriority w:val="0"/>
    <w:pPr>
      <w:keepLines w:val="0"/>
      <w:topLinePunct/>
      <w:adjustRightInd w:val="0"/>
      <w:snapToGrid w:val="0"/>
      <w:spacing w:before="0" w:afterLines="125" w:line="240" w:lineRule="auto"/>
      <w:ind w:firstLine="510"/>
    </w:pPr>
    <w:rPr>
      <w:rFonts w:ascii="Times New Roman" w:hAnsi="Times New Roman" w:eastAsia="黑体"/>
      <w:kern w:val="24"/>
      <w:sz w:val="28"/>
      <w:szCs w:val="28"/>
    </w:rPr>
  </w:style>
  <w:style w:type="character" w:customStyle="1" w:styleId="25">
    <w:name w:val="页脚 字符"/>
    <w:link w:val="7"/>
    <w:qFormat/>
    <w:uiPriority w:val="0"/>
    <w:rPr>
      <w:kern w:val="2"/>
      <w:sz w:val="18"/>
      <w:szCs w:val="18"/>
    </w:rPr>
  </w:style>
  <w:style w:type="character" w:customStyle="1" w:styleId="26">
    <w:name w:val="文档结构图 字符"/>
    <w:basedOn w:val="9"/>
    <w:link w:val="5"/>
    <w:qFormat/>
    <w:uiPriority w:val="0"/>
    <w:rPr>
      <w:rFonts w:ascii="宋体"/>
      <w:kern w:val="2"/>
      <w:sz w:val="18"/>
      <w:szCs w:val="18"/>
    </w:rPr>
  </w:style>
  <w:style w:type="character" w:customStyle="1" w:styleId="27">
    <w:name w:val="页眉 字符"/>
    <w:link w:val="8"/>
    <w:qFormat/>
    <w:uiPriority w:val="0"/>
    <w:rPr>
      <w:kern w:val="2"/>
      <w:sz w:val="18"/>
      <w:szCs w:val="18"/>
    </w:rPr>
  </w:style>
  <w:style w:type="character" w:customStyle="1" w:styleId="28">
    <w:name w:val="3 sunshine 字符"/>
    <w:link w:val="21"/>
    <w:qFormat/>
    <w:uiPriority w:val="0"/>
    <w:rPr>
      <w:rFonts w:ascii="Times New Roman" w:hAnsi="Times New Roman" w:eastAsia="黑体"/>
      <w:b/>
      <w:bCs/>
      <w:kern w:val="24"/>
      <w:sz w:val="28"/>
      <w:szCs w:val="28"/>
    </w:rPr>
  </w:style>
  <w:style w:type="character" w:customStyle="1" w:styleId="29">
    <w:name w:val="标题 2 字符"/>
    <w:link w:val="3"/>
    <w:qFormat/>
    <w:uiPriority w:val="0"/>
    <w:rPr>
      <w:rFonts w:ascii="等线 Light" w:hAnsi="等线 Light" w:eastAsia="等线 Light" w:cs="Times New Roman"/>
      <w:b/>
      <w:bCs/>
      <w:kern w:val="2"/>
      <w:sz w:val="32"/>
      <w:szCs w:val="32"/>
    </w:rPr>
  </w:style>
  <w:style w:type="character" w:customStyle="1" w:styleId="30">
    <w:name w:val="5.1.1 完税 字符"/>
    <w:link w:val="22"/>
    <w:qFormat/>
    <w:uiPriority w:val="0"/>
    <w:rPr>
      <w:rFonts w:ascii="Times New Roman" w:hAnsi="Times New Roman" w:eastAsia="黑体"/>
      <w:b/>
      <w:bCs/>
      <w:kern w:val="24"/>
      <w:sz w:val="28"/>
      <w:szCs w:val="28"/>
    </w:rPr>
  </w:style>
  <w:style w:type="character" w:customStyle="1" w:styleId="31">
    <w:name w:val="5.1证明 字符"/>
    <w:link w:val="14"/>
    <w:qFormat/>
    <w:uiPriority w:val="0"/>
    <w:rPr>
      <w:rFonts w:ascii="Arial" w:hAnsi="Arial" w:eastAsia="黑体"/>
      <w:b/>
      <w:bCs/>
      <w:kern w:val="24"/>
      <w:sz w:val="32"/>
      <w:szCs w:val="32"/>
    </w:rPr>
  </w:style>
  <w:style w:type="character" w:customStyle="1" w:styleId="32">
    <w:name w:val="4.1 XX优惠 字符"/>
    <w:link w:val="19"/>
    <w:qFormat/>
    <w:uiPriority w:val="0"/>
    <w:rPr>
      <w:rFonts w:ascii="Arial" w:hAnsi="Arial" w:eastAsia="黑体"/>
      <w:b/>
      <w:bCs/>
      <w:kern w:val="24"/>
      <w:sz w:val="32"/>
      <w:szCs w:val="32"/>
    </w:rPr>
  </w:style>
  <w:style w:type="character" w:customStyle="1" w:styleId="33">
    <w:name w:val="标题 3 字符"/>
    <w:link w:val="4"/>
    <w:qFormat/>
    <w:uiPriority w:val="0"/>
    <w:rPr>
      <w:b/>
      <w:bCs/>
      <w:kern w:val="2"/>
      <w:sz w:val="32"/>
      <w:szCs w:val="32"/>
    </w:rPr>
  </w:style>
  <w:style w:type="character" w:customStyle="1" w:styleId="34">
    <w:name w:val="样式1【标准】 字符"/>
    <w:link w:val="18"/>
    <w:qFormat/>
    <w:uiPriority w:val="0"/>
    <w:rPr>
      <w:rFonts w:ascii="Times New Roman" w:hAnsi="Times New Roman" w:eastAsia="黑体"/>
      <w:b/>
      <w:kern w:val="24"/>
      <w:sz w:val="36"/>
      <w:szCs w:val="36"/>
    </w:rPr>
  </w:style>
  <w:style w:type="character" w:customStyle="1" w:styleId="35">
    <w:name w:val="标题 1 Char"/>
    <w:qFormat/>
    <w:locked/>
    <w:uiPriority w:val="0"/>
    <w:rPr>
      <w:rFonts w:ascii="黑体" w:hAnsi="黑体" w:eastAsia="黑体"/>
      <w:kern w:val="24"/>
      <w:sz w:val="36"/>
      <w:szCs w:val="36"/>
    </w:rPr>
  </w:style>
  <w:style w:type="character" w:customStyle="1" w:styleId="36">
    <w:name w:val="标签标签 字符"/>
    <w:link w:val="20"/>
    <w:qFormat/>
    <w:uiPriority w:val="0"/>
    <w:rPr>
      <w:rFonts w:ascii="黑体" w:hAnsi="黑体" w:eastAsia="黑体"/>
      <w:kern w:val="24"/>
      <w:sz w:val="24"/>
      <w:szCs w:val="24"/>
    </w:rPr>
  </w:style>
  <w:style w:type="character" w:customStyle="1" w:styleId="37">
    <w:name w:val="标签 字符"/>
    <w:link w:val="15"/>
    <w:qFormat/>
    <w:uiPriority w:val="0"/>
    <w:rPr>
      <w:rFonts w:ascii="Times New Roman" w:hAnsi="Times New Roman"/>
      <w:kern w:val="24"/>
      <w:sz w:val="24"/>
      <w:szCs w:val="24"/>
    </w:rPr>
  </w:style>
  <w:style w:type="character" w:customStyle="1" w:styleId="38">
    <w:name w:val="标题 1 字符"/>
    <w:link w:val="2"/>
    <w:qFormat/>
    <w:uiPriority w:val="0"/>
    <w:rPr>
      <w:b/>
      <w:bCs/>
      <w:kern w:val="44"/>
      <w:sz w:val="44"/>
      <w:szCs w:val="44"/>
    </w:rPr>
  </w:style>
  <w:style w:type="character" w:customStyle="1" w:styleId="39">
    <w:name w:val="正文正文 字符"/>
    <w:link w:val="16"/>
    <w:qFormat/>
    <w:uiPriority w:val="0"/>
    <w:rPr>
      <w:rFonts w:ascii="宋体" w:hAnsi="宋体"/>
      <w:kern w:val="2"/>
      <w:sz w:val="24"/>
      <w:szCs w:val="24"/>
    </w:rPr>
  </w:style>
  <w:style w:type="character" w:customStyle="1" w:styleId="40">
    <w:name w:val="4.1.1 XX优惠 字符"/>
    <w:link w:val="24"/>
    <w:qFormat/>
    <w:uiPriority w:val="0"/>
    <w:rPr>
      <w:rFonts w:ascii="Times New Roman" w:hAnsi="Times New Roman" w:eastAsia="黑体"/>
      <w:b/>
      <w:bCs/>
      <w:kern w:val="24"/>
      <w:sz w:val="28"/>
      <w:szCs w:val="28"/>
    </w:rPr>
  </w:style>
  <w:style w:type="character" w:customStyle="1" w:styleId="41">
    <w:name w:val="二级标题 字符"/>
    <w:link w:val="13"/>
    <w:qFormat/>
    <w:uiPriority w:val="0"/>
    <w:rPr>
      <w:rFonts w:ascii="Times New Roman" w:hAnsi="Times New Roman" w:eastAsia="黑体"/>
      <w:b/>
      <w:bCs/>
      <w:kern w:val="2"/>
      <w:sz w:val="32"/>
      <w:szCs w:val="32"/>
    </w:rPr>
  </w:style>
  <w:style w:type="character" w:customStyle="1" w:styleId="42">
    <w:name w:val="【事项描】 字符"/>
    <w:link w:val="23"/>
    <w:qFormat/>
    <w:uiPriority w:val="0"/>
    <w:rPr>
      <w:rFonts w:ascii="宋体" w:hAnsi="宋体"/>
      <w:b/>
      <w:kern w:val="2"/>
      <w:sz w:val="24"/>
      <w:szCs w:val="24"/>
    </w:rPr>
  </w:style>
  <w:style w:type="character" w:customStyle="1" w:styleId="43">
    <w:name w:val="批注框文本 字符"/>
    <w:basedOn w:val="9"/>
    <w:link w:val="6"/>
    <w:qFormat/>
    <w:uiPriority w:val="0"/>
    <w:rPr>
      <w:rFonts w:ascii="Calibri" w:hAnsi="Calibri" w:eastAsia="宋体" w:cs="Times New Roman"/>
      <w:kern w:val="2"/>
      <w:sz w:val="18"/>
      <w:szCs w:val="18"/>
    </w:rPr>
  </w:style>
  <w:style w:type="paragraph" w:customStyle="1" w:styleId="44">
    <w:name w:val="事项名称"/>
    <w:basedOn w:val="1"/>
    <w:next w:val="1"/>
    <w:qFormat/>
    <w:uiPriority w:val="0"/>
    <w:pPr>
      <w:spacing w:line="276" w:lineRule="auto"/>
      <w:ind w:firstLine="562" w:firstLineChars="200"/>
    </w:pPr>
    <w:rPr>
      <w:rFonts w:hint="eastAsia" w:ascii="Times New Roman" w:hAnsi="Times New Roman" w:cstheme="minorBidi"/>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521</Words>
  <Characters>2973</Characters>
  <Lines>24</Lines>
  <Paragraphs>6</Paragraphs>
  <TotalTime>0</TotalTime>
  <ScaleCrop>false</ScaleCrop>
  <LinksUpToDate>false</LinksUpToDate>
  <CharactersWithSpaces>3488</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2020-01-03T11:10:00Z</dcterms:created>
  <dc:creator>鲍倩钰</dc:creator>
  <cp:lastModifiedBy> </cp:lastModifiedBy>
  <dcterms:modified xsi:type="dcterms:W3CDTF">2021-02-20T08:56:59Z</dcterms:modified>
  <dc:title>9 信用评价规范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