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国家税务总局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eastAsia="zh-CN"/>
        </w:rPr>
        <w:t>博尔塔拉蒙古自治州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税务局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eastAsia="zh-CN"/>
        </w:rPr>
        <w:t>稽查局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度市级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税务稽查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</w:rPr>
        <w:t>随机抽查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事项清单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</w:pPr>
      <w:bookmarkStart w:id="0" w:name="_GoBack"/>
      <w:bookmarkEnd w:id="0"/>
    </w:p>
    <w:tbl>
      <w:tblPr>
        <w:tblStyle w:val="3"/>
        <w:tblW w:w="8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818"/>
        <w:gridCol w:w="865"/>
        <w:gridCol w:w="1283"/>
        <w:gridCol w:w="1368"/>
        <w:gridCol w:w="1151"/>
        <w:gridCol w:w="1464"/>
        <w:gridCol w:w="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抽查依据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抽查主体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抽查内容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抽取方式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检查方式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检查税款期间</w:t>
            </w: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其他事项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 1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《中华人民共和国税收征收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理法》及其实施细则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eastAsia="zh-CN"/>
              </w:rPr>
              <w:t>博尔塔拉蒙古自治州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税务局稽查局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依法检查纳税人、扣缴义务人和其他涉税当事人履行纳税义务、扣缴税款义务情况及其他税法遵从情况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采取定向和不定向抽查相结合的方式，通过税务稽查双随机工作平台抽取稽查对象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采取直接立案检查或先行自查再实施重点检查相结合的方式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年1月1日-202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年12月31日（如检查发现此期间以外明显的税收违法嫌疑或线索不受此限）</w:t>
            </w: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34263"/>
    <w:rsid w:val="05947E9F"/>
    <w:rsid w:val="06434263"/>
    <w:rsid w:val="06B2250A"/>
    <w:rsid w:val="1BC6054A"/>
    <w:rsid w:val="2C9D32FD"/>
    <w:rsid w:val="3B346A6D"/>
    <w:rsid w:val="448B21AF"/>
    <w:rsid w:val="5A6A76DD"/>
    <w:rsid w:val="5B5E657B"/>
    <w:rsid w:val="60F46FAC"/>
    <w:rsid w:val="6C090FB6"/>
    <w:rsid w:val="753937DC"/>
    <w:rsid w:val="7D6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2024-04-08T04:24:00Z</dcterms:created>
  <dc:creator>王哲</dc:creator>
  <cp:lastModifiedBy>王哲</cp:lastModifiedBy>
  <cp:lastPrinted>2025-02-17T03:31:00Z</cp:lastPrinted>
  <dcterms:modified xsi:type="dcterms:W3CDTF">2025-02-17T05:03:47Z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