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271F9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3C8BF493">
      <w:pPr>
        <w:adjustRightInd w:val="0"/>
        <w:snapToGrid w:val="0"/>
        <w:spacing w:line="600" w:lineRule="exact"/>
      </w:pPr>
    </w:p>
    <w:p w14:paraId="5714DE23">
      <w:pPr>
        <w:adjustRightInd w:val="0"/>
        <w:snapToGrid w:val="0"/>
        <w:spacing w:line="600" w:lineRule="exact"/>
      </w:pPr>
    </w:p>
    <w:p w14:paraId="51F866F7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4A28C4A0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2A1CD8B0"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49D39319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国家税务总局博乐市税务局2019年部门</w:t>
      </w:r>
    </w:p>
    <w:p w14:paraId="18AE661C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预算公开</w:t>
      </w:r>
    </w:p>
    <w:p w14:paraId="43AC7976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BAC2E41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66DF221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5ADCC07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34555AF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205AA88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18BF331"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898A2E2">
      <w:pPr>
        <w:widowControl/>
        <w:adjustRightInd w:val="0"/>
        <w:snapToGrid w:val="0"/>
        <w:spacing w:before="100" w:beforeAutospacing="1" w:after="100" w:afterAutospacing="1" w:line="600" w:lineRule="exact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3F25FBA"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0AC7BDD8"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B1BF638"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税务局概况</w:t>
      </w:r>
    </w:p>
    <w:p w14:paraId="7E314285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6A83BE71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35A3F78E"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4C2A217A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38A2271B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11818A3F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154963D1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1A7A70DF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65E93D85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49970FE7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7D856FF8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7A5EE55E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4525FF29"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 w14:paraId="5A1F06A7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 w14:paraId="278EF2C0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 w14:paraId="27D310A6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 w14:paraId="6A1826C0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 w14:paraId="1CDF581F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 w14:paraId="59C3BA14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 w14:paraId="347E2EB7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 w14:paraId="118DD302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 w14:paraId="440D6D9C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 w14:paraId="34816271"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7DF77645"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1CB638AA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 w14:paraId="34FE95E3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11D11252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7E3CC25D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4C9FF318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1CD31652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42E2F6D1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3CBFC444"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0ADCB770">
      <w:pPr>
        <w:widowControl/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 w14:paraId="7DF2C619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 w14:paraId="1D8D6808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 w14:paraId="3009D2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left"/>
        <w:textAlignment w:val="baseline"/>
        <w:outlineLvl w:val="9"/>
        <w:rPr>
          <w:rFonts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</w:pPr>
      <w:r>
        <w:rPr>
          <w:rFonts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国家税务总局博乐市税务局的主要职责是：</w:t>
      </w:r>
    </w:p>
    <w:p w14:paraId="2914869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负责贯彻执行党的路线、方针、政策，加强党的全面领导，履行全面从严治党责任，负责党的建设和思想政治建设工作。</w:t>
      </w:r>
    </w:p>
    <w:p w14:paraId="64717D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负责贯彻执行税收、社会保险费和有关非税收入法律、法规、规章和规范性文件，研究制定具体实施办法。组织落实国家规定的税收优惠政策。</w:t>
      </w:r>
    </w:p>
    <w:p w14:paraId="6F7CF02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研究拟订税收、社会保险费和有关非税收入中长期规划，参与拟订税收、社会保险费和有关非税收入预算目标并依法组织实施。负责税收、社会保险费和有关非税收入的会统核算工作。组织开展收入分析预测。</w:t>
      </w:r>
    </w:p>
    <w:p w14:paraId="42B3C19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负责开展税收经济分析和税收政策效应分析，为国家税务总局博尔塔拉蒙古自治州税务局和地方党委、政府提供决策参考。</w:t>
      </w:r>
    </w:p>
    <w:p w14:paraId="7CEA86B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负责所辖区域内各项税收、社会保险费和有关非税收入征收管理。组织实施税（费）源监控和风险管理，加强大企业和自然人税收管理。</w:t>
      </w:r>
    </w:p>
    <w:p w14:paraId="68AA93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负责组织实施税收、社会保险费和有关非税收入服务体系建设。组织开展纳税服务、税收宣传工作，保护纳税人、缴费人合法权益。承担涉及税收、社会保险费和有关非税收入的行政复议和行政赔偿事项。</w:t>
      </w:r>
    </w:p>
    <w:p w14:paraId="6818888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负责所辖区域内国际税收和进出口税收管理工作，承办反避税调查和出口退税事项办理。</w:t>
      </w:r>
    </w:p>
    <w:p w14:paraId="5FB9DE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负责组织实施所辖区域内社会保险费、有关非税收入检查工作。</w:t>
      </w:r>
    </w:p>
    <w:p w14:paraId="32290A3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负责增值税专用发票、普通发票和其他各类发票管理。负责税收、社会保险费和有关非税收入票证管理。</w:t>
      </w:r>
    </w:p>
    <w:p w14:paraId="4AC0D59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负责内部控制机制建设工作，开展对贯彻执行党中央、国务院重大决策及上级工作部署情况的督查督办，组织实施税收执法督察。</w:t>
      </w:r>
    </w:p>
    <w:p w14:paraId="5AC2EF6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负责基层建设和干部队伍建设工作，加强领导班子建设，承担税务人才培养和干部教育培训工作。负责绩效管理和干部考核工作。</w:t>
      </w:r>
    </w:p>
    <w:p w14:paraId="52E6F40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 xml:space="preserve">负责编制、经费和资产管理工作。 </w:t>
      </w:r>
    </w:p>
    <w:p w14:paraId="27823D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完成上级税务部门及地方党委、政府交办的其他工作。</w:t>
      </w:r>
    </w:p>
    <w:p w14:paraId="1C9801A2"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 w14:paraId="0E5B5645">
      <w:pPr>
        <w:pStyle w:val="24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</w:t>
      </w:r>
      <w:r>
        <w:rPr>
          <w:rFonts w:hint="eastAsia"/>
          <w:sz w:val="32"/>
          <w:szCs w:val="32"/>
          <w:lang w:eastAsia="zh-CN"/>
        </w:rPr>
        <w:t>，国家税务总局博乐市</w:t>
      </w:r>
      <w:r>
        <w:rPr>
          <w:rFonts w:hint="eastAsia"/>
          <w:sz w:val="32"/>
          <w:szCs w:val="32"/>
        </w:rPr>
        <w:t>税务局的部门预算包括：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家预算单位预算。</w:t>
      </w:r>
      <w:r>
        <w:rPr>
          <w:sz w:val="32"/>
          <w:szCs w:val="32"/>
        </w:rPr>
        <w:t xml:space="preserve"> </w:t>
      </w:r>
    </w:p>
    <w:p w14:paraId="0F45835D">
      <w:pPr>
        <w:pStyle w:val="24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国家税务总局博乐市</w:t>
      </w:r>
      <w:r>
        <w:rPr>
          <w:rFonts w:hint="eastAsia"/>
          <w:sz w:val="32"/>
          <w:szCs w:val="32"/>
        </w:rPr>
        <w:t>税务局，设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个内设机构、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个派出机构、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个事业单位，</w:t>
      </w:r>
      <w:r>
        <w:rPr>
          <w:rFonts w:hint="eastAsia"/>
          <w:sz w:val="32"/>
          <w:szCs w:val="32"/>
          <w:lang w:eastAsia="zh-CN"/>
        </w:rPr>
        <w:t>内设机构、事业单位</w:t>
      </w:r>
      <w:r>
        <w:rPr>
          <w:rFonts w:hint="eastAsia"/>
          <w:sz w:val="32"/>
          <w:szCs w:val="32"/>
        </w:rPr>
        <w:t>级别均为</w:t>
      </w:r>
      <w:r>
        <w:rPr>
          <w:rFonts w:hint="eastAsia"/>
          <w:sz w:val="32"/>
          <w:szCs w:val="32"/>
          <w:lang w:eastAsia="zh-CN"/>
        </w:rPr>
        <w:t>股</w:t>
      </w:r>
      <w:r>
        <w:rPr>
          <w:rFonts w:hint="eastAsia"/>
          <w:sz w:val="32"/>
          <w:szCs w:val="32"/>
        </w:rPr>
        <w:t>级。派出机构</w:t>
      </w:r>
      <w:r>
        <w:rPr>
          <w:rFonts w:hint="eastAsia"/>
          <w:sz w:val="32"/>
          <w:szCs w:val="32"/>
          <w:lang w:eastAsia="zh-CN"/>
        </w:rPr>
        <w:t>中</w:t>
      </w:r>
      <w:r>
        <w:rPr>
          <w:rFonts w:hint="eastAsia"/>
          <w:sz w:val="32"/>
          <w:szCs w:val="32"/>
          <w:lang w:val="en-US" w:eastAsia="zh-CN"/>
        </w:rPr>
        <w:t>1个副科级机构、2个股级机构。</w:t>
      </w:r>
    </w:p>
    <w:p w14:paraId="0FF2E9D0">
      <w:pPr>
        <w:pStyle w:val="24"/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内设机构</w:t>
      </w:r>
      <w:r>
        <w:rPr>
          <w:rFonts w:hint="eastAsia"/>
          <w:sz w:val="32"/>
          <w:szCs w:val="32"/>
        </w:rPr>
        <w:t>：办公室、法</w:t>
      </w:r>
      <w:r>
        <w:rPr>
          <w:rFonts w:hint="eastAsia"/>
          <w:sz w:val="32"/>
          <w:szCs w:val="32"/>
          <w:lang w:eastAsia="zh-CN"/>
        </w:rPr>
        <w:t>制股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税政股</w:t>
      </w:r>
      <w:r>
        <w:rPr>
          <w:rFonts w:hint="eastAsia"/>
          <w:sz w:val="32"/>
          <w:szCs w:val="32"/>
        </w:rPr>
        <w:t>、社会保</w:t>
      </w:r>
      <w:r>
        <w:rPr>
          <w:rFonts w:hint="eastAsia"/>
          <w:sz w:val="32"/>
          <w:szCs w:val="32"/>
          <w:lang w:eastAsia="zh-CN"/>
        </w:rPr>
        <w:t>险费和</w:t>
      </w:r>
      <w:r>
        <w:rPr>
          <w:rFonts w:hint="eastAsia"/>
          <w:sz w:val="32"/>
          <w:szCs w:val="32"/>
        </w:rPr>
        <w:t>非税收入</w:t>
      </w:r>
      <w:r>
        <w:rPr>
          <w:rFonts w:hint="eastAsia"/>
          <w:sz w:val="32"/>
          <w:szCs w:val="32"/>
          <w:lang w:eastAsia="zh-CN"/>
        </w:rPr>
        <w:t>股、纳税服务股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征收管理股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收入核算股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税源管理一股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税源管理二股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风险管理股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人事教育股</w:t>
      </w:r>
      <w:r>
        <w:rPr>
          <w:rFonts w:hint="eastAsia"/>
          <w:sz w:val="32"/>
          <w:szCs w:val="32"/>
        </w:rPr>
        <w:t>。</w:t>
      </w:r>
    </w:p>
    <w:p w14:paraId="00C9B827">
      <w:pPr>
        <w:pStyle w:val="24"/>
        <w:numPr>
          <w:ilvl w:val="0"/>
          <w:numId w:val="0"/>
        </w:numPr>
        <w:snapToGrid w:val="0"/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：第一税务分局（</w:t>
      </w:r>
      <w:r>
        <w:rPr>
          <w:rFonts w:hint="eastAsia"/>
          <w:sz w:val="32"/>
          <w:szCs w:val="32"/>
          <w:lang w:eastAsia="zh-CN"/>
        </w:rPr>
        <w:t>办税服务厅</w:t>
      </w:r>
      <w:r>
        <w:rPr>
          <w:rFonts w:hint="eastAsia"/>
          <w:sz w:val="32"/>
          <w:szCs w:val="32"/>
        </w:rPr>
        <w:t>）、</w:t>
      </w:r>
      <w:r>
        <w:rPr>
          <w:rFonts w:hint="eastAsia"/>
          <w:sz w:val="32"/>
          <w:szCs w:val="32"/>
          <w:lang w:eastAsia="zh-CN"/>
        </w:rPr>
        <w:t>城区税务所、青得里税务所。</w:t>
      </w:r>
    </w:p>
    <w:p w14:paraId="4AAD7BC6">
      <w:pPr>
        <w:pStyle w:val="24"/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信息中心</w:t>
      </w:r>
    </w:p>
    <w:p w14:paraId="43DC7560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国家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税务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总局博乐市税务局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人员编制与实有人数均按合并后规模统计。实有编制数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217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人，离退休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 w14:paraId="6119B07F">
      <w:pPr>
        <w:widowControl/>
        <w:numPr>
          <w:ilvl w:val="0"/>
          <w:numId w:val="2"/>
        </w:numPr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2019年部门预算公开表</w:t>
      </w:r>
    </w:p>
    <w:p w14:paraId="2DCB7E83">
      <w:pPr>
        <w:widowControl/>
        <w:numPr>
          <w:ilvl w:val="0"/>
          <w:numId w:val="0"/>
        </w:numPr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  <w:bookmarkStart w:id="0" w:name="_GoBack"/>
      <w:bookmarkEnd w:id="0"/>
    </w:p>
    <w:p w14:paraId="07A3D407">
      <w:pPr>
        <w:widowControl/>
        <w:numPr>
          <w:ilvl w:val="0"/>
          <w:numId w:val="3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部门收支总体情况表</w:t>
      </w:r>
    </w:p>
    <w:tbl>
      <w:tblPr>
        <w:tblStyle w:val="7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1464"/>
        <w:gridCol w:w="2561"/>
        <w:gridCol w:w="1635"/>
      </w:tblGrid>
      <w:tr w14:paraId="3320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E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27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E512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7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B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2019年预算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F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5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2019年预算</w:t>
            </w:r>
          </w:p>
        </w:tc>
      </w:tr>
      <w:tr w14:paraId="28DB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3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19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BA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E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</w:tr>
      <w:tr w14:paraId="0AC3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B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B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F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C73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5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22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DADB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A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48A3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A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F3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13DC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EF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029F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1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8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FA3D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D0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B04C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6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4B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064D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09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2A61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DD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70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F3A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D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418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A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B6B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1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9B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</w:tr>
      <w:tr w14:paraId="218E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5DFF6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00D4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2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2286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E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8679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1DE5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1E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971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1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AB74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9444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2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D9DD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C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6B755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613E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0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51C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DE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1A1B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B541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C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4D2C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F9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D8EB9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11FC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1466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4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0D04C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B4E2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2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AA58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3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49096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FAE9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19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4592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4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84754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A474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A6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16A1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D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293D2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0EED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E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8185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5E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67CA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C5F8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5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F1A1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05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A9116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730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A9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8EE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9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E119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C795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8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C480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2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DBF6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EE63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12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D202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5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24461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F1D8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7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80FB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FB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5EEB0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DEA3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D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385D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01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C7B9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8A52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F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A0C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0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A8DF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BCE3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0C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2C5F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9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1EE45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5F26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858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5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0DBC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52EC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6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E3E1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A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6B8A7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2BD9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EEC1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97A4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0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82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3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CE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</w:tr>
      <w:tr w14:paraId="24B8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F144F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917A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A78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03D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66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7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13B1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8B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1E29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5E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F7E78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F0BC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0B936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C507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2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1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1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8A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</w:tr>
    </w:tbl>
    <w:p w14:paraId="05B058E4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54B7C3F3"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部门收入总体情况表</w:t>
      </w:r>
    </w:p>
    <w:tbl>
      <w:tblPr>
        <w:tblStyle w:val="7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528"/>
        <w:gridCol w:w="2465"/>
        <w:gridCol w:w="971"/>
        <w:gridCol w:w="854"/>
        <w:gridCol w:w="330"/>
        <w:gridCol w:w="393"/>
        <w:gridCol w:w="286"/>
        <w:gridCol w:w="373"/>
        <w:gridCol w:w="357"/>
        <w:gridCol w:w="328"/>
        <w:gridCol w:w="393"/>
      </w:tblGrid>
      <w:tr w14:paraId="194D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9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9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7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E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5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A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A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12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 w14:paraId="293A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2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87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DBE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5B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9B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A56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EF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CF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D0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907A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7B9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5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3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8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9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4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75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E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5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7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E5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D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2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9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C4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07A6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E151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C38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DB3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4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3B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92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0FE8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9973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4876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1CBB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7DD8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5117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1C9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0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73EF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5EC8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20A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C1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49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98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6002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8C3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D4DE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68C8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AD75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565C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F465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BD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8C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8080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EE1F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10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A2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64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A8F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D963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8B2C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152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93C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AFC1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D1DB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0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7220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D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1454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B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22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C1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874F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77D3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09CB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121E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CEFB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5BC8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EB47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4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3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74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0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F0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E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EF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6B63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C08D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33E0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68CE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D10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5F76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3168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63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8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AB9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1361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2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2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85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39E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44AB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FDA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C3E2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B638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D13C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3670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F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697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E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C69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6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73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46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E013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4255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03EC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3320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DAA0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618C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256A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CC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2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E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2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1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143.99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8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143.99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AC86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7540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528C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F3E8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B73C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FEF5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59BA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75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21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C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A8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C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54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AF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734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7014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06A7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3D80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56DD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0427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6DEF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FEDCFD1"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2A329A78"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/>
          <w:kern w:val="0"/>
          <w:sz w:val="32"/>
          <w:szCs w:val="32"/>
        </w:rPr>
        <w:t>总体情况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表</w:t>
      </w:r>
    </w:p>
    <w:tbl>
      <w:tblPr>
        <w:tblStyle w:val="7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57"/>
        <w:gridCol w:w="657"/>
        <w:gridCol w:w="1972"/>
        <w:gridCol w:w="1459"/>
        <w:gridCol w:w="1534"/>
        <w:gridCol w:w="1369"/>
      </w:tblGrid>
      <w:tr w14:paraId="4409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992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F774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F0E8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F279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28C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25B8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D205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1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2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A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1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1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53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C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 w14:paraId="19C8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5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6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5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9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49B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7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D94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A1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5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12E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18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64E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350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F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963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C3B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C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0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A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A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C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D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3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2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1DD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98E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DAA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0AF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DD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0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96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567A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3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A6C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6B4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F07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23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EC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25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B15C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B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3F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0A8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7B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A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9BD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38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CA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F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3E1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D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8C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AC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7170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56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1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0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D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3C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8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B1CD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E4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7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DD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0D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CB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9F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B5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1504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E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02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8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A24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EF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16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17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4099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AF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3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A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9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B7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D4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A2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091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D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1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0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2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2B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6B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9E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01DC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784FEE4"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24A2E756"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财政拨款收支预算总表</w:t>
      </w:r>
    </w:p>
    <w:tbl>
      <w:tblPr>
        <w:tblStyle w:val="7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200"/>
        <w:gridCol w:w="1976"/>
        <w:gridCol w:w="1071"/>
        <w:gridCol w:w="1164"/>
        <w:gridCol w:w="1016"/>
      </w:tblGrid>
      <w:tr w14:paraId="1569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D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收            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4A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63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B97A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B8760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2A8F3"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0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0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6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8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2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53"/>
                <w:lang w:val="en-US" w:eastAsia="zh-CN" w:bidi="ar"/>
              </w:rPr>
              <w:t>计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 </w:t>
            </w:r>
            <w:r>
              <w:rPr>
                <w:rStyle w:val="53"/>
                <w:lang w:val="en-US" w:eastAsia="zh-CN" w:bidi="ar"/>
              </w:rPr>
              <w:t xml:space="preserve"> 般  公  共  预  算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3"/>
                <w:lang w:val="en-US" w:eastAsia="zh-CN" w:bidi="ar"/>
              </w:rPr>
              <w:t>金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3"/>
                <w:lang w:val="en-US" w:eastAsia="zh-CN" w:bidi="ar"/>
              </w:rPr>
              <w:t>预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3"/>
                <w:lang w:val="en-US" w:eastAsia="zh-CN" w:bidi="ar"/>
              </w:rPr>
              <w:t>算</w:t>
            </w:r>
          </w:p>
        </w:tc>
      </w:tr>
      <w:tr w14:paraId="2D60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C8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E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63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0F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5E5D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4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3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AD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4904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788F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CB2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0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F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8DDC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D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532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06B3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6BDD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15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523D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BB016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2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0CF4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14D2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CBE1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95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5EA1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F47C68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F3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B3A8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1A09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3BEB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7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816F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40EB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12B0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7D2F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AAE6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4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C28E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0A086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C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248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F6C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5AC8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6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DE4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DAB20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34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92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28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BE39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3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6A7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C29BF5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4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0440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EA60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C9A6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7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C38C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945C13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6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AFAC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01B9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B7D0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9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42F2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E884D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4A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848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8A5D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1786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6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FDC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6D2800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D7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FC1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9912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CDC6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7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E86F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6EA8B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D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EE88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9C0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2E90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D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091E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74EE22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65B4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C521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FC0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5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60BB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CF1A59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C4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1855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B1AC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F6CE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21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6D5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D97E9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CE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426D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D53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AE7E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8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5B9F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0268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0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047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4E0F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DE63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C7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899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219E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F3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642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57E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20BD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09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9FF4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581945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B3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D9B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F50F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1FC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6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409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835249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8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27B1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922C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8800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C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8E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B60E0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B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616A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9988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63E5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C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D4A5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37D7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2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3"/>
                <w:lang w:val="en-US" w:eastAsia="zh-CN" w:bidi="ar"/>
              </w:rPr>
              <w:t>23 国有资本经营预算支出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BDB5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92D1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2D3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4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1E5D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D17971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E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3B45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5708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106E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F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F92F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A1338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E0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47E0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C05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9A3D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F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C508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8F560E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B8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2BC6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207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FD20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0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7892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045E8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D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3"/>
                <w:lang w:val="en-US" w:eastAsia="zh-CN" w:bidi="ar"/>
              </w:rPr>
              <w:t>31 债务还本支出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980C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D363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B5FF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CF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E98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CBB75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FA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3"/>
                <w:lang w:val="en-US" w:eastAsia="zh-CN" w:bidi="ar"/>
              </w:rPr>
              <w:t>32 债务付息支出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18FB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83E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669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CF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5C50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65DFC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90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  <w:r>
              <w:rPr>
                <w:rStyle w:val="53"/>
                <w:lang w:val="en-US" w:eastAsia="zh-CN" w:bidi="ar"/>
              </w:rPr>
              <w:t xml:space="preserve"> 债务发行费支出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080F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0696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D9C5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F8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CA5361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03D8FA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2247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92FD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B3F6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BD66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26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1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4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D5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C5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E05D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5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7AB0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D9D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EF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2833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B2A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B86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8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D5A2F4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19BA1"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CA2D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B9D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DC44C"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2E56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7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0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23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C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B4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E4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AF77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83635F9"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 w14:paraId="5BCB55C2"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一般公共预算支出情况表</w:t>
      </w:r>
    </w:p>
    <w:tbl>
      <w:tblPr>
        <w:tblStyle w:val="7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822"/>
        <w:gridCol w:w="742"/>
        <w:gridCol w:w="2305"/>
        <w:gridCol w:w="1177"/>
        <w:gridCol w:w="1306"/>
        <w:gridCol w:w="1081"/>
      </w:tblGrid>
      <w:tr w14:paraId="31FE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6C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9EEB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D798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41F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E43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95B4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D1D2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1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3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1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F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 w14:paraId="3766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6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345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631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E52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70A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3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2D3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F53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C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FA7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B1A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57D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3C8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2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1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D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6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1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7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5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D78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7E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3B8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F82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2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32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73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3D63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F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314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40E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650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D6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78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56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8353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F0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7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8D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D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E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4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D0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6CD3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5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FEE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DF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F7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24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74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D8DC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0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C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F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6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5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CE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A3A4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B12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0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1B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C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C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B0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73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74BF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26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A0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2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F80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A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5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9D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8229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1E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4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5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E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71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95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57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7A90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D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7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A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5E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50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088A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24CFDA5"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 w14:paraId="6CF2CC4B"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一般公共预算基本支出情况表</w:t>
      </w:r>
    </w:p>
    <w:tbl>
      <w:tblPr>
        <w:tblStyle w:val="7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66"/>
        <w:gridCol w:w="2746"/>
        <w:gridCol w:w="1161"/>
        <w:gridCol w:w="1420"/>
        <w:gridCol w:w="1364"/>
      </w:tblGrid>
      <w:tr w14:paraId="7D0D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18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1DB1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620D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2E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C090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5303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12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D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7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 w14:paraId="584C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671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A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B89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C3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750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2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F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F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597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EA7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37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DD9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DA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2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D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B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6615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6A5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D3C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02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55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68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1,067.10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C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 w14:paraId="688B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BC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E9F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6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2D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B4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1,067.10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9D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 w14:paraId="7296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D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201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71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05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923.11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D4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00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ED7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1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E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BD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637.99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F6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5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79F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2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1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1C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1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2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7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D22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7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6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E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50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A2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71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08AD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2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4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6B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44.66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49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B4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5584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6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C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0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9F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93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7F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33C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6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5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A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9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76.56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DD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9E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A3E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A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1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EF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7E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FB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F4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1988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8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CA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E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9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F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7C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 w14:paraId="028F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4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F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93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C1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DE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 w14:paraId="571C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9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50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F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2F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9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B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3B62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40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9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A1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7D19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6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4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64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2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2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 w14:paraId="2028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3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B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07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F3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BC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 w14:paraId="03C39BFF"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 w14:paraId="2841DDFB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7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30"/>
        <w:gridCol w:w="528"/>
        <w:gridCol w:w="1521"/>
        <w:gridCol w:w="860"/>
        <w:gridCol w:w="364"/>
        <w:gridCol w:w="363"/>
        <w:gridCol w:w="364"/>
        <w:gridCol w:w="365"/>
        <w:gridCol w:w="362"/>
        <w:gridCol w:w="530"/>
        <w:gridCol w:w="364"/>
        <w:gridCol w:w="528"/>
        <w:gridCol w:w="364"/>
        <w:gridCol w:w="364"/>
        <w:gridCol w:w="364"/>
      </w:tblGrid>
      <w:tr w14:paraId="61FB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87" w:type="dxa"/>
            <w:gridSpan w:val="3"/>
            <w:shd w:val="clear" w:color="auto" w:fill="auto"/>
            <w:vAlign w:val="center"/>
          </w:tcPr>
          <w:p w14:paraId="0AA5C7C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10081F4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352A368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2989665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14:paraId="7C3EE70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0FB1F55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65" w:type="dxa"/>
            <w:vMerge w:val="restart"/>
            <w:shd w:val="clear" w:color="auto" w:fill="auto"/>
            <w:vAlign w:val="center"/>
          </w:tcPr>
          <w:p w14:paraId="476C81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62" w:type="dxa"/>
            <w:vMerge w:val="restart"/>
            <w:shd w:val="clear" w:color="auto" w:fill="auto"/>
            <w:vAlign w:val="center"/>
          </w:tcPr>
          <w:p w14:paraId="11BB185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14:paraId="3703123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5C7A147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14:paraId="6DF7F63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05C2428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391F468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24344E5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 w14:paraId="4152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64B98C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14:paraId="3849193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14:paraId="2A3B454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521" w:type="dxa"/>
            <w:vMerge w:val="continue"/>
            <w:vAlign w:val="center"/>
          </w:tcPr>
          <w:p w14:paraId="64E00CB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198EECF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2B30755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vAlign w:val="center"/>
          </w:tcPr>
          <w:p w14:paraId="4D1D7BD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2A348CF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vAlign w:val="center"/>
          </w:tcPr>
          <w:p w14:paraId="784C593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vAlign w:val="center"/>
          </w:tcPr>
          <w:p w14:paraId="6B960F0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2539219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1235CAC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 w14:paraId="71B4083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1E1FFEE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5645B813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2FA6751C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432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529" w:type="dxa"/>
            <w:vMerge w:val="continue"/>
            <w:vAlign w:val="center"/>
          </w:tcPr>
          <w:p w14:paraId="4F24879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6315669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 w14:paraId="0508F3F0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005E08F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 w14:paraId="0BF81F5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394BA55C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vAlign w:val="center"/>
          </w:tcPr>
          <w:p w14:paraId="0F296D4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22873B9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vAlign w:val="center"/>
          </w:tcPr>
          <w:p w14:paraId="1944C49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vAlign w:val="center"/>
          </w:tcPr>
          <w:p w14:paraId="179087E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2981A09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725DBAC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 w14:paraId="5955D1D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6439E50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5CD53E67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 w14:paraId="2859459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1A7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29" w:type="dxa"/>
            <w:shd w:val="clear" w:color="000000" w:fill="FFFFFF"/>
            <w:vAlign w:val="center"/>
          </w:tcPr>
          <w:p w14:paraId="57727E2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14:paraId="050FFAE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14:paraId="2AD4BF7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14:paraId="53FA001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14:paraId="17F9EF4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64" w:type="dxa"/>
            <w:shd w:val="clear" w:color="000000" w:fill="FFFFFF"/>
            <w:vAlign w:val="center"/>
          </w:tcPr>
          <w:p w14:paraId="6AC2168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dxa"/>
            <w:shd w:val="clear" w:color="000000" w:fill="FFFFFF"/>
            <w:vAlign w:val="center"/>
          </w:tcPr>
          <w:p w14:paraId="0E25341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4" w:type="dxa"/>
            <w:shd w:val="clear" w:color="000000" w:fill="FFFFFF"/>
            <w:vAlign w:val="center"/>
          </w:tcPr>
          <w:p w14:paraId="31F648D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5" w:type="dxa"/>
            <w:shd w:val="clear" w:color="000000" w:fill="FFFFFF"/>
            <w:vAlign w:val="center"/>
          </w:tcPr>
          <w:p w14:paraId="686805C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2" w:type="dxa"/>
            <w:shd w:val="clear" w:color="000000" w:fill="FFFFFF"/>
            <w:vAlign w:val="center"/>
          </w:tcPr>
          <w:p w14:paraId="7550F7F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000000" w:fill="FFFFFF"/>
            <w:vAlign w:val="center"/>
          </w:tcPr>
          <w:p w14:paraId="33EC785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64" w:type="dxa"/>
            <w:shd w:val="clear" w:color="000000" w:fill="FFFFFF"/>
            <w:vAlign w:val="center"/>
          </w:tcPr>
          <w:p w14:paraId="74B88CC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14:paraId="39A06D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64" w:type="dxa"/>
            <w:shd w:val="clear" w:color="000000" w:fill="FFFFFF"/>
            <w:vAlign w:val="center"/>
          </w:tcPr>
          <w:p w14:paraId="43A4F64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64" w:type="dxa"/>
            <w:shd w:val="clear" w:color="000000" w:fill="FFFFFF"/>
            <w:vAlign w:val="center"/>
          </w:tcPr>
          <w:p w14:paraId="630BA99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4" w:type="dxa"/>
            <w:shd w:val="clear" w:color="000000" w:fill="FFFFFF"/>
            <w:vAlign w:val="center"/>
          </w:tcPr>
          <w:p w14:paraId="18C1F7D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 w14:paraId="6490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29" w:type="dxa"/>
            <w:shd w:val="clear" w:color="auto" w:fill="auto"/>
            <w:vAlign w:val="center"/>
          </w:tcPr>
          <w:p w14:paraId="32BC758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F8EA42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9CCE0E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C542F0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F97A00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3F9DBB3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" w:type="dxa"/>
            <w:shd w:val="clear" w:color="auto" w:fill="auto"/>
            <w:vAlign w:val="center"/>
          </w:tcPr>
          <w:p w14:paraId="37FB5E9B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2C86D7D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69B9013C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B850DDC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48488A1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7759840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C030413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1B1E636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93F6E12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792579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2A2B8BD1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 w14:paraId="0837B409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2F2616B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 w14:paraId="5A29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52B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CBA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3ADC7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8E3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D32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 w14:paraId="1CAB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0C1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52A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B06DE8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42CFB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03963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B8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DA9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4F8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091A826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C1F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E5C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C30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549B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BBE5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FA5A90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6EA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08C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5E5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3BF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473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763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 w14:paraId="125AA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9AF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2AEF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1D66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CF4C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0382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228A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B0DB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7D543288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 w14:paraId="2DC82D82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EDB161C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 w14:paraId="3C1C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shd w:val="clear" w:color="auto" w:fill="auto"/>
            <w:vAlign w:val="center"/>
          </w:tcPr>
          <w:p w14:paraId="0C1FF95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87761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3C7FB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AA1325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7CAF12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4459B6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144812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1E3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shd w:val="clear" w:color="auto" w:fill="auto"/>
            <w:vAlign w:val="center"/>
          </w:tcPr>
          <w:p w14:paraId="79A3B8B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14:paraId="062B7DD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471A707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2B926F7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3314CD0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 w14:paraId="2744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5705AF1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1960A88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3D94E95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vAlign w:val="center"/>
          </w:tcPr>
          <w:p w14:paraId="0867685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62DFB19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10044B4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0A5D803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5DA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vAlign w:val="center"/>
          </w:tcPr>
          <w:p w14:paraId="71B97F0A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 w14:paraId="2B46B3F0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 w14:paraId="0FD04CEF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vAlign w:val="center"/>
          </w:tcPr>
          <w:p w14:paraId="01BC9EB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vAlign w:val="center"/>
          </w:tcPr>
          <w:p w14:paraId="6008D09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01C1C1D5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 w14:paraId="17BCB39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AB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shd w:val="clear" w:color="auto" w:fill="auto"/>
            <w:vAlign w:val="center"/>
          </w:tcPr>
          <w:p w14:paraId="434138A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9EFBA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86369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FBF8B0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6F947E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44F146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76644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14:paraId="49B0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shd w:val="clear" w:color="auto" w:fill="auto"/>
            <w:vAlign w:val="center"/>
          </w:tcPr>
          <w:p w14:paraId="3F527A6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7784F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95909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6CEFD7E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9186240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10EF093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C6B143B"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3C300081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国家税务总局博乐市税务局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没有政府性基金，本表为空表</w:t>
      </w:r>
    </w:p>
    <w:p w14:paraId="5A5B548B"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7AFB410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 w14:paraId="61620131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 w14:paraId="1F29F0E4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5DF6F1C4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 w14:paraId="376140D9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 w14:paraId="6AC21FFF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 w14:paraId="06CE5C3D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 w14:paraId="3F78B57C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国税局合并为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 w14:paraId="5779C192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 w14:paraId="5602C2B5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 w14:paraId="538AEEFF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 w14:paraId="162B6042"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人。项目支出预算未安排。   </w:t>
      </w:r>
    </w:p>
    <w:p w14:paraId="62027A95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 w14:paraId="428EAB6F"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143.99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92.08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 w14:paraId="160862A9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 w14:paraId="0E93D281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236.07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143.99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92.08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 w14:paraId="57C5F92C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 w14:paraId="6859EE48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五、关于新疆维吾尔自治区税务局2019年一般公共预算当年拨款情况说明</w:t>
      </w:r>
    </w:p>
    <w:p w14:paraId="40F5FC21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41C4418B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税务局2019年一般公共预算拨款基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本支出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80.76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万元万元，增长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8.04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%。主</w:t>
      </w:r>
      <w:r>
        <w:rPr>
          <w:rFonts w:hint="eastAsia" w:ascii="仿宋_GB2312" w:hAnsi="宋体" w:eastAsia="仿宋_GB2312"/>
          <w:kern w:val="0"/>
          <w:sz w:val="32"/>
          <w:szCs w:val="32"/>
        </w:rPr>
        <w:t>要原因一是国地税征管体制改革，经费保障模式改变；二是合并后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人，离退休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 w14:paraId="354D1F64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4A83E1AA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万元，占7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8.3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 w14:paraId="02A3C78D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236.07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143.99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92.08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 w14:paraId="02B8730E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42E884B8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849.47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12.58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1.45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主要原因是国地税征管体制改革，经费保障模式改变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。</w:t>
      </w:r>
    </w:p>
    <w:p w14:paraId="77779535"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143.99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108.49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305.6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人。</w:t>
      </w:r>
    </w:p>
    <w:p w14:paraId="1F9FE1BD"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92.08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1.58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％。主要原因是自治区财政经费保障范围变化，养老金提取基数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5D2E4D6E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 w14:paraId="0D3E608E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新疆维吾尔自治区税务局2019年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 w14:paraId="0F3438DF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1067.1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 w14:paraId="0BEAB3E7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 w14:paraId="50811D78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 w14:paraId="726AB762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 w14:paraId="7B66ABF3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 w14:paraId="6D19AA36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 w14:paraId="39155272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 w14:paraId="635F26BB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 w14:paraId="6B806F9F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 w14:paraId="09595309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1595A01C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税务局机关运行经费财政拨款预算。</w:t>
      </w:r>
    </w:p>
    <w:p w14:paraId="788E05F1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0F5560B4"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 w14:paraId="42B3DA77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5D8710EF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 w14:paraId="4E948574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12238.16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2005.97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403ED2EA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244.8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全部为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执法执勤用车。</w:t>
      </w:r>
    </w:p>
    <w:p w14:paraId="6B386008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168.28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617FABB"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502.3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C062754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，单位价值100万元以上大型设备无。</w:t>
      </w:r>
    </w:p>
    <w:p w14:paraId="53E4C0B4"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 w14:paraId="23D4D3A1"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6A184DD0"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项目支出预算。</w:t>
      </w:r>
    </w:p>
    <w:p w14:paraId="3E1C8DB7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 w14:paraId="2897EBBC"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 w14:paraId="7DD9F741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 w14:paraId="7BEF09D2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 w14:paraId="2641A9B8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7DDF3AC5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14:paraId="11331823"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 w14:paraId="2B23FFDD"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博乐市税务局</w:t>
      </w:r>
    </w:p>
    <w:p w14:paraId="6803C61E"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0C40FA"/>
    <w:multiLevelType w:val="singleLevel"/>
    <w:tmpl w:val="FE0C40FA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259DB3B1"/>
    <w:multiLevelType w:val="singleLevel"/>
    <w:tmpl w:val="259DB3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FA9B61"/>
    <w:multiLevelType w:val="singleLevel"/>
    <w:tmpl w:val="30FA9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7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E045D"/>
    <w:rsid w:val="0A2E3F4A"/>
    <w:rsid w:val="11DF775E"/>
    <w:rsid w:val="1907085F"/>
    <w:rsid w:val="1C53431F"/>
    <w:rsid w:val="1F7E4C1A"/>
    <w:rsid w:val="290E495C"/>
    <w:rsid w:val="2B0C79BB"/>
    <w:rsid w:val="3F0D3670"/>
    <w:rsid w:val="46B8445F"/>
    <w:rsid w:val="48940F09"/>
    <w:rsid w:val="51A42825"/>
    <w:rsid w:val="52FB72C8"/>
    <w:rsid w:val="546A7453"/>
    <w:rsid w:val="54767AAF"/>
    <w:rsid w:val="5D0578A9"/>
    <w:rsid w:val="5D9F6E8B"/>
    <w:rsid w:val="60191C2C"/>
    <w:rsid w:val="680B1450"/>
    <w:rsid w:val="6995102F"/>
    <w:rsid w:val="70C67206"/>
    <w:rsid w:val="7293288C"/>
    <w:rsid w:val="745F6BD0"/>
    <w:rsid w:val="77A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5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6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7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1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3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pl"/>
    <w:basedOn w:val="9"/>
    <w:qFormat/>
    <w:uiPriority w:val="0"/>
    <w:rPr>
      <w:sz w:val="19"/>
      <w:szCs w:val="19"/>
    </w:rPr>
  </w:style>
  <w:style w:type="character" w:customStyle="1" w:styleId="55">
    <w:name w:val="orangee"/>
    <w:basedOn w:val="9"/>
    <w:qFormat/>
    <w:uiPriority w:val="0"/>
    <w:rPr>
      <w:shd w:val="clear" w:fill="FF9900"/>
    </w:rPr>
  </w:style>
  <w:style w:type="character" w:customStyle="1" w:styleId="56">
    <w:name w:val="n1"/>
    <w:basedOn w:val="9"/>
    <w:qFormat/>
    <w:uiPriority w:val="0"/>
  </w:style>
  <w:style w:type="character" w:customStyle="1" w:styleId="57">
    <w:name w:val="n11"/>
    <w:basedOn w:val="9"/>
    <w:qFormat/>
    <w:uiPriority w:val="0"/>
  </w:style>
  <w:style w:type="character" w:customStyle="1" w:styleId="58">
    <w:name w:val="name"/>
    <w:basedOn w:val="9"/>
    <w:qFormat/>
    <w:uiPriority w:val="0"/>
    <w:rPr>
      <w:color w:val="008000"/>
    </w:rPr>
  </w:style>
  <w:style w:type="character" w:customStyle="1" w:styleId="59">
    <w:name w:val="name1"/>
    <w:basedOn w:val="9"/>
    <w:qFormat/>
    <w:uiPriority w:val="0"/>
    <w:rPr>
      <w:sz w:val="21"/>
      <w:szCs w:val="21"/>
    </w:rPr>
  </w:style>
  <w:style w:type="character" w:customStyle="1" w:styleId="60">
    <w:name w:val="n8"/>
    <w:basedOn w:val="9"/>
    <w:qFormat/>
    <w:uiPriority w:val="0"/>
  </w:style>
  <w:style w:type="character" w:customStyle="1" w:styleId="61">
    <w:name w:val="n81"/>
    <w:basedOn w:val="9"/>
    <w:qFormat/>
    <w:uiPriority w:val="0"/>
  </w:style>
  <w:style w:type="character" w:customStyle="1" w:styleId="62">
    <w:name w:val="more"/>
    <w:basedOn w:val="9"/>
    <w:qFormat/>
    <w:uiPriority w:val="0"/>
  </w:style>
  <w:style w:type="character" w:customStyle="1" w:styleId="63">
    <w:name w:val="num"/>
    <w:basedOn w:val="9"/>
    <w:qFormat/>
    <w:uiPriority w:val="0"/>
    <w:rPr>
      <w:color w:val="FF6600"/>
      <w:sz w:val="18"/>
      <w:szCs w:val="18"/>
    </w:rPr>
  </w:style>
  <w:style w:type="character" w:customStyle="1" w:styleId="64">
    <w:name w:val="num1"/>
    <w:basedOn w:val="9"/>
    <w:qFormat/>
    <w:uiPriority w:val="0"/>
    <w:rPr>
      <w:color w:val="FF6600"/>
    </w:rPr>
  </w:style>
  <w:style w:type="character" w:customStyle="1" w:styleId="65">
    <w:name w:val="topictime"/>
    <w:basedOn w:val="9"/>
    <w:qFormat/>
    <w:uiPriority w:val="0"/>
    <w:rPr>
      <w:color w:val="999999"/>
    </w:rPr>
  </w:style>
  <w:style w:type="character" w:customStyle="1" w:styleId="66">
    <w:name w:val="icon"/>
    <w:basedOn w:val="9"/>
    <w:qFormat/>
    <w:uiPriority w:val="0"/>
  </w:style>
  <w:style w:type="character" w:customStyle="1" w:styleId="67">
    <w:name w:val="btn12"/>
    <w:basedOn w:val="9"/>
    <w:qFormat/>
    <w:uiPriority w:val="0"/>
    <w:rPr>
      <w:color w:val="999999"/>
    </w:rPr>
  </w:style>
  <w:style w:type="character" w:customStyle="1" w:styleId="68">
    <w:name w:val="xsf"/>
    <w:basedOn w:val="9"/>
    <w:qFormat/>
    <w:uiPriority w:val="0"/>
    <w:rPr>
      <w:color w:val="999999"/>
    </w:rPr>
  </w:style>
  <w:style w:type="character" w:customStyle="1" w:styleId="69">
    <w:name w:val="red"/>
    <w:basedOn w:val="9"/>
    <w:qFormat/>
    <w:uiPriority w:val="0"/>
    <w:rPr>
      <w:b/>
      <w:color w:val="FF0000"/>
      <w:sz w:val="21"/>
      <w:szCs w:val="21"/>
    </w:rPr>
  </w:style>
  <w:style w:type="character" w:customStyle="1" w:styleId="70">
    <w:name w:val="lou"/>
    <w:basedOn w:val="9"/>
    <w:qFormat/>
    <w:uiPriority w:val="0"/>
    <w:rPr>
      <w:b/>
      <w:color w:val="FFFFFF"/>
    </w:rPr>
  </w:style>
  <w:style w:type="character" w:customStyle="1" w:styleId="71">
    <w:name w:val="stars"/>
    <w:basedOn w:val="9"/>
    <w:qFormat/>
    <w:uiPriority w:val="0"/>
    <w:rPr>
      <w:color w:val="FF0000"/>
    </w:rPr>
  </w:style>
  <w:style w:type="character" w:customStyle="1" w:styleId="72">
    <w:name w:val="n2"/>
    <w:basedOn w:val="9"/>
    <w:qFormat/>
    <w:uiPriority w:val="0"/>
  </w:style>
  <w:style w:type="character" w:customStyle="1" w:styleId="73">
    <w:name w:val="n10"/>
    <w:basedOn w:val="9"/>
    <w:qFormat/>
    <w:uiPriority w:val="0"/>
  </w:style>
  <w:style w:type="character" w:customStyle="1" w:styleId="74">
    <w:name w:val="n101"/>
    <w:basedOn w:val="9"/>
    <w:qFormat/>
    <w:uiPriority w:val="0"/>
  </w:style>
  <w:style w:type="character" w:customStyle="1" w:styleId="75">
    <w:name w:val="n3"/>
    <w:basedOn w:val="9"/>
    <w:qFormat/>
    <w:uiPriority w:val="0"/>
  </w:style>
  <w:style w:type="character" w:customStyle="1" w:styleId="76">
    <w:name w:val="n31"/>
    <w:basedOn w:val="9"/>
    <w:qFormat/>
    <w:uiPriority w:val="0"/>
  </w:style>
  <w:style w:type="character" w:customStyle="1" w:styleId="77">
    <w:name w:val="n4"/>
    <w:basedOn w:val="9"/>
    <w:qFormat/>
    <w:uiPriority w:val="0"/>
  </w:style>
  <w:style w:type="character" w:customStyle="1" w:styleId="78">
    <w:name w:val="n41"/>
    <w:basedOn w:val="9"/>
    <w:qFormat/>
    <w:uiPriority w:val="0"/>
  </w:style>
  <w:style w:type="character" w:customStyle="1" w:styleId="79">
    <w:name w:val="n5"/>
    <w:basedOn w:val="9"/>
    <w:qFormat/>
    <w:uiPriority w:val="0"/>
  </w:style>
  <w:style w:type="character" w:customStyle="1" w:styleId="80">
    <w:name w:val="n51"/>
    <w:basedOn w:val="9"/>
    <w:qFormat/>
    <w:uiPriority w:val="0"/>
  </w:style>
  <w:style w:type="character" w:customStyle="1" w:styleId="81">
    <w:name w:val="n6"/>
    <w:basedOn w:val="9"/>
    <w:qFormat/>
    <w:uiPriority w:val="0"/>
  </w:style>
  <w:style w:type="character" w:customStyle="1" w:styleId="82">
    <w:name w:val="n61"/>
    <w:basedOn w:val="9"/>
    <w:qFormat/>
    <w:uiPriority w:val="0"/>
  </w:style>
  <w:style w:type="character" w:customStyle="1" w:styleId="83">
    <w:name w:val="n7"/>
    <w:basedOn w:val="9"/>
    <w:qFormat/>
    <w:uiPriority w:val="0"/>
  </w:style>
  <w:style w:type="character" w:customStyle="1" w:styleId="84">
    <w:name w:val="n71"/>
    <w:basedOn w:val="9"/>
    <w:qFormat/>
    <w:uiPriority w:val="0"/>
  </w:style>
  <w:style w:type="character" w:customStyle="1" w:styleId="85">
    <w:name w:val="n9"/>
    <w:basedOn w:val="9"/>
    <w:qFormat/>
    <w:uiPriority w:val="0"/>
  </w:style>
  <w:style w:type="character" w:customStyle="1" w:styleId="86">
    <w:name w:val="n91"/>
    <w:basedOn w:val="9"/>
    <w:qFormat/>
    <w:uiPriority w:val="0"/>
  </w:style>
  <w:style w:type="character" w:customStyle="1" w:styleId="87">
    <w:name w:val="n111"/>
    <w:basedOn w:val="9"/>
    <w:qFormat/>
    <w:uiPriority w:val="0"/>
  </w:style>
  <w:style w:type="character" w:customStyle="1" w:styleId="88">
    <w:name w:val="n112"/>
    <w:basedOn w:val="9"/>
    <w:qFormat/>
    <w:uiPriority w:val="0"/>
  </w:style>
  <w:style w:type="character" w:customStyle="1" w:styleId="89">
    <w:name w:val="n12"/>
    <w:basedOn w:val="9"/>
    <w:qFormat/>
    <w:uiPriority w:val="0"/>
  </w:style>
  <w:style w:type="character" w:customStyle="1" w:styleId="90">
    <w:name w:val="n121"/>
    <w:basedOn w:val="9"/>
    <w:qFormat/>
    <w:uiPriority w:val="0"/>
  </w:style>
  <w:style w:type="character" w:customStyle="1" w:styleId="91">
    <w:name w:val="n13"/>
    <w:basedOn w:val="9"/>
    <w:qFormat/>
    <w:uiPriority w:val="0"/>
  </w:style>
  <w:style w:type="character" w:customStyle="1" w:styleId="92">
    <w:name w:val="n131"/>
    <w:basedOn w:val="9"/>
    <w:qFormat/>
    <w:uiPriority w:val="0"/>
  </w:style>
  <w:style w:type="character" w:customStyle="1" w:styleId="93">
    <w:name w:val="pkdate2"/>
    <w:basedOn w:val="9"/>
    <w:qFormat/>
    <w:uiPriority w:val="0"/>
    <w:rPr>
      <w:color w:val="999999"/>
      <w:sz w:val="18"/>
      <w:szCs w:val="18"/>
    </w:rPr>
  </w:style>
  <w:style w:type="character" w:customStyle="1" w:styleId="94">
    <w:name w:val="t19"/>
    <w:basedOn w:val="9"/>
    <w:qFormat/>
    <w:uiPriority w:val="0"/>
    <w:rPr>
      <w:color w:val="555555"/>
    </w:rPr>
  </w:style>
  <w:style w:type="character" w:customStyle="1" w:styleId="95">
    <w:name w:val="intro8"/>
    <w:basedOn w:val="9"/>
    <w:qFormat/>
    <w:uiPriority w:val="0"/>
    <w:rPr>
      <w:sz w:val="18"/>
      <w:szCs w:val="18"/>
    </w:rPr>
  </w:style>
  <w:style w:type="character" w:customStyle="1" w:styleId="96">
    <w:name w:val="intro9"/>
    <w:basedOn w:val="9"/>
    <w:qFormat/>
    <w:uiPriority w:val="0"/>
    <w:rPr>
      <w:color w:val="999999"/>
      <w:sz w:val="18"/>
      <w:szCs w:val="18"/>
    </w:rPr>
  </w:style>
  <w:style w:type="character" w:customStyle="1" w:styleId="97">
    <w:name w:val="image"/>
    <w:basedOn w:val="9"/>
    <w:qFormat/>
    <w:uiPriority w:val="0"/>
  </w:style>
  <w:style w:type="character" w:customStyle="1" w:styleId="98">
    <w:name w:val="smallclass"/>
    <w:basedOn w:val="9"/>
    <w:qFormat/>
    <w:uiPriority w:val="0"/>
  </w:style>
  <w:style w:type="character" w:customStyle="1" w:styleId="99">
    <w:name w:val="classname21"/>
    <w:basedOn w:val="9"/>
    <w:qFormat/>
    <w:uiPriority w:val="0"/>
  </w:style>
  <w:style w:type="character" w:customStyle="1" w:styleId="100">
    <w:name w:val="classname2"/>
    <w:basedOn w:val="9"/>
    <w:qFormat/>
    <w:uiPriority w:val="0"/>
  </w:style>
  <w:style w:type="character" w:customStyle="1" w:styleId="101">
    <w:name w:val="fontred"/>
    <w:basedOn w:val="9"/>
    <w:qFormat/>
    <w:uiPriority w:val="0"/>
    <w:rPr>
      <w:b/>
      <w:color w:val="FF0000"/>
    </w:rPr>
  </w:style>
  <w:style w:type="character" w:customStyle="1" w:styleId="102">
    <w:name w:val="play"/>
    <w:basedOn w:val="9"/>
    <w:qFormat/>
    <w:uiPriority w:val="0"/>
  </w:style>
  <w:style w:type="character" w:customStyle="1" w:styleId="103">
    <w:name w:val="talk"/>
    <w:basedOn w:val="9"/>
    <w:qFormat/>
    <w:uiPriority w:val="0"/>
  </w:style>
  <w:style w:type="character" w:customStyle="1" w:styleId="104">
    <w:name w:val="score"/>
    <w:basedOn w:val="9"/>
    <w:qFormat/>
    <w:uiPriority w:val="0"/>
  </w:style>
  <w:style w:type="character" w:customStyle="1" w:styleId="105">
    <w:name w:val="score1"/>
    <w:basedOn w:val="9"/>
    <w:qFormat/>
    <w:uiPriority w:val="0"/>
    <w:rPr>
      <w:color w:val="949494"/>
    </w:rPr>
  </w:style>
  <w:style w:type="character" w:customStyle="1" w:styleId="106">
    <w:name w:val="key"/>
    <w:basedOn w:val="9"/>
    <w:qFormat/>
    <w:uiPriority w:val="0"/>
    <w:rPr>
      <w:color w:val="008000"/>
    </w:rPr>
  </w:style>
  <w:style w:type="character" w:customStyle="1" w:styleId="107">
    <w:name w:val="ztintro"/>
    <w:basedOn w:val="9"/>
    <w:qFormat/>
    <w:uiPriority w:val="0"/>
    <w:rPr>
      <w:color w:val="999999"/>
      <w:sz w:val="18"/>
      <w:szCs w:val="18"/>
    </w:rPr>
  </w:style>
  <w:style w:type="character" w:customStyle="1" w:styleId="108">
    <w:name w:val="ztintro1"/>
    <w:basedOn w:val="9"/>
    <w:qFormat/>
    <w:uiPriority w:val="0"/>
    <w:rPr>
      <w:color w:val="555555"/>
      <w:sz w:val="18"/>
      <w:szCs w:val="18"/>
    </w:rPr>
  </w:style>
  <w:style w:type="character" w:customStyle="1" w:styleId="109">
    <w:name w:val="txt"/>
    <w:basedOn w:val="9"/>
    <w:qFormat/>
    <w:uiPriority w:val="0"/>
    <w:rPr>
      <w:color w:val="646464"/>
      <w:bdr w:val="single" w:color="C9C8CE" w:sz="6" w:space="0"/>
      <w:shd w:val="clear" w:fill="FFFFFF"/>
    </w:rPr>
  </w:style>
  <w:style w:type="character" w:customStyle="1" w:styleId="110">
    <w:name w:val="curr3"/>
    <w:basedOn w:val="9"/>
    <w:qFormat/>
    <w:uiPriority w:val="0"/>
    <w:rPr>
      <w:bdr w:val="single" w:color="FF6701" w:sz="6" w:space="0"/>
      <w:shd w:val="clear" w:fill="FFFFFF"/>
    </w:rPr>
  </w:style>
  <w:style w:type="character" w:customStyle="1" w:styleId="111">
    <w:name w:val="c9"/>
    <w:basedOn w:val="9"/>
    <w:qFormat/>
    <w:uiPriority w:val="0"/>
    <w:rPr>
      <w:color w:val="999999"/>
      <w:sz w:val="21"/>
      <w:szCs w:val="21"/>
    </w:rPr>
  </w:style>
  <w:style w:type="character" w:customStyle="1" w:styleId="112">
    <w:name w:val="art_title"/>
    <w:basedOn w:val="9"/>
    <w:qFormat/>
    <w:uiPriority w:val="0"/>
  </w:style>
  <w:style w:type="character" w:customStyle="1" w:styleId="113">
    <w:name w:val="artintro"/>
    <w:basedOn w:val="9"/>
    <w:qFormat/>
    <w:uiPriority w:val="0"/>
    <w:rPr>
      <w:color w:val="666666"/>
      <w:sz w:val="18"/>
      <w:szCs w:val="18"/>
    </w:rPr>
  </w:style>
  <w:style w:type="character" w:customStyle="1" w:styleId="114">
    <w:name w:val="arturl"/>
    <w:basedOn w:val="9"/>
    <w:qFormat/>
    <w:uiPriority w:val="0"/>
  </w:style>
  <w:style w:type="character" w:customStyle="1" w:styleId="115">
    <w:name w:val="price8"/>
    <w:basedOn w:val="9"/>
    <w:qFormat/>
    <w:uiPriority w:val="0"/>
    <w:rPr>
      <w:color w:val="FF0000"/>
      <w:sz w:val="21"/>
      <w:szCs w:val="21"/>
    </w:rPr>
  </w:style>
  <w:style w:type="character" w:customStyle="1" w:styleId="116">
    <w:name w:val="buynum4"/>
    <w:basedOn w:val="9"/>
    <w:qFormat/>
    <w:uiPriority w:val="0"/>
    <w:rPr>
      <w:b/>
      <w:color w:val="CC0000"/>
      <w:sz w:val="24"/>
      <w:szCs w:val="24"/>
    </w:rPr>
  </w:style>
  <w:style w:type="character" w:customStyle="1" w:styleId="117">
    <w:name w:val="lightgrey01"/>
    <w:basedOn w:val="9"/>
    <w:qFormat/>
    <w:uiPriority w:val="0"/>
    <w:rPr>
      <w:b/>
      <w:color w:val="008000"/>
      <w:sz w:val="21"/>
      <w:szCs w:val="21"/>
    </w:rPr>
  </w:style>
  <w:style w:type="character" w:customStyle="1" w:styleId="118">
    <w:name w:val="total"/>
    <w:basedOn w:val="9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2699</Words>
  <Characters>3295</Characters>
  <Lines>1652</Lines>
  <Paragraphs>465</Paragraphs>
  <TotalTime>6</TotalTime>
  <ScaleCrop>false</ScaleCrop>
  <LinksUpToDate>false</LinksUpToDate>
  <CharactersWithSpaces>3773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如花</cp:lastModifiedBy>
  <cp:lastPrinted>2019-01-28T08:19:00Z</cp:lastPrinted>
  <dcterms:modified xsi:type="dcterms:W3CDTF">2025-08-14T04:42:23Z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eyJoZGlkIjoiMWNjNDkxMTk4ZTkwMWJlMjFkMzMxZjJjNzAyM2I0NDEiLCJ1c2VySWQiOiIyMzE1OTkwODgifQ==</vt:lpwstr>
  </property>
  <property fmtid="{D5CDD505-2E9C-101B-9397-08002B2CF9AE}" pid="4" name="ICV">
    <vt:lpwstr>DF749E04F0CF47D39629E6D78FD62DC5_13</vt:lpwstr>
  </property>
</Properties>
</file>