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国家税务总局精河县税务局</w:t>
      </w:r>
      <w:r>
        <w:rPr>
          <w:rFonts w:ascii="方正小标宋_GBK" w:hAnsi="宋体" w:eastAsia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both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国家税务总局精河县税务局概况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第一部分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Arial"/>
          <w:b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国家税务总局精河县税务局的主要职责是：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（一）负责贯彻执行党的路线、方针、政策，加强党的全面领导，履行全面从严治党责任，负责党的建设和思想政治建设工作。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三）负责研究拟订税收、社会保险费和有关非税收入中长期规划，参与拟订税收、社会保险费和有关非税收入预算目标并依法组织实施。负责税收、社会保险费和有关非税收入的会统核算工作。组织开展收入分析预测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（四）负责开展税收经济分析和税收政策效应分析，为国家税务总局博尔塔拉蒙古自治州税务局和地方党委、政府提供决策参考。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（六）负责组织实施税收、社会保险费和有关非税收入服务体系建设；组织开展纳税服务、税收宣传工作，保护纳税人、缴费人合法权益。承担涉及税收、社会保险费和有关非税收入的行政复议和行政赔偿事项。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（七）负责所辖区域内国际税收和进出口税收管理工作，承办反避税调查和出口退税事项办理。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（八）负责组织实施所辖区域内社会保险费、有关非税收入检查工作。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（九）负责增值税专用发票、普通发票和其他各类发票管理。负责税收、社会保险费和有关非税收入票证管理。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（十）负责内部控制机制建设工作，开展对贯彻执行党中央、国务院重大决策及上级工作部署情况的督查督办，组织实施税收执法督察。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（十一）负责基层建设和干部队伍建设工作，加强领导班子建设，承担税务人才培养和干部教育培训工作。负责绩效管理和干部考核工作。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hAns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（十二）负责编制、经费和资产管理工作。</w:t>
      </w:r>
      <w:r>
        <w:rPr>
          <w:rFonts w:ascii="宋体" w:hAnsi="宋体" w:cs="Arial"/>
          <w:color w:val="333333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600" w:lineRule="exact"/>
        <w:ind w:firstLine="860"/>
        <w:jc w:val="left"/>
        <w:outlineLvl w:val="1"/>
        <w:rPr>
          <w:rFonts w:ascii="宋体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（十三）完成上级税务部门及地方党委、政府交办的其他工作。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二、机构及人员情况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hAnsi="宋体" w:cs="Arial"/>
          <w:color w:val="333333"/>
          <w:sz w:val="32"/>
          <w:szCs w:val="32"/>
        </w:rPr>
        <w:t>国家税务总局精河县税务局</w:t>
      </w:r>
      <w:r>
        <w:rPr>
          <w:rFonts w:hint="eastAsia"/>
          <w:sz w:val="32"/>
          <w:szCs w:val="32"/>
        </w:rPr>
        <w:t>，设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个内设机构。分别是办公室、社会保险费和非税收入股、收入核算股、纳税服务股、征收管理股、税收经济分析处、风险管理股、人事教育股、机关党委、纪检组、第一税务分局、城区税务所、税源管理股。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</w:rPr>
        <w:t>国家税务总局精河县税务局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人员编制与实有人数均按合并后规模统计。实有编制数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95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人，其中：行政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92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人，事业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人。实有人数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126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人，其中：在职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95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人，退休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人，。实有人数增加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人，其中在职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人，离退休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年部门预算公开表</w:t>
      </w:r>
    </w:p>
    <w:tbl>
      <w:tblPr>
        <w:tblStyle w:val="12"/>
        <w:tblW w:w="851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一、部门收支总体情况表</w:t>
            </w:r>
          </w:p>
          <w:tbl>
            <w:tblPr>
              <w:tblStyle w:val="12"/>
              <w:tblW w:w="804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2"/>
              <w:gridCol w:w="871"/>
              <w:gridCol w:w="2736"/>
              <w:gridCol w:w="16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363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收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入</w:t>
                  </w:r>
                </w:p>
              </w:tc>
              <w:tc>
                <w:tcPr>
                  <w:tcW w:w="273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支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出</w:t>
                  </w: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年预算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功能分类</w:t>
                  </w:r>
                </w:p>
              </w:tc>
              <w:tc>
                <w:tcPr>
                  <w:tcW w:w="168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年预算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财政拨款（补助）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201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一般公共服务支出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540.01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一般公共预算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202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外交支出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政府性基金预算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203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国防支出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财政专户管理资金（教育收费）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204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公共安全支出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事业收入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205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教育支出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事业单位经营收入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206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科学技术支出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其他收入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207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文化旅游体育与传媒支出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用事业基金弥补收支差额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社会保障和就业支出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122.77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209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社会保险基金支出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卫生健康支出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211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节能环保支出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212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城乡社区支出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213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农林水支出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214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交通运输支出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215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资源勘探信息等支出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216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商业服务业等支出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217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219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援助其他地区支出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自然资源海洋气象等支出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221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住房保障支出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222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粮油物资储备支出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223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国有资本经营预算支出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224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灾害防治及应急管理支出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227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预备费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229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231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债务还本支出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232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债务付息支出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233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债务发行费支出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87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168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单位上年结余（不包括国库集中支付额度结余）</w:t>
                  </w:r>
                </w:p>
              </w:tc>
              <w:tc>
                <w:tcPr>
                  <w:tcW w:w="87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转移性支出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762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收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入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总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87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  <w:tc>
                <w:tcPr>
                  <w:tcW w:w="273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支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出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168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662.78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18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520"/>
        <w:gridCol w:w="770"/>
        <w:gridCol w:w="1026"/>
        <w:gridCol w:w="1476"/>
        <w:gridCol w:w="440"/>
        <w:gridCol w:w="576"/>
        <w:gridCol w:w="440"/>
        <w:gridCol w:w="440"/>
        <w:gridCol w:w="440"/>
        <w:gridCol w:w="440"/>
        <w:gridCol w:w="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税收事务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64.29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64.29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58.48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58.48 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21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40"/>
        <w:gridCol w:w="540"/>
        <w:gridCol w:w="2060"/>
        <w:gridCol w:w="1260"/>
        <w:gridCol w:w="1640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税收事务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2"/>
        <w:tblW w:w="821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56"/>
        <w:gridCol w:w="2736"/>
        <w:gridCol w:w="756"/>
        <w:gridCol w:w="1360"/>
        <w:gridCol w:w="1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224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2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33"/>
        <w:gridCol w:w="658"/>
        <w:gridCol w:w="3283"/>
        <w:gridCol w:w="1164"/>
        <w:gridCol w:w="1049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2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2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税收事务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540.01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122.77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23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76"/>
        <w:gridCol w:w="2280"/>
        <w:gridCol w:w="2196"/>
        <w:gridCol w:w="880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652.09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662.78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587.80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406.38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36.57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28.45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48.77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26.04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34.46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宋体"/>
          <w:kern w:val="0"/>
          <w:sz w:val="18"/>
          <w:szCs w:val="18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84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371"/>
        <w:gridCol w:w="653"/>
        <w:gridCol w:w="370"/>
        <w:gridCol w:w="371"/>
        <w:gridCol w:w="371"/>
        <w:gridCol w:w="371"/>
        <w:gridCol w:w="371"/>
        <w:gridCol w:w="702"/>
        <w:gridCol w:w="983"/>
        <w:gridCol w:w="1258"/>
        <w:gridCol w:w="556"/>
        <w:gridCol w:w="540"/>
        <w:gridCol w:w="370"/>
        <w:gridCol w:w="371"/>
        <w:gridCol w:w="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年国地税征管改革，原精河县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地方税务局与原精河县国税局合并为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；二是人员较上年增加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89人，其中在职64人，离退休25人。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195.46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人。项目支出预算未安排。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</w:t>
      </w:r>
      <w:r>
        <w:rPr>
          <w:rFonts w:ascii="仿宋_GB2312" w:hAnsi="宋体" w:eastAsia="仿宋_GB2312"/>
          <w:kern w:val="0"/>
          <w:sz w:val="32"/>
          <w:szCs w:val="32"/>
        </w:rPr>
        <w:t>2010701</w:t>
      </w:r>
      <w:r>
        <w:rPr>
          <w:rFonts w:hint="eastAsia" w:ascii="仿宋_GB2312" w:hAnsi="宋体" w:eastAsia="仿宋_GB2312"/>
          <w:kern w:val="0"/>
          <w:sz w:val="32"/>
          <w:szCs w:val="32"/>
        </w:rPr>
        <w:t>行政运行</w:t>
      </w:r>
      <w:r>
        <w:rPr>
          <w:rFonts w:ascii="仿宋_GB2312" w:hAnsi="宋体" w:eastAsia="仿宋_GB2312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/>
          <w:kern w:val="0"/>
          <w:sz w:val="32"/>
          <w:szCs w:val="32"/>
        </w:rPr>
        <w:t>2080504</w:t>
      </w:r>
      <w:r>
        <w:rPr>
          <w:rFonts w:hint="eastAsia" w:ascii="仿宋_GB2312" w:hAnsi="宋体" w:eastAsia="仿宋_GB2312"/>
          <w:kern w:val="0"/>
          <w:sz w:val="32"/>
          <w:szCs w:val="32"/>
        </w:rPr>
        <w:t>未归口管理的行政单位离退休</w:t>
      </w:r>
      <w:r>
        <w:rPr>
          <w:rFonts w:ascii="仿宋_GB2312" w:hAnsi="宋体" w:eastAsia="仿宋_GB2312"/>
          <w:kern w:val="0"/>
          <w:sz w:val="32"/>
          <w:szCs w:val="32"/>
        </w:rPr>
        <w:t>64.29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/>
          <w:kern w:val="0"/>
          <w:sz w:val="32"/>
          <w:szCs w:val="32"/>
        </w:rPr>
        <w:t>58.48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ascii="仿宋_GB2312" w:hAnsi="宋体" w:eastAsia="仿宋_GB2312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</w:t>
      </w:r>
      <w:r>
        <w:rPr>
          <w:rFonts w:ascii="仿宋_GB2312" w:hAnsi="宋体" w:eastAsia="仿宋_GB2312"/>
          <w:kern w:val="0"/>
          <w:sz w:val="32"/>
          <w:szCs w:val="32"/>
        </w:rPr>
        <w:t>2010701</w:t>
      </w:r>
      <w:r>
        <w:rPr>
          <w:rFonts w:hint="eastAsia" w:ascii="仿宋_GB2312" w:hAnsi="宋体" w:eastAsia="仿宋_GB2312"/>
          <w:kern w:val="0"/>
          <w:sz w:val="32"/>
          <w:szCs w:val="32"/>
        </w:rPr>
        <w:t>行政运行</w:t>
      </w:r>
      <w:r>
        <w:rPr>
          <w:rFonts w:ascii="仿宋_GB2312" w:hAnsi="宋体" w:eastAsia="仿宋_GB2312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万元；社会保障与就业支出</w:t>
      </w:r>
      <w:r>
        <w:rPr>
          <w:rFonts w:ascii="仿宋_GB2312" w:hAnsi="宋体" w:eastAsia="仿宋_GB2312"/>
          <w:kern w:val="0"/>
          <w:sz w:val="32"/>
          <w:szCs w:val="32"/>
        </w:rPr>
        <w:t>122.77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</w:t>
      </w:r>
      <w:r>
        <w:rPr>
          <w:rFonts w:ascii="仿宋_GB2312" w:hAnsi="宋体" w:eastAsia="仿宋_GB2312"/>
          <w:kern w:val="0"/>
          <w:sz w:val="32"/>
          <w:szCs w:val="32"/>
        </w:rPr>
        <w:t>2080504</w:t>
      </w:r>
      <w:r>
        <w:rPr>
          <w:rFonts w:hint="eastAsia" w:ascii="仿宋_GB2312" w:hAnsi="宋体" w:eastAsia="仿宋_GB2312"/>
          <w:kern w:val="0"/>
          <w:sz w:val="32"/>
          <w:szCs w:val="32"/>
        </w:rPr>
        <w:t>未归口管理的行政单位离退休</w:t>
      </w:r>
      <w:r>
        <w:rPr>
          <w:rFonts w:ascii="仿宋_GB2312" w:hAnsi="宋体" w:eastAsia="仿宋_GB2312"/>
          <w:kern w:val="0"/>
          <w:sz w:val="32"/>
          <w:szCs w:val="32"/>
        </w:rPr>
        <w:t>64.29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/>
          <w:kern w:val="0"/>
          <w:sz w:val="32"/>
          <w:szCs w:val="32"/>
        </w:rPr>
        <w:t>58.48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/>
          <w:kern w:val="0"/>
          <w:sz w:val="32"/>
          <w:szCs w:val="32"/>
        </w:rPr>
        <w:t>103.34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18.47</w:t>
      </w:r>
      <w:r>
        <w:rPr>
          <w:rFonts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/>
          <w:kern w:val="0"/>
          <w:sz w:val="32"/>
          <w:szCs w:val="32"/>
        </w:rPr>
        <w:t>。主要原因一是国地税征管体制改革，经费保障模式改变；二是合并后人员增加</w:t>
      </w:r>
      <w:r>
        <w:rPr>
          <w:rFonts w:ascii="仿宋_GB2312" w:hAnsi="宋体" w:eastAsia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人，其中在职增加</w:t>
      </w:r>
      <w:r>
        <w:rPr>
          <w:rFonts w:ascii="仿宋_GB2312" w:hAnsi="宋体" w:eastAsia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kern w:val="0"/>
          <w:sz w:val="32"/>
          <w:szCs w:val="32"/>
        </w:rPr>
        <w:t>人。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一般公共服务（类）</w:t>
      </w:r>
      <w:r>
        <w:rPr>
          <w:rFonts w:ascii="仿宋_GB2312" w:hAnsi="宋体" w:eastAsia="仿宋_GB2312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/>
          <w:kern w:val="0"/>
          <w:sz w:val="32"/>
          <w:szCs w:val="32"/>
        </w:rPr>
        <w:t>81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.48</w:t>
      </w:r>
      <w:r>
        <w:rPr>
          <w:rFonts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/>
          <w:kern w:val="0"/>
          <w:sz w:val="32"/>
          <w:szCs w:val="32"/>
        </w:rPr>
        <w:t>。其中</w:t>
      </w:r>
      <w:r>
        <w:rPr>
          <w:rFonts w:ascii="仿宋_GB2312" w:hAnsi="宋体" w:eastAsia="仿宋_GB2312"/>
          <w:kern w:val="0"/>
          <w:sz w:val="32"/>
          <w:szCs w:val="32"/>
        </w:rPr>
        <w:t>2010701</w:t>
      </w:r>
      <w:r>
        <w:rPr>
          <w:rFonts w:hint="eastAsia" w:ascii="仿宋_GB2312" w:hAnsi="宋体" w:eastAsia="仿宋_GB2312"/>
          <w:kern w:val="0"/>
          <w:sz w:val="32"/>
          <w:szCs w:val="32"/>
        </w:rPr>
        <w:t>行政运行</w:t>
      </w:r>
      <w:r>
        <w:rPr>
          <w:rFonts w:ascii="仿宋_GB2312" w:hAnsi="宋体" w:eastAsia="仿宋_GB2312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2.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</w:t>
      </w:r>
      <w:r>
        <w:rPr>
          <w:rFonts w:ascii="仿宋_GB2312" w:hAnsi="宋体" w:eastAsia="仿宋_GB2312"/>
          <w:kern w:val="0"/>
          <w:sz w:val="32"/>
          <w:szCs w:val="32"/>
        </w:rPr>
        <w:t>122.77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18.52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</w:t>
      </w:r>
      <w:r>
        <w:rPr>
          <w:rFonts w:ascii="仿宋_GB2312" w:hAnsi="宋体" w:eastAsia="仿宋_GB2312"/>
          <w:kern w:val="0"/>
          <w:sz w:val="32"/>
          <w:szCs w:val="32"/>
        </w:rPr>
        <w:t>2080504</w:t>
      </w:r>
      <w:r>
        <w:rPr>
          <w:rFonts w:hint="eastAsia" w:ascii="仿宋_GB2312" w:hAnsi="宋体" w:eastAsia="仿宋_GB2312"/>
          <w:kern w:val="0"/>
          <w:sz w:val="32"/>
          <w:szCs w:val="32"/>
        </w:rPr>
        <w:t>未归口管理的行政单位离退休</w:t>
      </w:r>
      <w:r>
        <w:rPr>
          <w:rFonts w:ascii="仿宋_GB2312" w:hAnsi="宋体" w:eastAsia="仿宋_GB2312"/>
          <w:kern w:val="0"/>
          <w:sz w:val="32"/>
          <w:szCs w:val="32"/>
        </w:rPr>
        <w:t>64.29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/>
          <w:kern w:val="0"/>
          <w:sz w:val="32"/>
          <w:szCs w:val="32"/>
        </w:rPr>
        <w:t>58.48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ascii="仿宋_GB2312" w:hAnsi="宋体" w:eastAsia="仿宋_GB2312" w:cs="宋体"/>
          <w:kern w:val="0"/>
          <w:sz w:val="32"/>
          <w:szCs w:val="32"/>
        </w:rPr>
        <w:t>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ascii="仿宋_GB2312" w:hAnsi="宋体" w:eastAsia="仿宋_GB2312" w:cs="宋体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540.01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46.45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9.41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，主要原因是合并后在职人数增幅较大，增加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ascii="仿宋_GB2312" w:hAnsi="宋体" w:eastAsia="仿宋_GB2312" w:cs="宋体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（款）未归口管理的行政单位离退休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64.29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51.57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color w:val="FF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ascii="仿宋_GB2312" w:hAnsi="宋体" w:eastAsia="仿宋_GB2312" w:cs="宋体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58.48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ascii="仿宋_GB2312" w:hAnsi="宋体" w:eastAsia="仿宋_GB2312" w:cs="宋体"/>
          <w:kern w:val="0"/>
          <w:sz w:val="32"/>
          <w:szCs w:val="32"/>
        </w:rPr>
        <w:t>9.61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是自治区财政经费保障范围变化，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养老金提取基数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改变；二是在职人员较去年增加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64人。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662.78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652.09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10.69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黑体" w:hAnsi="黑体" w:eastAsia="黑体"/>
          <w:kern w:val="0"/>
          <w:sz w:val="32"/>
          <w:szCs w:val="32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年，未安排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年，未安排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14405.8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1897.14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237.68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226.42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11.26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>164.22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422.36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万元以上大型设备无，单位价值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年部门预算未安排购置车辆经费、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万元以上大型设备及单位价值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年，未安排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国家税务总局精河县税务局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国家税务总局精河县税务局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7"/>
    <w:rsid w:val="00074216"/>
    <w:rsid w:val="000901AD"/>
    <w:rsid w:val="00092C0D"/>
    <w:rsid w:val="000B4333"/>
    <w:rsid w:val="000E09A1"/>
    <w:rsid w:val="000E77CE"/>
    <w:rsid w:val="00130316"/>
    <w:rsid w:val="00135ED3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05D05"/>
    <w:rsid w:val="00355456"/>
    <w:rsid w:val="003566D7"/>
    <w:rsid w:val="00371334"/>
    <w:rsid w:val="003A41F5"/>
    <w:rsid w:val="003D52E5"/>
    <w:rsid w:val="003F7DB0"/>
    <w:rsid w:val="00420B4B"/>
    <w:rsid w:val="004A62A8"/>
    <w:rsid w:val="004D304E"/>
    <w:rsid w:val="004F638D"/>
    <w:rsid w:val="00594A5F"/>
    <w:rsid w:val="0059735A"/>
    <w:rsid w:val="005B1030"/>
    <w:rsid w:val="005B385A"/>
    <w:rsid w:val="005E752B"/>
    <w:rsid w:val="006871DB"/>
    <w:rsid w:val="00753E51"/>
    <w:rsid w:val="00771651"/>
    <w:rsid w:val="007727CD"/>
    <w:rsid w:val="007C12AD"/>
    <w:rsid w:val="007C16B8"/>
    <w:rsid w:val="007E1887"/>
    <w:rsid w:val="00823383"/>
    <w:rsid w:val="00870819"/>
    <w:rsid w:val="00894CFA"/>
    <w:rsid w:val="008B2FA1"/>
    <w:rsid w:val="008C3038"/>
    <w:rsid w:val="008D110D"/>
    <w:rsid w:val="008E0D54"/>
    <w:rsid w:val="0092541E"/>
    <w:rsid w:val="00927762"/>
    <w:rsid w:val="00971F01"/>
    <w:rsid w:val="009A4351"/>
    <w:rsid w:val="009E400A"/>
    <w:rsid w:val="00A01061"/>
    <w:rsid w:val="00A36AFA"/>
    <w:rsid w:val="00A37416"/>
    <w:rsid w:val="00A80906"/>
    <w:rsid w:val="00A83DE2"/>
    <w:rsid w:val="00B2503B"/>
    <w:rsid w:val="00B367FC"/>
    <w:rsid w:val="00B565C7"/>
    <w:rsid w:val="00B81AA0"/>
    <w:rsid w:val="00BE7C40"/>
    <w:rsid w:val="00BF5CA4"/>
    <w:rsid w:val="00C628F5"/>
    <w:rsid w:val="00C650B4"/>
    <w:rsid w:val="00C812C1"/>
    <w:rsid w:val="00CB67B7"/>
    <w:rsid w:val="00CD15C5"/>
    <w:rsid w:val="00D0203C"/>
    <w:rsid w:val="00D071F2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23E95"/>
    <w:rsid w:val="00F457EC"/>
    <w:rsid w:val="00F70EA2"/>
    <w:rsid w:val="00F7774A"/>
    <w:rsid w:val="00FA3FD0"/>
    <w:rsid w:val="00FC3AE6"/>
    <w:rsid w:val="00FE045D"/>
    <w:rsid w:val="0DA3745F"/>
    <w:rsid w:val="1BD972E4"/>
    <w:rsid w:val="2C9718E4"/>
    <w:rsid w:val="2D4200E2"/>
    <w:rsid w:val="46AA05AD"/>
    <w:rsid w:val="4EF943EC"/>
    <w:rsid w:val="58B837B3"/>
    <w:rsid w:val="5CDD4F9B"/>
    <w:rsid w:val="7E5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semiHidden/>
    <w:uiPriority w:val="99"/>
    <w:rPr>
      <w:rFonts w:cs="Times New Roman"/>
      <w:color w:val="800080"/>
      <w:u w:val="single"/>
    </w:rPr>
  </w:style>
  <w:style w:type="character" w:styleId="11">
    <w:name w:val="Hyperlink"/>
    <w:basedOn w:val="7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oter Char"/>
    <w:basedOn w:val="7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Body Text Indent 3 Char"/>
    <w:basedOn w:val="7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99"/>
    <w:rPr>
      <w:rFonts w:ascii="Calibri" w:hAnsi="Calibri" w:cs="黑体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19</Pages>
  <Words>1380</Words>
  <Characters>7870</Characters>
  <Lines>0</Lines>
  <Paragraphs>0</Paragraphs>
  <TotalTime>876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 </cp:lastModifiedBy>
  <cp:lastPrinted>2019-01-28T08:19:00Z</cp:lastPrinted>
  <dcterms:modified xsi:type="dcterms:W3CDTF">2019-02-27T09:08:09Z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