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adjustRightInd w:val="0"/>
        <w:snapToGrid w:val="0"/>
        <w:spacing w:line="600" w:lineRule="exact"/>
      </w:pPr>
    </w:p>
    <w:p>
      <w:pPr>
        <w:adjustRightInd w:val="0"/>
        <w:snapToGrid w:val="0"/>
        <w:spacing w:line="600" w:lineRule="exact"/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国家税务总局博乐市税务局2019年部门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预算公开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both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600" w:lineRule="exact"/>
        <w:outlineLvl w:val="1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税务局概况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</w:t>
      </w:r>
      <w:r>
        <w:rPr>
          <w:rFonts w:hint="eastAsia" w:ascii="宋体" w:hAnsi="宋体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宋体" w:hAnsi="宋体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税务局2019年收支预算情况的总体说明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税务局2019年收入预算情况说明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税务局2019年支出预算情况说明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税务局2019年财政拨款收支预算情况的总体说明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税务局2019年一般公共预算当年拨款情况说明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税务局2019年一般公共预算基本支出情况说明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税务局2019年项目支出情况说明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税务局2019年一般公共预算“三公”经费预算情况说明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税务局2019年政府性基金预算拨款情况说明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both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税务局</w:t>
      </w:r>
      <w:r>
        <w:rPr>
          <w:rFonts w:hint="eastAsia" w:ascii="黑体" w:hAnsi="黑体" w:eastAsia="黑体"/>
          <w:b/>
          <w:kern w:val="0"/>
          <w:sz w:val="32"/>
          <w:szCs w:val="32"/>
        </w:rPr>
        <w:t>概况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一、主要职能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5"/>
        <w:jc w:val="left"/>
        <w:textAlignment w:val="baseline"/>
        <w:outlineLvl w:val="9"/>
        <w:rPr>
          <w:rFonts w:ascii="仿宋_GB2312" w:hAnsi="宋体" w:eastAsia="仿宋_GB2312" w:cs="仿宋_GB2312"/>
          <w:i w:val="0"/>
          <w:color w:val="333333"/>
          <w:sz w:val="31"/>
          <w:szCs w:val="31"/>
          <w:vertAlign w:val="baseline"/>
        </w:rPr>
      </w:pPr>
      <w:r>
        <w:rPr>
          <w:rFonts w:ascii="仿宋_GB2312" w:hAnsi="宋体" w:eastAsia="仿宋_GB2312" w:cs="仿宋_GB2312"/>
          <w:i w:val="0"/>
          <w:color w:val="333333"/>
          <w:sz w:val="31"/>
          <w:szCs w:val="31"/>
          <w:vertAlign w:val="baseline"/>
        </w:rPr>
        <w:t>国家税务总局博乐市税务局的主要职责是：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6"/>
        <w:jc w:val="left"/>
        <w:textAlignment w:val="baseline"/>
        <w:outlineLvl w:val="9"/>
      </w:pPr>
      <w:r>
        <w:rPr>
          <w:rFonts w:hint="eastAsia" w:ascii="仿宋_GB2312" w:hAnsi="宋体" w:eastAsia="仿宋_GB2312" w:cs="仿宋_GB2312"/>
          <w:i w:val="0"/>
          <w:color w:val="333333"/>
          <w:sz w:val="31"/>
          <w:szCs w:val="31"/>
          <w:vertAlign w:val="baseline"/>
        </w:rPr>
        <w:t>负责贯彻执行党的路线、方针、政策，加强党的全面领导，履行全面从严治党责任，负责党的建设和思想政治建设工作。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6"/>
        <w:jc w:val="left"/>
        <w:textAlignment w:val="baseline"/>
        <w:outlineLvl w:val="9"/>
      </w:pPr>
      <w:r>
        <w:rPr>
          <w:rFonts w:hint="eastAsia" w:ascii="仿宋_GB2312" w:hAnsi="宋体" w:eastAsia="仿宋_GB2312" w:cs="仿宋_GB2312"/>
          <w:i w:val="0"/>
          <w:color w:val="333333"/>
          <w:sz w:val="31"/>
          <w:szCs w:val="31"/>
          <w:vertAlign w:val="baseline"/>
        </w:rPr>
        <w:t>负责贯彻执行税收、社会保险费和有关非税收入法律、法规、规章和规范性文件，研究制定具体实施办法。组织落实国家规定的税收优惠政策。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6"/>
        <w:jc w:val="left"/>
        <w:textAlignment w:val="baseline"/>
        <w:outlineLvl w:val="9"/>
        <w:rPr>
          <w:rFonts w:hint="eastAsia" w:ascii="仿宋_GB2312" w:hAnsi="宋体" w:eastAsia="仿宋_GB2312" w:cs="仿宋_GB2312"/>
          <w:i w:val="0"/>
          <w:color w:val="333333"/>
          <w:sz w:val="31"/>
          <w:szCs w:val="31"/>
          <w:vertAlign w:val="baseline"/>
        </w:rPr>
      </w:pPr>
      <w:r>
        <w:rPr>
          <w:rFonts w:hint="eastAsia" w:ascii="仿宋_GB2312" w:hAnsi="宋体" w:eastAsia="仿宋_GB2312" w:cs="仿宋_GB2312"/>
          <w:i w:val="0"/>
          <w:color w:val="333333"/>
          <w:sz w:val="31"/>
          <w:szCs w:val="31"/>
          <w:vertAlign w:val="baseline"/>
        </w:rPr>
        <w:t>负责研究拟订税收、社会保险费和有关非税收入中长期规划，参与拟订税收、社会保险费和有关非税收入预算目标并依法组织实施。负责税收、社会保险费和有关非税收入的会统核算工作。组织开展收入分析预测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6"/>
        <w:jc w:val="left"/>
        <w:textAlignment w:val="baseline"/>
        <w:outlineLvl w:val="9"/>
      </w:pPr>
      <w:r>
        <w:rPr>
          <w:rFonts w:hint="eastAsia" w:ascii="仿宋_GB2312" w:hAnsi="宋体" w:eastAsia="仿宋_GB2312" w:cs="仿宋_GB2312"/>
          <w:i w:val="0"/>
          <w:color w:val="333333"/>
          <w:sz w:val="31"/>
          <w:szCs w:val="31"/>
          <w:vertAlign w:val="baseline"/>
        </w:rPr>
        <w:t>负责开展税收经济分析和税收政策效应分析，为国家税务总局博尔塔拉蒙古自治州税务局和地方党委、政府提供决策参考。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6"/>
        <w:jc w:val="left"/>
        <w:textAlignment w:val="baseline"/>
        <w:outlineLvl w:val="9"/>
      </w:pPr>
      <w:r>
        <w:rPr>
          <w:rFonts w:hint="eastAsia" w:ascii="仿宋_GB2312" w:hAnsi="宋体" w:eastAsia="仿宋_GB2312" w:cs="仿宋_GB2312"/>
          <w:i w:val="0"/>
          <w:color w:val="333333"/>
          <w:sz w:val="31"/>
          <w:szCs w:val="31"/>
          <w:vertAlign w:val="baseline"/>
        </w:rPr>
        <w:t>负责所辖区域内各项税收、社会保险费和有关非税收入征收管理。组织实施税（费）源监控和风险管理，加强大企业和自然人税收管理。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6"/>
        <w:jc w:val="left"/>
        <w:textAlignment w:val="baseline"/>
        <w:outlineLvl w:val="9"/>
      </w:pPr>
      <w:r>
        <w:rPr>
          <w:rFonts w:hint="eastAsia" w:ascii="仿宋_GB2312" w:hAnsi="宋体" w:eastAsia="仿宋_GB2312" w:cs="仿宋_GB2312"/>
          <w:i w:val="0"/>
          <w:color w:val="333333"/>
          <w:sz w:val="31"/>
          <w:szCs w:val="31"/>
          <w:vertAlign w:val="baseline"/>
        </w:rPr>
        <w:t>负责组织实施税收、社会保险费和有关非税收入服务体系建设。组织开展纳税服务、税收宣传工作，保护纳税人、缴费人合法权益。承担涉及税收、社会保险费和有关非税收入的行政复议和行政赔偿事项。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6"/>
        <w:jc w:val="left"/>
        <w:textAlignment w:val="baseline"/>
        <w:outlineLvl w:val="9"/>
      </w:pPr>
      <w:r>
        <w:rPr>
          <w:rFonts w:hint="eastAsia" w:ascii="仿宋_GB2312" w:hAnsi="宋体" w:eastAsia="仿宋_GB2312" w:cs="仿宋_GB2312"/>
          <w:i w:val="0"/>
          <w:color w:val="333333"/>
          <w:sz w:val="31"/>
          <w:szCs w:val="31"/>
          <w:vertAlign w:val="baseline"/>
        </w:rPr>
        <w:t>负责所辖区域内国际税收和进出口税收管理工作，承办反避税调查和出口退税事项办理。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6"/>
        <w:jc w:val="left"/>
        <w:textAlignment w:val="baseline"/>
        <w:outlineLvl w:val="9"/>
      </w:pPr>
      <w:r>
        <w:rPr>
          <w:rFonts w:hint="eastAsia" w:ascii="仿宋_GB2312" w:hAnsi="宋体" w:eastAsia="仿宋_GB2312" w:cs="仿宋_GB2312"/>
          <w:i w:val="0"/>
          <w:color w:val="333333"/>
          <w:sz w:val="31"/>
          <w:szCs w:val="31"/>
          <w:vertAlign w:val="baseline"/>
        </w:rPr>
        <w:t>负责组织实施所辖区域内社会保险费、有关非税收入检查工作。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6"/>
        <w:jc w:val="left"/>
        <w:textAlignment w:val="baseline"/>
        <w:outlineLvl w:val="9"/>
      </w:pPr>
      <w:r>
        <w:rPr>
          <w:rFonts w:hint="eastAsia" w:ascii="仿宋_GB2312" w:hAnsi="宋体" w:eastAsia="仿宋_GB2312" w:cs="仿宋_GB2312"/>
          <w:i w:val="0"/>
          <w:color w:val="333333"/>
          <w:sz w:val="31"/>
          <w:szCs w:val="31"/>
          <w:vertAlign w:val="baseline"/>
        </w:rPr>
        <w:t>负责增值税专用发票、普通发票和其他各类发票管理。负责税收、社会保险费和有关非税收入票证管理。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6"/>
        <w:jc w:val="left"/>
        <w:textAlignment w:val="baseline"/>
        <w:outlineLvl w:val="9"/>
      </w:pPr>
      <w:r>
        <w:rPr>
          <w:rFonts w:hint="eastAsia" w:ascii="仿宋_GB2312" w:hAnsi="宋体" w:eastAsia="仿宋_GB2312" w:cs="仿宋_GB2312"/>
          <w:i w:val="0"/>
          <w:color w:val="333333"/>
          <w:sz w:val="31"/>
          <w:szCs w:val="31"/>
          <w:vertAlign w:val="baseline"/>
        </w:rPr>
        <w:t>负责内部控制机制建设工作，开展对贯彻执行党中央、国务院重大决策及上级工作部署情况的督查督办，组织实施税收执法督察。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6"/>
        <w:jc w:val="left"/>
        <w:textAlignment w:val="baseline"/>
        <w:outlineLvl w:val="9"/>
      </w:pPr>
      <w:r>
        <w:rPr>
          <w:rFonts w:hint="eastAsia" w:ascii="仿宋_GB2312" w:hAnsi="宋体" w:eastAsia="仿宋_GB2312" w:cs="仿宋_GB2312"/>
          <w:i w:val="0"/>
          <w:color w:val="333333"/>
          <w:sz w:val="31"/>
          <w:szCs w:val="31"/>
          <w:vertAlign w:val="baseline"/>
        </w:rPr>
        <w:t>负责基层建设和干部队伍建设工作，加强领导班子建设，承担税务人才培养和干部教育培训工作。负责绩效管理和干部考核工作。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6"/>
        <w:jc w:val="left"/>
        <w:textAlignment w:val="baseline"/>
        <w:outlineLvl w:val="9"/>
      </w:pPr>
      <w:r>
        <w:rPr>
          <w:rFonts w:hint="eastAsia" w:ascii="仿宋_GB2312" w:hAnsi="宋体" w:eastAsia="仿宋_GB2312" w:cs="仿宋_GB2312"/>
          <w:i w:val="0"/>
          <w:color w:val="333333"/>
          <w:sz w:val="31"/>
          <w:szCs w:val="31"/>
          <w:vertAlign w:val="baseline"/>
        </w:rPr>
        <w:t xml:space="preserve">负责编制、经费和资产管理工作。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6"/>
        <w:jc w:val="left"/>
        <w:textAlignment w:val="baseline"/>
        <w:outlineLvl w:val="9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olor w:val="333333"/>
          <w:sz w:val="31"/>
          <w:szCs w:val="31"/>
          <w:vertAlign w:val="baseline"/>
        </w:rPr>
        <w:t>完成上级税务部门及地方党委、政府交办的其他工作。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/>
          <w:kern w:val="0"/>
          <w:sz w:val="32"/>
          <w:szCs w:val="32"/>
        </w:rPr>
        <w:t xml:space="preserve">   二、机构及人员情况</w:t>
      </w:r>
    </w:p>
    <w:p>
      <w:pPr>
        <w:pStyle w:val="24"/>
        <w:snapToGrid w:val="0"/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从预算单位构成看</w:t>
      </w:r>
      <w:r>
        <w:rPr>
          <w:rFonts w:hint="eastAsia"/>
          <w:sz w:val="32"/>
          <w:szCs w:val="32"/>
          <w:lang w:eastAsia="zh-CN"/>
        </w:rPr>
        <w:t>，国家税务总局博乐市</w:t>
      </w:r>
      <w:r>
        <w:rPr>
          <w:rFonts w:hint="eastAsia"/>
          <w:sz w:val="32"/>
          <w:szCs w:val="32"/>
        </w:rPr>
        <w:t>税务局的部门预算包括：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家预算单位预算。</w:t>
      </w:r>
      <w:r>
        <w:rPr>
          <w:sz w:val="32"/>
          <w:szCs w:val="32"/>
        </w:rPr>
        <w:t xml:space="preserve"> </w:t>
      </w:r>
    </w:p>
    <w:p>
      <w:pPr>
        <w:pStyle w:val="24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国家税务总局博乐市</w:t>
      </w:r>
      <w:r>
        <w:rPr>
          <w:rFonts w:hint="eastAsia"/>
          <w:sz w:val="32"/>
          <w:szCs w:val="32"/>
        </w:rPr>
        <w:t>税务局，设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个内设机构、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个派出机构、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个事业单位，</w:t>
      </w:r>
      <w:r>
        <w:rPr>
          <w:rFonts w:hint="eastAsia"/>
          <w:sz w:val="32"/>
          <w:szCs w:val="32"/>
          <w:lang w:eastAsia="zh-CN"/>
        </w:rPr>
        <w:t>内设机构、事业单位</w:t>
      </w:r>
      <w:r>
        <w:rPr>
          <w:rFonts w:hint="eastAsia"/>
          <w:sz w:val="32"/>
          <w:szCs w:val="32"/>
        </w:rPr>
        <w:t>级别均为</w:t>
      </w:r>
      <w:r>
        <w:rPr>
          <w:rFonts w:hint="eastAsia"/>
          <w:sz w:val="32"/>
          <w:szCs w:val="32"/>
          <w:lang w:eastAsia="zh-CN"/>
        </w:rPr>
        <w:t>股</w:t>
      </w:r>
      <w:r>
        <w:rPr>
          <w:rFonts w:hint="eastAsia"/>
          <w:sz w:val="32"/>
          <w:szCs w:val="32"/>
        </w:rPr>
        <w:t>级。派出机构</w:t>
      </w:r>
      <w:r>
        <w:rPr>
          <w:rFonts w:hint="eastAsia"/>
          <w:sz w:val="32"/>
          <w:szCs w:val="32"/>
          <w:lang w:eastAsia="zh-CN"/>
        </w:rPr>
        <w:t>中</w:t>
      </w:r>
      <w:r>
        <w:rPr>
          <w:rFonts w:hint="eastAsia"/>
          <w:sz w:val="32"/>
          <w:szCs w:val="32"/>
          <w:lang w:val="en-US" w:eastAsia="zh-CN"/>
        </w:rPr>
        <w:t>1个副科级机构、2个股级机构。</w:t>
      </w:r>
    </w:p>
    <w:p>
      <w:pPr>
        <w:pStyle w:val="24"/>
        <w:numPr>
          <w:ilvl w:val="0"/>
          <w:numId w:val="1"/>
        </w:numPr>
        <w:snapToGrid w:val="0"/>
        <w:spacing w:line="600" w:lineRule="exact"/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</w:rPr>
        <w:t>内设机构</w:t>
      </w:r>
      <w:r>
        <w:rPr>
          <w:rFonts w:hint="eastAsia"/>
          <w:sz w:val="32"/>
          <w:szCs w:val="32"/>
        </w:rPr>
        <w:t>：办公室、法</w:t>
      </w:r>
      <w:r>
        <w:rPr>
          <w:rFonts w:hint="eastAsia"/>
          <w:sz w:val="32"/>
          <w:szCs w:val="32"/>
          <w:lang w:eastAsia="zh-CN"/>
        </w:rPr>
        <w:t>制股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税政股</w:t>
      </w:r>
      <w:r>
        <w:rPr>
          <w:rFonts w:hint="eastAsia"/>
          <w:sz w:val="32"/>
          <w:szCs w:val="32"/>
        </w:rPr>
        <w:t>、社会保</w:t>
      </w:r>
      <w:r>
        <w:rPr>
          <w:rFonts w:hint="eastAsia"/>
          <w:sz w:val="32"/>
          <w:szCs w:val="32"/>
          <w:lang w:eastAsia="zh-CN"/>
        </w:rPr>
        <w:t>险费和</w:t>
      </w:r>
      <w:r>
        <w:rPr>
          <w:rFonts w:hint="eastAsia"/>
          <w:sz w:val="32"/>
          <w:szCs w:val="32"/>
        </w:rPr>
        <w:t>非税收入</w:t>
      </w:r>
      <w:r>
        <w:rPr>
          <w:rFonts w:hint="eastAsia"/>
          <w:sz w:val="32"/>
          <w:szCs w:val="32"/>
          <w:lang w:eastAsia="zh-CN"/>
        </w:rPr>
        <w:t>股、纳税服务股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征收管理股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收入核算股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税源管理一股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税源管理二股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风险管理股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人事教育股</w:t>
      </w:r>
      <w:r>
        <w:rPr>
          <w:rFonts w:hint="eastAsia"/>
          <w:sz w:val="32"/>
          <w:szCs w:val="32"/>
        </w:rPr>
        <w:t>。</w:t>
      </w:r>
    </w:p>
    <w:p>
      <w:pPr>
        <w:pStyle w:val="24"/>
        <w:numPr>
          <w:ilvl w:val="0"/>
          <w:numId w:val="0"/>
        </w:numPr>
        <w:snapToGrid w:val="0"/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sz w:val="32"/>
          <w:szCs w:val="32"/>
        </w:rPr>
        <w:t>（二）派出机构</w:t>
      </w:r>
      <w:r>
        <w:rPr>
          <w:rFonts w:hint="eastAsia"/>
          <w:sz w:val="32"/>
          <w:szCs w:val="32"/>
        </w:rPr>
        <w:t>：第一税务分局（</w:t>
      </w:r>
      <w:r>
        <w:rPr>
          <w:rFonts w:hint="eastAsia"/>
          <w:sz w:val="32"/>
          <w:szCs w:val="32"/>
          <w:lang w:eastAsia="zh-CN"/>
        </w:rPr>
        <w:t>办税服务厅</w:t>
      </w:r>
      <w:r>
        <w:rPr>
          <w:rFonts w:hint="eastAsia"/>
          <w:sz w:val="32"/>
          <w:szCs w:val="32"/>
        </w:rPr>
        <w:t>）、</w:t>
      </w:r>
      <w:r>
        <w:rPr>
          <w:rFonts w:hint="eastAsia"/>
          <w:sz w:val="32"/>
          <w:szCs w:val="32"/>
          <w:lang w:eastAsia="zh-CN"/>
        </w:rPr>
        <w:t>城区税务所、青得里税务所。</w:t>
      </w:r>
    </w:p>
    <w:p>
      <w:pPr>
        <w:pStyle w:val="24"/>
        <w:snapToGrid w:val="0"/>
        <w:spacing w:line="600" w:lineRule="exact"/>
        <w:ind w:firstLine="643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（三）事业单位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lang w:eastAsia="zh-CN"/>
        </w:rPr>
        <w:t>信息中心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 w:cs="仿宋_GB2312" w:hAnsiTheme="minorHAnsi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eastAsia="zh-CN"/>
        </w:rPr>
        <w:t>国家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税务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eastAsia="zh-CN"/>
        </w:rPr>
        <w:t>总局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局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eastAsia="zh-CN"/>
        </w:rPr>
        <w:t>博乐市税务局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人员编制与实有人数均按合并后规模统计。实有编制数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152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人，其中：行政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151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人，事业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人。实有人数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217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人，其中：在职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148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人，退休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69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人。实有人数增加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145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人，其中在职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93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人，离退休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52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人。</w:t>
      </w:r>
    </w:p>
    <w:p>
      <w:pPr>
        <w:widowControl/>
        <w:numPr>
          <w:ilvl w:val="0"/>
          <w:numId w:val="2"/>
        </w:numPr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2019年部门预算公开表</w:t>
      </w:r>
    </w:p>
    <w:p>
      <w:pPr>
        <w:widowControl/>
        <w:numPr>
          <w:ilvl w:val="0"/>
          <w:numId w:val="0"/>
        </w:numPr>
        <w:adjustRightInd w:val="0"/>
        <w:snapToGrid w:val="0"/>
        <w:spacing w:line="600" w:lineRule="exact"/>
        <w:jc w:val="both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numPr>
          <w:ilvl w:val="0"/>
          <w:numId w:val="3"/>
        </w:numPr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部门收支总体情况表</w:t>
      </w:r>
    </w:p>
    <w:tbl>
      <w:tblPr>
        <w:tblStyle w:val="13"/>
        <w:tblW w:w="8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0"/>
        <w:gridCol w:w="1464"/>
        <w:gridCol w:w="2561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               入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                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 目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2019年预算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2019年预算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财政拨款（补助）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25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 一般公共服务支出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一般公共预算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25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 外交支出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政府性基金预算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 国防支出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财政专户管理资金（教育收费）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 公共安全支出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 教育支出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 科学技术支出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 文化旅游体育与传媒支出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 社会保障和就业支出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 社会保险基金支出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 卫生健康支出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 节能环保支出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 城乡社区支出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 农林水支出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 交通运输支出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 资源勘探信息等支出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 商业服务业等支出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 金融支出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 援助其他地区支出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 自然资源海洋气象等支出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 住房保障支出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 粮油物资储备支出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 国有资本经营预算支出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 灾害防治及应急管理支出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 预备费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 其他支出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 债务还本支出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 债务付息支出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 债务发行费支出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       计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25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       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单位上年结余（不包括国库集中支付额度结余）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 转移性支出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入  总  计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25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出  合  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numPr>
          <w:ilvl w:val="0"/>
          <w:numId w:val="3"/>
        </w:numPr>
        <w:adjustRightInd w:val="0"/>
        <w:snapToGrid w:val="0"/>
        <w:spacing w:line="600" w:lineRule="exact"/>
        <w:ind w:left="0" w:leftChars="0" w:firstLine="0" w:firstLineChars="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部门收入总体情况表</w:t>
      </w:r>
    </w:p>
    <w:tbl>
      <w:tblPr>
        <w:tblStyle w:val="13"/>
        <w:tblW w:w="8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528"/>
        <w:gridCol w:w="2465"/>
        <w:gridCol w:w="971"/>
        <w:gridCol w:w="854"/>
        <w:gridCol w:w="330"/>
        <w:gridCol w:w="393"/>
        <w:gridCol w:w="286"/>
        <w:gridCol w:w="373"/>
        <w:gridCol w:w="357"/>
        <w:gridCol w:w="328"/>
        <w:gridCol w:w="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2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计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39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财政专户管理资金（教育收费）</w:t>
            </w:r>
          </w:p>
        </w:tc>
        <w:tc>
          <w:tcPr>
            <w:tcW w:w="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单位上年结余（不包括国库集中支付额度结余）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6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2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1,085.54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1,085.54 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博乐市税务局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1,085.54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1,085.54 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849.47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849.47 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849.47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849.47 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849.47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849.47 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236.07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236.07 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236.07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236.07 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143.99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143.99 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92.08 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92.08 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numPr>
          <w:ilvl w:val="0"/>
          <w:numId w:val="0"/>
        </w:numPr>
        <w:adjustRightInd w:val="0"/>
        <w:snapToGrid w:val="0"/>
        <w:spacing w:line="600" w:lineRule="exact"/>
        <w:ind w:leftChars="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numPr>
          <w:ilvl w:val="0"/>
          <w:numId w:val="3"/>
        </w:numPr>
        <w:adjustRightInd w:val="0"/>
        <w:snapToGrid w:val="0"/>
        <w:spacing w:line="600" w:lineRule="exact"/>
        <w:ind w:left="0" w:leftChars="0" w:firstLine="0" w:firstLineChars="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部门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支出</w:t>
      </w:r>
      <w:r>
        <w:rPr>
          <w:rFonts w:hint="eastAsia" w:ascii="仿宋_GB2312" w:hAnsi="宋体" w:eastAsia="仿宋_GB2312"/>
          <w:kern w:val="0"/>
          <w:sz w:val="32"/>
          <w:szCs w:val="32"/>
        </w:rPr>
        <w:t>总体情况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表</w:t>
      </w:r>
    </w:p>
    <w:tbl>
      <w:tblPr>
        <w:tblStyle w:val="13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657"/>
        <w:gridCol w:w="657"/>
        <w:gridCol w:w="1972"/>
        <w:gridCol w:w="1459"/>
        <w:gridCol w:w="1534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支出预算</w:t>
            </w:r>
          </w:p>
        </w:tc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2026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19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145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    计</w:t>
            </w:r>
          </w:p>
        </w:tc>
        <w:tc>
          <w:tcPr>
            <w:tcW w:w="153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36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1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65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65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9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1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2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9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1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13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博乐市税务局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13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849.47</w:t>
            </w:r>
          </w:p>
        </w:tc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849.47</w:t>
            </w:r>
          </w:p>
        </w:tc>
        <w:tc>
          <w:tcPr>
            <w:tcW w:w="13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849.47</w:t>
            </w:r>
          </w:p>
        </w:tc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849.47</w:t>
            </w:r>
          </w:p>
        </w:tc>
        <w:tc>
          <w:tcPr>
            <w:tcW w:w="13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07</w:t>
            </w: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849.47</w:t>
            </w:r>
          </w:p>
        </w:tc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849.47</w:t>
            </w:r>
          </w:p>
        </w:tc>
        <w:tc>
          <w:tcPr>
            <w:tcW w:w="13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236.07</w:t>
            </w:r>
          </w:p>
        </w:tc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236.07</w:t>
            </w:r>
          </w:p>
        </w:tc>
        <w:tc>
          <w:tcPr>
            <w:tcW w:w="13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236.07</w:t>
            </w:r>
          </w:p>
        </w:tc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236.07</w:t>
            </w:r>
          </w:p>
        </w:tc>
        <w:tc>
          <w:tcPr>
            <w:tcW w:w="13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143.99</w:t>
            </w:r>
          </w:p>
        </w:tc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143.99</w:t>
            </w:r>
          </w:p>
        </w:tc>
        <w:tc>
          <w:tcPr>
            <w:tcW w:w="13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9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92.08</w:t>
            </w:r>
          </w:p>
        </w:tc>
        <w:tc>
          <w:tcPr>
            <w:tcW w:w="15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92.08</w:t>
            </w:r>
          </w:p>
        </w:tc>
        <w:tc>
          <w:tcPr>
            <w:tcW w:w="13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bookmarkEnd w:id="0"/>
    </w:tbl>
    <w:p>
      <w:pPr>
        <w:widowControl/>
        <w:numPr>
          <w:ilvl w:val="0"/>
          <w:numId w:val="0"/>
        </w:numPr>
        <w:adjustRightInd w:val="0"/>
        <w:snapToGrid w:val="0"/>
        <w:spacing w:line="600" w:lineRule="exact"/>
        <w:ind w:leftChars="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numPr>
          <w:ilvl w:val="0"/>
          <w:numId w:val="3"/>
        </w:numPr>
        <w:adjustRightInd w:val="0"/>
        <w:snapToGrid w:val="0"/>
        <w:spacing w:line="600" w:lineRule="exact"/>
        <w:ind w:left="0" w:leftChars="0" w:firstLine="0" w:firstLineChars="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财政拨款收支预算总表</w:t>
      </w:r>
    </w:p>
    <w:tbl>
      <w:tblPr>
        <w:tblStyle w:val="13"/>
        <w:tblW w:w="8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1200"/>
        <w:gridCol w:w="1976"/>
        <w:gridCol w:w="1071"/>
        <w:gridCol w:w="1164"/>
        <w:gridCol w:w="1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收            入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          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 计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  能  分  类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</w:t>
            </w:r>
            <w:r>
              <w:rPr>
                <w:rStyle w:val="52"/>
                <w:rFonts w:eastAsia="宋体"/>
                <w:lang w:val="en-US" w:eastAsia="zh-CN" w:bidi="ar"/>
              </w:rPr>
              <w:t xml:space="preserve">           </w:t>
            </w:r>
            <w:r>
              <w:rPr>
                <w:rStyle w:val="53"/>
                <w:lang w:val="en-US" w:eastAsia="zh-CN" w:bidi="ar"/>
              </w:rPr>
              <w:t>计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 </w:t>
            </w:r>
            <w:r>
              <w:rPr>
                <w:rStyle w:val="53"/>
                <w:lang w:val="en-US" w:eastAsia="zh-CN" w:bidi="ar"/>
              </w:rPr>
              <w:t xml:space="preserve"> 般  公  共  预  算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</w:t>
            </w:r>
            <w:r>
              <w:rPr>
                <w:rStyle w:val="52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53"/>
                <w:lang w:val="en-US" w:eastAsia="zh-CN" w:bidi="ar"/>
              </w:rPr>
              <w:t>金</w:t>
            </w:r>
            <w:r>
              <w:rPr>
                <w:rStyle w:val="52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53"/>
                <w:lang w:val="en-US" w:eastAsia="zh-CN" w:bidi="ar"/>
              </w:rPr>
              <w:t>预</w:t>
            </w:r>
            <w:r>
              <w:rPr>
                <w:rStyle w:val="52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53"/>
                <w:lang w:val="en-US" w:eastAsia="zh-CN" w:bidi="ar"/>
              </w:rPr>
              <w:t>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财政拨款（补助）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 一般公共服务支出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849.47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849.47 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一般公共预算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 外交支出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政府性基金预算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 国防支出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 公共安全支出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 教育支出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 科学技术支出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 文化旅游体育与传媒支出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 社会保障和就业支出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236.07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236.07 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 社会保险基金支出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 卫生健康支出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 节能环保支出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 城乡社区支出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 农林水支出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 交通运输支出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 资源勘探信息等支出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 商业服务业等支出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 金融支出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 援助其他地区支出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 自然资源海洋气象等支出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 住房保障支出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 粮油物资储备支出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53"/>
                <w:lang w:val="en-US" w:eastAsia="zh-CN" w:bidi="ar"/>
              </w:rPr>
              <w:t>23 国有资本经营预算支出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 灾害防治及应急管理支出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 预备费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 其他支出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53"/>
                <w:lang w:val="en-US" w:eastAsia="zh-CN" w:bidi="ar"/>
              </w:rPr>
              <w:t>31 债务还本支出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53"/>
                <w:lang w:val="en-US" w:eastAsia="zh-CN" w:bidi="ar"/>
              </w:rPr>
              <w:t>32 债务付息支出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  <w:r>
              <w:rPr>
                <w:rStyle w:val="53"/>
                <w:lang w:val="en-US" w:eastAsia="zh-CN" w:bidi="ar"/>
              </w:rPr>
              <w:t xml:space="preserve"> 债务发行费支出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       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       计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1,085.54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1,085.54 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 转移性支出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入  总  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出  合  计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1,085.54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1,085.54 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numPr>
          <w:ilvl w:val="0"/>
          <w:numId w:val="0"/>
        </w:numPr>
        <w:adjustRightInd w:val="0"/>
        <w:snapToGrid w:val="0"/>
        <w:spacing w:line="600" w:lineRule="exact"/>
        <w:ind w:leftChars="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numPr>
          <w:ilvl w:val="0"/>
          <w:numId w:val="3"/>
        </w:numPr>
        <w:adjustRightInd w:val="0"/>
        <w:snapToGrid w:val="0"/>
        <w:spacing w:line="600" w:lineRule="exact"/>
        <w:ind w:left="0" w:leftChars="0" w:firstLine="0" w:firstLineChars="0"/>
        <w:outlineLvl w:val="1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一般公共预算支出情况表</w:t>
      </w:r>
    </w:p>
    <w:tbl>
      <w:tblPr>
        <w:tblStyle w:val="13"/>
        <w:tblW w:w="8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822"/>
        <w:gridCol w:w="742"/>
        <w:gridCol w:w="2305"/>
        <w:gridCol w:w="1177"/>
        <w:gridCol w:w="1306"/>
        <w:gridCol w:w="1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23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    计</w:t>
            </w: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8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74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23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0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博乐市税务局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849.47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849.47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849.47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849.47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201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07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849.47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849.47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236.07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236.07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236.07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236.07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143.99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143.99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92.08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numPr>
          <w:ilvl w:val="0"/>
          <w:numId w:val="0"/>
        </w:numPr>
        <w:adjustRightInd w:val="0"/>
        <w:snapToGrid w:val="0"/>
        <w:spacing w:line="600" w:lineRule="exact"/>
        <w:ind w:leftChars="0"/>
        <w:outlineLvl w:val="1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3"/>
        </w:numPr>
        <w:adjustRightInd w:val="0"/>
        <w:snapToGrid w:val="0"/>
        <w:spacing w:line="600" w:lineRule="exact"/>
        <w:ind w:left="0" w:leftChars="0" w:firstLine="0" w:firstLineChars="0"/>
        <w:outlineLvl w:val="1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一般公共预算基本支出情况表</w:t>
      </w:r>
    </w:p>
    <w:tbl>
      <w:tblPr>
        <w:tblStyle w:val="13"/>
        <w:tblW w:w="8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866"/>
        <w:gridCol w:w="2746"/>
        <w:gridCol w:w="1161"/>
        <w:gridCol w:w="1420"/>
        <w:gridCol w:w="13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一般公共预算基本支出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经济分类科目编码</w:t>
            </w:r>
          </w:p>
        </w:tc>
        <w:tc>
          <w:tcPr>
            <w:tcW w:w="27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经济分类科目名称</w:t>
            </w: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 计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5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27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116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1,067.10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博乐市税务局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1,085.54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1,067.10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923.11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923.11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津贴补贴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637.99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637.99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机关事业单位基本养老保险缴费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92.08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92.08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职工基本医疗保险缴费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57.42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57.42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公务员医疗补助缴费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44.66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44.66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其他社会保障缴费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0.59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76.56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其他工资福利支出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13.81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13.81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18.44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取暖费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18.44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对个人和家庭的补助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143.99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143.99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生活补助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57.96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57.96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医疗费补助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77.50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其他对个人和家庭的补助支出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8.53</w:t>
            </w: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</w:tbl>
    <w:p>
      <w:pPr>
        <w:widowControl/>
        <w:numPr>
          <w:ilvl w:val="0"/>
          <w:numId w:val="0"/>
        </w:numPr>
        <w:adjustRightInd w:val="0"/>
        <w:snapToGrid w:val="0"/>
        <w:spacing w:line="600" w:lineRule="exact"/>
        <w:ind w:leftChars="0"/>
        <w:outlineLvl w:val="1"/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tbl>
      <w:tblPr>
        <w:tblStyle w:val="13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530"/>
        <w:gridCol w:w="528"/>
        <w:gridCol w:w="1521"/>
        <w:gridCol w:w="860"/>
        <w:gridCol w:w="364"/>
        <w:gridCol w:w="363"/>
        <w:gridCol w:w="364"/>
        <w:gridCol w:w="365"/>
        <w:gridCol w:w="362"/>
        <w:gridCol w:w="530"/>
        <w:gridCol w:w="364"/>
        <w:gridCol w:w="528"/>
        <w:gridCol w:w="364"/>
        <w:gridCol w:w="364"/>
        <w:gridCol w:w="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8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363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65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对个人和家庭的补助支出</w:t>
            </w:r>
          </w:p>
        </w:tc>
        <w:tc>
          <w:tcPr>
            <w:tcW w:w="362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29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8" w:hRule="atLeast"/>
        </w:trPr>
        <w:tc>
          <w:tcPr>
            <w:tcW w:w="52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52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3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28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521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86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364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63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64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6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62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30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64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28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64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64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64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2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5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3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2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根据国家财政部、税务总局制定的《税务部门经费保障实施办法》，2019年自治区财政仅安排由财政保障的人员预算，故本表为空表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tbl>
      <w:tblPr>
        <w:tblStyle w:val="1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1286"/>
        <w:gridCol w:w="924"/>
        <w:gridCol w:w="934"/>
        <w:gridCol w:w="934"/>
        <w:gridCol w:w="934"/>
        <w:gridCol w:w="11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  位 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因公出国（境）费</w:t>
            </w:r>
          </w:p>
        </w:tc>
        <w:tc>
          <w:tcPr>
            <w:tcW w:w="2802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根据国家财政部、税务总局制定的《税务部门经费保障实施办法》，2019年自治区财政仅安排由财政保障的人员预算，故本表为空表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576"/>
        <w:gridCol w:w="2596"/>
        <w:gridCol w:w="1836"/>
        <w:gridCol w:w="1181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政府性基金预算支出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28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96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    计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259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9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eastAsia="zh-CN"/>
        </w:rPr>
        <w:t>国家税务总局博乐市税务局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没有政府性基金，本表为空表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第三部分  2019年部门预算情况说明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黑体" w:hAnsi="黑体" w:eastAsia="黑体"/>
          <w:kern w:val="0"/>
          <w:sz w:val="32"/>
          <w:szCs w:val="32"/>
        </w:rPr>
        <w:t>税务局2019年收支预算情况的总体说明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所有收入和支出均纳入部门预算管理。收支总预算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1085.54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支出预算包括：一般公共服务支出、社会保障和就业支出。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黑体" w:hAnsi="黑体" w:eastAsia="黑体"/>
          <w:kern w:val="0"/>
          <w:sz w:val="32"/>
          <w:szCs w:val="32"/>
        </w:rPr>
        <w:t>税务局2019年收入预算情况说明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1085.54</w:t>
      </w:r>
      <w:r>
        <w:rPr>
          <w:rFonts w:hint="eastAsia" w:ascii="仿宋_GB2312" w:hAnsi="宋体" w:eastAsia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1085.54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万元，占100 %，比上年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150.76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万元，主要原因是2018年国地税征管改革，原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地方税务局与原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国税局合并为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国家税务总局博乐市税务局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，经费保障体制随之发生变化，自治区财政保障范围为按照国家政策执行属地标准的工资项目，及其涉及的养老保险缴费、医疗保险缴费、住房公积金等单位按照规定缴存部分；按照国家政策执行地方标准的丧葬费、遗属补助等。    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政府性基金预算未安排。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黑体" w:hAnsi="黑体" w:eastAsia="黑体"/>
          <w:kern w:val="0"/>
          <w:sz w:val="32"/>
          <w:szCs w:val="32"/>
        </w:rPr>
        <w:t>税务局2019年支出预算情况说明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1085.54</w:t>
      </w:r>
      <w:r>
        <w:rPr>
          <w:rFonts w:hint="eastAsia" w:ascii="仿宋_GB2312" w:hAnsi="宋体" w:eastAsia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1085.54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万元，占100%，比上年增加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150.76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万元，原因是合并后人员增加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人，其中在职增加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人，离退休增加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人。项目支出预算未安排。   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黑体" w:hAnsi="黑体" w:eastAsia="黑体"/>
          <w:kern w:val="0"/>
          <w:sz w:val="32"/>
          <w:szCs w:val="32"/>
        </w:rPr>
        <w:t>税务局2019年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财政拨款收支预算情况的总体说明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kern w:val="0"/>
          <w:sz w:val="32"/>
          <w:szCs w:val="32"/>
        </w:rPr>
        <w:t>019年财政拨款收支总预算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1085.54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万元，其中2010701行政运行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849.47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万元，2080504未归口管理的行政单位离退休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143.99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万元，2080505机关事业单位基本养老保险缴费支出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92.08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收入全部为一般公共预算拨款，无政府性基金预算拨款。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849.47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万元，其中2010701行政运行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849.47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kern w:val="0"/>
          <w:sz w:val="32"/>
          <w:szCs w:val="32"/>
        </w:rPr>
        <w:t>社会保障与就业支出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236.07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万元，其中2080504未归口管理的行政单位离退休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143.99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万元，2080505机关事业单位基本养老保险缴费支出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92.08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主要用于发放按照国家政策执行属地标准的工资项目，如规范津贴补贴、乡镇工作补贴、奖励性补贴、改革性补贴等，上述工资项目涉及的养老保险缴费、医疗保险缴费、住房公积金等单位按照规定缴存部分；按照国家政策执行地方标准的丧葬费、遗属补助等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五、关于新疆维吾尔自治区税务局2019年一般公共预算当年拨款情况说明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国家税务局总局博乐市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税务局2019年一般公共预算拨款基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本支出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1085.54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万元，比上年执行数增加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80.76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万元万元，增长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val="en-US" w:eastAsia="zh-CN"/>
        </w:rPr>
        <w:t>8.04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%。主</w:t>
      </w:r>
      <w:r>
        <w:rPr>
          <w:rFonts w:hint="eastAsia" w:ascii="仿宋_GB2312" w:hAnsi="宋体" w:eastAsia="仿宋_GB2312"/>
          <w:kern w:val="0"/>
          <w:sz w:val="32"/>
          <w:szCs w:val="32"/>
        </w:rPr>
        <w:t>要原因一是国地税征管体制改革，经费保障模式改变；二是合并后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实有人数增加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145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人，其中在职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93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人，离退休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52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1.一般公共服务（类）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849.47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万元，占7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8.3</w:t>
      </w:r>
      <w:r>
        <w:rPr>
          <w:rFonts w:hint="eastAsia" w:ascii="仿宋_GB2312" w:hAnsi="宋体" w:eastAsia="仿宋_GB2312"/>
          <w:kern w:val="0"/>
          <w:sz w:val="32"/>
          <w:szCs w:val="32"/>
        </w:rPr>
        <w:t>%。其中2010701行政运行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849.47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2. 社会保障与就业支出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236.07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万元，占2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1.7</w:t>
      </w:r>
      <w:r>
        <w:rPr>
          <w:rFonts w:hint="eastAsia" w:ascii="仿宋_GB2312" w:hAnsi="宋体" w:eastAsia="仿宋_GB2312"/>
          <w:kern w:val="0"/>
          <w:sz w:val="32"/>
          <w:szCs w:val="32"/>
        </w:rPr>
        <w:t>％。其中2080504未归口管理的行政单位离退休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143.99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万元，2080505机关事业单位基本养老保险缴费支出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92.08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1.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201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07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（款）行政运行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（项）: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849.47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12.58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降低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1.45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</w:rPr>
        <w:t>主要原因是国地税征管体制改革，经费保障模式改变</w:t>
      </w:r>
      <w:r>
        <w:rPr>
          <w:rFonts w:hint="eastAsia" w:ascii="仿宋_GB2312" w:hAnsi="宋体" w:eastAsia="仿宋_GB2312"/>
          <w:kern w:val="0"/>
          <w:sz w:val="32"/>
          <w:szCs w:val="32"/>
          <w:highlight w:val="none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.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 xml:space="preserve"> 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208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05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未归口管理的行政单位离退休04（项）：2019年预算数为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143.99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108.49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305.6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％。主要原因是退休人数较合并前增加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人。</w:t>
      </w:r>
    </w:p>
    <w:p>
      <w:pPr>
        <w:adjustRightInd w:val="0"/>
        <w:snapToGrid w:val="0"/>
        <w:spacing w:line="600" w:lineRule="exact"/>
        <w:ind w:firstLine="64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</w:rPr>
        <w:t>.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 xml:space="preserve"> 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208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05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机关事业单位基本养老保险缴费支出05（项）：2019年预算数为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92.08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1.58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1.75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％。主要原因是自治区财政经费保障范围变化，养老金提取基数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六、关于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黑体" w:hAnsi="黑体" w:eastAsia="黑体"/>
          <w:kern w:val="0"/>
          <w:sz w:val="32"/>
          <w:szCs w:val="32"/>
        </w:rPr>
        <w:t>税务局2019年一般公共预算基本支出情况说明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新疆维吾尔自治区税务局2019年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1085.54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1067.1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规范性津贴补贴、机关事业单位基本养老保险缴费、职业年金缴费、职工基本医疗保险缴费、公务员医疗补助缴费、其他社会保障缴费、住房公积金、医疗费、其他工资福利支出、离休费、退休费、医疗费补助、奖励金、其他对个人和家庭的补助等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18.44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万元，是职工取暖补助。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七、关于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黑体" w:hAnsi="黑体" w:eastAsia="黑体"/>
          <w:kern w:val="0"/>
          <w:sz w:val="32"/>
          <w:szCs w:val="32"/>
        </w:rPr>
        <w:t>税务局2019年项目支出情况说明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税务局2019年未安排项目支出，项目支出情况表为空表。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八、关于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黑体" w:hAnsi="黑体" w:eastAsia="黑体"/>
          <w:kern w:val="0"/>
          <w:sz w:val="32"/>
          <w:szCs w:val="32"/>
        </w:rPr>
        <w:t>税务局2019年一般公共预算“三公”经费预算情况说明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税务局2019年未安排“三公”经费预算，一般公共预算“三公”经费支出情况表为空表。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九、关于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黑体" w:hAnsi="黑体" w:eastAsia="黑体"/>
          <w:kern w:val="0"/>
          <w:sz w:val="32"/>
          <w:szCs w:val="32"/>
        </w:rPr>
        <w:t>税务局2019年政府性基金预算拨款情况说明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没有使用政府性基金预算拨款安排的支出，政府性基金预算支出情况表为空表。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十、其他重要事项的情况说明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税务局机关运行经费财政拨款预算。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税务局政府采购预算。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截至2018年底，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国家税务总局博乐市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占用使用国有资产总体情况为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12238.16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2005.97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244.8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全部为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执法执勤用车。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168.28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 w:cs="宋体"/>
          <w:color w:val="FF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502.3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，单位价值100万元以上大型设备无。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2019年部门预算未安排购置车辆经费、50万元以上大型设备及单位价值100万元以上大型设备经费。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国家税务总局博乐市税务局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项目支出预算。</w:t>
      </w: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第四部分  名词解释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指由一般公共预算安排的财政拨款数。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指公共财政拨款资金。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3680" w:firstLineChars="115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国家税务总局</w:t>
      </w:r>
      <w:r>
        <w:rPr>
          <w:rFonts w:hint="eastAsia" w:ascii="仿宋_GB2312" w:eastAsia="仿宋_GB2312"/>
          <w:sz w:val="32"/>
          <w:szCs w:val="32"/>
          <w:lang w:eastAsia="zh-CN"/>
        </w:rPr>
        <w:t>博乐市税务局</w:t>
      </w:r>
    </w:p>
    <w:p>
      <w:pPr>
        <w:adjustRightInd w:val="0"/>
        <w:snapToGrid w:val="0"/>
        <w:spacing w:line="600" w:lineRule="exact"/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0C40FA"/>
    <w:multiLevelType w:val="singleLevel"/>
    <w:tmpl w:val="FE0C40FA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259DB3B1"/>
    <w:multiLevelType w:val="singleLevel"/>
    <w:tmpl w:val="259DB3B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0FA9B61"/>
    <w:multiLevelType w:val="singleLevel"/>
    <w:tmpl w:val="30FA9B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01A77"/>
    <w:rsid w:val="000901AD"/>
    <w:rsid w:val="00160545"/>
    <w:rsid w:val="001919BC"/>
    <w:rsid w:val="001C790D"/>
    <w:rsid w:val="001F1D6C"/>
    <w:rsid w:val="00202563"/>
    <w:rsid w:val="002427FF"/>
    <w:rsid w:val="00271B97"/>
    <w:rsid w:val="0027338D"/>
    <w:rsid w:val="00285827"/>
    <w:rsid w:val="002C098C"/>
    <w:rsid w:val="002F504F"/>
    <w:rsid w:val="00301A77"/>
    <w:rsid w:val="003A41F5"/>
    <w:rsid w:val="00420B4B"/>
    <w:rsid w:val="004A62A8"/>
    <w:rsid w:val="0059735A"/>
    <w:rsid w:val="005B1030"/>
    <w:rsid w:val="00753E51"/>
    <w:rsid w:val="007C12AD"/>
    <w:rsid w:val="00870819"/>
    <w:rsid w:val="00894CFA"/>
    <w:rsid w:val="008B2FA1"/>
    <w:rsid w:val="008C3038"/>
    <w:rsid w:val="008D110D"/>
    <w:rsid w:val="008E0D54"/>
    <w:rsid w:val="00971F01"/>
    <w:rsid w:val="009A4351"/>
    <w:rsid w:val="00A01061"/>
    <w:rsid w:val="00B367FC"/>
    <w:rsid w:val="00B565C7"/>
    <w:rsid w:val="00BE7C40"/>
    <w:rsid w:val="00C650B4"/>
    <w:rsid w:val="00CD15C5"/>
    <w:rsid w:val="00D0203C"/>
    <w:rsid w:val="00D175B3"/>
    <w:rsid w:val="00D36535"/>
    <w:rsid w:val="00D41CCB"/>
    <w:rsid w:val="00D4339A"/>
    <w:rsid w:val="00D446C2"/>
    <w:rsid w:val="00D46F49"/>
    <w:rsid w:val="00E03CB3"/>
    <w:rsid w:val="00E066A9"/>
    <w:rsid w:val="00E22877"/>
    <w:rsid w:val="00EA1288"/>
    <w:rsid w:val="00F02945"/>
    <w:rsid w:val="00F7774A"/>
    <w:rsid w:val="00FC3AE6"/>
    <w:rsid w:val="00FE045D"/>
    <w:rsid w:val="0A2E3F4A"/>
    <w:rsid w:val="1C53431F"/>
    <w:rsid w:val="1F7E4C1A"/>
    <w:rsid w:val="290E495C"/>
    <w:rsid w:val="2B0C79BB"/>
    <w:rsid w:val="3F0D3670"/>
    <w:rsid w:val="46B8445F"/>
    <w:rsid w:val="48940F09"/>
    <w:rsid w:val="51A42825"/>
    <w:rsid w:val="52FB72C8"/>
    <w:rsid w:val="546A7453"/>
    <w:rsid w:val="54767AAF"/>
    <w:rsid w:val="5D0578A9"/>
    <w:rsid w:val="5D9F6E8B"/>
    <w:rsid w:val="60191C2C"/>
    <w:rsid w:val="680B1450"/>
    <w:rsid w:val="6995102F"/>
    <w:rsid w:val="70C67206"/>
    <w:rsid w:val="745F6BD0"/>
    <w:rsid w:val="77A1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9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11">
    <w:name w:val="Emphasis"/>
    <w:basedOn w:val="7"/>
    <w:qFormat/>
    <w:uiPriority w:val="20"/>
  </w:style>
  <w:style w:type="character" w:styleId="12">
    <w:name w:val="Hyperlink"/>
    <w:basedOn w:val="7"/>
    <w:semiHidden/>
    <w:unhideWhenUsed/>
    <w:uiPriority w:val="99"/>
    <w:rPr>
      <w:color w:val="000000"/>
      <w:u w:val="none"/>
    </w:rPr>
  </w:style>
  <w:style w:type="table" w:styleId="14">
    <w:name w:val="Table Grid"/>
    <w:basedOn w:val="13"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脚 Char"/>
    <w:basedOn w:val="7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6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7">
    <w:name w:val="批注框文本 Char"/>
    <w:basedOn w:val="7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正文文本缩进 3 Char"/>
    <w:basedOn w:val="7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1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2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普通(网站)3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25">
    <w:name w:val="font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7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8">
    <w:name w:val="xl81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9">
    <w:name w:val="xl82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0">
    <w:name w:val="xl83"/>
    <w:basedOn w:val="1"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31">
    <w:name w:val="xl84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32">
    <w:name w:val="xl85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33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4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6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7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8">
    <w:name w:val="xl9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9">
    <w:name w:val="xl9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0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1">
    <w:name w:val="xl9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2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3">
    <w:name w:val="xl96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4">
    <w:name w:val="xl9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5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6">
    <w:name w:val="xl9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7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8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9">
    <w:name w:val="xl10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5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51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2">
    <w:name w:val="font0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53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">
    <w:name w:val="pl"/>
    <w:basedOn w:val="7"/>
    <w:qFormat/>
    <w:uiPriority w:val="0"/>
    <w:rPr>
      <w:sz w:val="19"/>
      <w:szCs w:val="19"/>
    </w:rPr>
  </w:style>
  <w:style w:type="character" w:customStyle="1" w:styleId="55">
    <w:name w:val="orangee"/>
    <w:basedOn w:val="7"/>
    <w:uiPriority w:val="0"/>
    <w:rPr>
      <w:shd w:val="clear" w:fill="FF9900"/>
    </w:rPr>
  </w:style>
  <w:style w:type="character" w:customStyle="1" w:styleId="56">
    <w:name w:val="n1"/>
    <w:basedOn w:val="7"/>
    <w:qFormat/>
    <w:uiPriority w:val="0"/>
  </w:style>
  <w:style w:type="character" w:customStyle="1" w:styleId="57">
    <w:name w:val="n11"/>
    <w:basedOn w:val="7"/>
    <w:qFormat/>
    <w:uiPriority w:val="0"/>
  </w:style>
  <w:style w:type="character" w:customStyle="1" w:styleId="58">
    <w:name w:val="name"/>
    <w:basedOn w:val="7"/>
    <w:qFormat/>
    <w:uiPriority w:val="0"/>
    <w:rPr>
      <w:color w:val="008000"/>
    </w:rPr>
  </w:style>
  <w:style w:type="character" w:customStyle="1" w:styleId="59">
    <w:name w:val="name1"/>
    <w:basedOn w:val="7"/>
    <w:qFormat/>
    <w:uiPriority w:val="0"/>
    <w:rPr>
      <w:sz w:val="21"/>
      <w:szCs w:val="21"/>
    </w:rPr>
  </w:style>
  <w:style w:type="character" w:customStyle="1" w:styleId="60">
    <w:name w:val="n8"/>
    <w:basedOn w:val="7"/>
    <w:qFormat/>
    <w:uiPriority w:val="0"/>
  </w:style>
  <w:style w:type="character" w:customStyle="1" w:styleId="61">
    <w:name w:val="n81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num"/>
    <w:basedOn w:val="7"/>
    <w:qFormat/>
    <w:uiPriority w:val="0"/>
    <w:rPr>
      <w:color w:val="FF6600"/>
      <w:sz w:val="18"/>
      <w:szCs w:val="18"/>
    </w:rPr>
  </w:style>
  <w:style w:type="character" w:customStyle="1" w:styleId="64">
    <w:name w:val="num1"/>
    <w:basedOn w:val="7"/>
    <w:qFormat/>
    <w:uiPriority w:val="0"/>
    <w:rPr>
      <w:color w:val="FF6600"/>
    </w:rPr>
  </w:style>
  <w:style w:type="character" w:customStyle="1" w:styleId="65">
    <w:name w:val="topictime"/>
    <w:basedOn w:val="7"/>
    <w:qFormat/>
    <w:uiPriority w:val="0"/>
    <w:rPr>
      <w:color w:val="999999"/>
    </w:rPr>
  </w:style>
  <w:style w:type="character" w:customStyle="1" w:styleId="66">
    <w:name w:val="icon"/>
    <w:basedOn w:val="7"/>
    <w:qFormat/>
    <w:uiPriority w:val="0"/>
  </w:style>
  <w:style w:type="character" w:customStyle="1" w:styleId="67">
    <w:name w:val="btn12"/>
    <w:basedOn w:val="7"/>
    <w:qFormat/>
    <w:uiPriority w:val="0"/>
    <w:rPr>
      <w:color w:val="999999"/>
    </w:rPr>
  </w:style>
  <w:style w:type="character" w:customStyle="1" w:styleId="68">
    <w:name w:val="xsf"/>
    <w:basedOn w:val="7"/>
    <w:qFormat/>
    <w:uiPriority w:val="0"/>
    <w:rPr>
      <w:color w:val="999999"/>
    </w:rPr>
  </w:style>
  <w:style w:type="character" w:customStyle="1" w:styleId="69">
    <w:name w:val="red"/>
    <w:basedOn w:val="7"/>
    <w:qFormat/>
    <w:uiPriority w:val="0"/>
    <w:rPr>
      <w:b/>
      <w:color w:val="FF0000"/>
      <w:sz w:val="21"/>
      <w:szCs w:val="21"/>
    </w:rPr>
  </w:style>
  <w:style w:type="character" w:customStyle="1" w:styleId="70">
    <w:name w:val="lou"/>
    <w:basedOn w:val="7"/>
    <w:qFormat/>
    <w:uiPriority w:val="0"/>
    <w:rPr>
      <w:b/>
      <w:color w:val="FFFFFF"/>
    </w:rPr>
  </w:style>
  <w:style w:type="character" w:customStyle="1" w:styleId="71">
    <w:name w:val="stars"/>
    <w:basedOn w:val="7"/>
    <w:qFormat/>
    <w:uiPriority w:val="0"/>
    <w:rPr>
      <w:color w:val="FF0000"/>
    </w:rPr>
  </w:style>
  <w:style w:type="character" w:customStyle="1" w:styleId="72">
    <w:name w:val="n2"/>
    <w:basedOn w:val="7"/>
    <w:qFormat/>
    <w:uiPriority w:val="0"/>
  </w:style>
  <w:style w:type="character" w:customStyle="1" w:styleId="73">
    <w:name w:val="n10"/>
    <w:basedOn w:val="7"/>
    <w:qFormat/>
    <w:uiPriority w:val="0"/>
  </w:style>
  <w:style w:type="character" w:customStyle="1" w:styleId="74">
    <w:name w:val="n101"/>
    <w:basedOn w:val="7"/>
    <w:qFormat/>
    <w:uiPriority w:val="0"/>
  </w:style>
  <w:style w:type="character" w:customStyle="1" w:styleId="75">
    <w:name w:val="n3"/>
    <w:basedOn w:val="7"/>
    <w:qFormat/>
    <w:uiPriority w:val="0"/>
  </w:style>
  <w:style w:type="character" w:customStyle="1" w:styleId="76">
    <w:name w:val="n31"/>
    <w:basedOn w:val="7"/>
    <w:uiPriority w:val="0"/>
  </w:style>
  <w:style w:type="character" w:customStyle="1" w:styleId="77">
    <w:name w:val="n4"/>
    <w:basedOn w:val="7"/>
    <w:qFormat/>
    <w:uiPriority w:val="0"/>
  </w:style>
  <w:style w:type="character" w:customStyle="1" w:styleId="78">
    <w:name w:val="n41"/>
    <w:basedOn w:val="7"/>
    <w:qFormat/>
    <w:uiPriority w:val="0"/>
  </w:style>
  <w:style w:type="character" w:customStyle="1" w:styleId="79">
    <w:name w:val="n5"/>
    <w:basedOn w:val="7"/>
    <w:qFormat/>
    <w:uiPriority w:val="0"/>
  </w:style>
  <w:style w:type="character" w:customStyle="1" w:styleId="80">
    <w:name w:val="n51"/>
    <w:basedOn w:val="7"/>
    <w:qFormat/>
    <w:uiPriority w:val="0"/>
  </w:style>
  <w:style w:type="character" w:customStyle="1" w:styleId="81">
    <w:name w:val="n6"/>
    <w:basedOn w:val="7"/>
    <w:qFormat/>
    <w:uiPriority w:val="0"/>
  </w:style>
  <w:style w:type="character" w:customStyle="1" w:styleId="82">
    <w:name w:val="n61"/>
    <w:basedOn w:val="7"/>
    <w:qFormat/>
    <w:uiPriority w:val="0"/>
  </w:style>
  <w:style w:type="character" w:customStyle="1" w:styleId="83">
    <w:name w:val="n7"/>
    <w:basedOn w:val="7"/>
    <w:qFormat/>
    <w:uiPriority w:val="0"/>
  </w:style>
  <w:style w:type="character" w:customStyle="1" w:styleId="84">
    <w:name w:val="n71"/>
    <w:basedOn w:val="7"/>
    <w:qFormat/>
    <w:uiPriority w:val="0"/>
  </w:style>
  <w:style w:type="character" w:customStyle="1" w:styleId="85">
    <w:name w:val="n9"/>
    <w:basedOn w:val="7"/>
    <w:qFormat/>
    <w:uiPriority w:val="0"/>
  </w:style>
  <w:style w:type="character" w:customStyle="1" w:styleId="86">
    <w:name w:val="n91"/>
    <w:basedOn w:val="7"/>
    <w:qFormat/>
    <w:uiPriority w:val="0"/>
  </w:style>
  <w:style w:type="character" w:customStyle="1" w:styleId="87">
    <w:name w:val="n111"/>
    <w:basedOn w:val="7"/>
    <w:qFormat/>
    <w:uiPriority w:val="0"/>
  </w:style>
  <w:style w:type="character" w:customStyle="1" w:styleId="88">
    <w:name w:val="n112"/>
    <w:basedOn w:val="7"/>
    <w:qFormat/>
    <w:uiPriority w:val="0"/>
  </w:style>
  <w:style w:type="character" w:customStyle="1" w:styleId="89">
    <w:name w:val="n12"/>
    <w:basedOn w:val="7"/>
    <w:qFormat/>
    <w:uiPriority w:val="0"/>
  </w:style>
  <w:style w:type="character" w:customStyle="1" w:styleId="90">
    <w:name w:val="n121"/>
    <w:basedOn w:val="7"/>
    <w:qFormat/>
    <w:uiPriority w:val="0"/>
  </w:style>
  <w:style w:type="character" w:customStyle="1" w:styleId="91">
    <w:name w:val="n13"/>
    <w:basedOn w:val="7"/>
    <w:qFormat/>
    <w:uiPriority w:val="0"/>
  </w:style>
  <w:style w:type="character" w:customStyle="1" w:styleId="92">
    <w:name w:val="n131"/>
    <w:basedOn w:val="7"/>
    <w:qFormat/>
    <w:uiPriority w:val="0"/>
  </w:style>
  <w:style w:type="character" w:customStyle="1" w:styleId="93">
    <w:name w:val="pkdate2"/>
    <w:basedOn w:val="7"/>
    <w:qFormat/>
    <w:uiPriority w:val="0"/>
    <w:rPr>
      <w:color w:val="999999"/>
      <w:sz w:val="18"/>
      <w:szCs w:val="18"/>
    </w:rPr>
  </w:style>
  <w:style w:type="character" w:customStyle="1" w:styleId="94">
    <w:name w:val="t19"/>
    <w:basedOn w:val="7"/>
    <w:qFormat/>
    <w:uiPriority w:val="0"/>
    <w:rPr>
      <w:color w:val="555555"/>
    </w:rPr>
  </w:style>
  <w:style w:type="character" w:customStyle="1" w:styleId="95">
    <w:name w:val="intro8"/>
    <w:basedOn w:val="7"/>
    <w:qFormat/>
    <w:uiPriority w:val="0"/>
    <w:rPr>
      <w:sz w:val="18"/>
      <w:szCs w:val="18"/>
    </w:rPr>
  </w:style>
  <w:style w:type="character" w:customStyle="1" w:styleId="96">
    <w:name w:val="intro9"/>
    <w:basedOn w:val="7"/>
    <w:qFormat/>
    <w:uiPriority w:val="0"/>
    <w:rPr>
      <w:color w:val="999999"/>
      <w:sz w:val="18"/>
      <w:szCs w:val="18"/>
    </w:rPr>
  </w:style>
  <w:style w:type="character" w:customStyle="1" w:styleId="97">
    <w:name w:val="image"/>
    <w:basedOn w:val="7"/>
    <w:qFormat/>
    <w:uiPriority w:val="0"/>
  </w:style>
  <w:style w:type="character" w:customStyle="1" w:styleId="98">
    <w:name w:val="smallclass"/>
    <w:basedOn w:val="7"/>
    <w:qFormat/>
    <w:uiPriority w:val="0"/>
  </w:style>
  <w:style w:type="character" w:customStyle="1" w:styleId="99">
    <w:name w:val="classname21"/>
    <w:basedOn w:val="7"/>
    <w:qFormat/>
    <w:uiPriority w:val="0"/>
  </w:style>
  <w:style w:type="character" w:customStyle="1" w:styleId="100">
    <w:name w:val="classname2"/>
    <w:basedOn w:val="7"/>
    <w:qFormat/>
    <w:uiPriority w:val="0"/>
  </w:style>
  <w:style w:type="character" w:customStyle="1" w:styleId="101">
    <w:name w:val="fontred"/>
    <w:basedOn w:val="7"/>
    <w:qFormat/>
    <w:uiPriority w:val="0"/>
    <w:rPr>
      <w:b/>
      <w:color w:val="FF0000"/>
    </w:rPr>
  </w:style>
  <w:style w:type="character" w:customStyle="1" w:styleId="102">
    <w:name w:val="play"/>
    <w:basedOn w:val="7"/>
    <w:qFormat/>
    <w:uiPriority w:val="0"/>
  </w:style>
  <w:style w:type="character" w:customStyle="1" w:styleId="103">
    <w:name w:val="talk"/>
    <w:basedOn w:val="7"/>
    <w:qFormat/>
    <w:uiPriority w:val="0"/>
  </w:style>
  <w:style w:type="character" w:customStyle="1" w:styleId="104">
    <w:name w:val="score"/>
    <w:basedOn w:val="7"/>
    <w:qFormat/>
    <w:uiPriority w:val="0"/>
  </w:style>
  <w:style w:type="character" w:customStyle="1" w:styleId="105">
    <w:name w:val="score1"/>
    <w:basedOn w:val="7"/>
    <w:qFormat/>
    <w:uiPriority w:val="0"/>
    <w:rPr>
      <w:color w:val="949494"/>
    </w:rPr>
  </w:style>
  <w:style w:type="character" w:customStyle="1" w:styleId="106">
    <w:name w:val="key"/>
    <w:basedOn w:val="7"/>
    <w:uiPriority w:val="0"/>
    <w:rPr>
      <w:color w:val="008000"/>
    </w:rPr>
  </w:style>
  <w:style w:type="character" w:customStyle="1" w:styleId="107">
    <w:name w:val="ztintro"/>
    <w:basedOn w:val="7"/>
    <w:qFormat/>
    <w:uiPriority w:val="0"/>
    <w:rPr>
      <w:color w:val="999999"/>
      <w:sz w:val="18"/>
      <w:szCs w:val="18"/>
    </w:rPr>
  </w:style>
  <w:style w:type="character" w:customStyle="1" w:styleId="108">
    <w:name w:val="ztintro1"/>
    <w:basedOn w:val="7"/>
    <w:qFormat/>
    <w:uiPriority w:val="0"/>
    <w:rPr>
      <w:color w:val="555555"/>
      <w:sz w:val="18"/>
      <w:szCs w:val="18"/>
    </w:rPr>
  </w:style>
  <w:style w:type="character" w:customStyle="1" w:styleId="109">
    <w:name w:val="txt"/>
    <w:basedOn w:val="7"/>
    <w:qFormat/>
    <w:uiPriority w:val="0"/>
    <w:rPr>
      <w:color w:val="646464"/>
      <w:bdr w:val="single" w:color="C9C8CE" w:sz="6" w:space="0"/>
      <w:shd w:val="clear" w:fill="FFFFFF"/>
    </w:rPr>
  </w:style>
  <w:style w:type="character" w:customStyle="1" w:styleId="110">
    <w:name w:val="curr3"/>
    <w:basedOn w:val="7"/>
    <w:uiPriority w:val="0"/>
    <w:rPr>
      <w:bdr w:val="single" w:color="FF6701" w:sz="6" w:space="0"/>
      <w:shd w:val="clear" w:fill="FFFFFF"/>
    </w:rPr>
  </w:style>
  <w:style w:type="character" w:customStyle="1" w:styleId="111">
    <w:name w:val="c9"/>
    <w:basedOn w:val="7"/>
    <w:qFormat/>
    <w:uiPriority w:val="0"/>
    <w:rPr>
      <w:color w:val="999999"/>
      <w:sz w:val="21"/>
      <w:szCs w:val="21"/>
    </w:rPr>
  </w:style>
  <w:style w:type="character" w:customStyle="1" w:styleId="112">
    <w:name w:val="art_title"/>
    <w:basedOn w:val="7"/>
    <w:qFormat/>
    <w:uiPriority w:val="0"/>
  </w:style>
  <w:style w:type="character" w:customStyle="1" w:styleId="113">
    <w:name w:val="artintro"/>
    <w:basedOn w:val="7"/>
    <w:uiPriority w:val="0"/>
    <w:rPr>
      <w:color w:val="666666"/>
      <w:sz w:val="18"/>
      <w:szCs w:val="18"/>
    </w:rPr>
  </w:style>
  <w:style w:type="character" w:customStyle="1" w:styleId="114">
    <w:name w:val="arturl"/>
    <w:basedOn w:val="7"/>
    <w:qFormat/>
    <w:uiPriority w:val="0"/>
  </w:style>
  <w:style w:type="character" w:customStyle="1" w:styleId="115">
    <w:name w:val="price8"/>
    <w:basedOn w:val="7"/>
    <w:qFormat/>
    <w:uiPriority w:val="0"/>
    <w:rPr>
      <w:color w:val="FF0000"/>
      <w:sz w:val="21"/>
      <w:szCs w:val="21"/>
    </w:rPr>
  </w:style>
  <w:style w:type="character" w:customStyle="1" w:styleId="116">
    <w:name w:val="buynum4"/>
    <w:basedOn w:val="7"/>
    <w:qFormat/>
    <w:uiPriority w:val="0"/>
    <w:rPr>
      <w:b/>
      <w:color w:val="CC0000"/>
      <w:sz w:val="24"/>
      <w:szCs w:val="24"/>
    </w:rPr>
  </w:style>
  <w:style w:type="character" w:customStyle="1" w:styleId="117">
    <w:name w:val="lightgrey01"/>
    <w:basedOn w:val="7"/>
    <w:qFormat/>
    <w:uiPriority w:val="0"/>
    <w:rPr>
      <w:b/>
      <w:color w:val="008000"/>
      <w:sz w:val="21"/>
      <w:szCs w:val="21"/>
    </w:rPr>
  </w:style>
  <w:style w:type="character" w:customStyle="1" w:styleId="118">
    <w:name w:val="total"/>
    <w:basedOn w:val="7"/>
    <w:qFormat/>
    <w:uiPriority w:val="0"/>
    <w:rPr>
      <w:color w:val="999999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45464B-3576-4CD2-A18C-C7FC6C8CFA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34797</Words>
  <Characters>198349</Characters>
  <Lines>1652</Lines>
  <Paragraphs>465</Paragraphs>
  <TotalTime>6</TotalTime>
  <ScaleCrop>false</ScaleCrop>
  <LinksUpToDate>false</LinksUpToDate>
  <CharactersWithSpaces>232681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2019-01-23T11:52:00Z</dcterms:created>
  <dc:creator>唐琛</dc:creator>
  <cp:lastModifiedBy> </cp:lastModifiedBy>
  <cp:lastPrinted>2019-01-28T08:19:00Z</cp:lastPrinted>
  <dcterms:modified xsi:type="dcterms:W3CDTF">2019-02-26T10:57:14Z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