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国家税务局总局博尔塔拉蒙古自治州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税务局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国家税务局总局博尔塔拉蒙古自治州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firstLine="3855" w:firstLineChars="1200"/>
        <w:jc w:val="both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税务局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负责贯彻执行税收、保社会保险费和有关非税收入法律、法规、规章和规范性文件，研究制定具体实施办法。组织落实国家规定的税收优惠政策。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研究拟定本系统税收、社会保险费和有关非税收入中长期规划，参与拟定税收、社会保险费和有关非税收入预算目标并依法组织实施。负责本系统税收、社会保险费和有关非税收入的会统核算工作。组织开展收入分析预测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负责开展税收经济分析和税收政策效应分析，为国家税务总局和自治区党委、政府提供决策参考。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负责所辖区域内各项税收、社会保险费和有关非税收入征收管理。组织实施税（费）源监控和风险管理，加强大企业和自然人税收管理。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系统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负责所辖区域内国际税收和进出口税收管理工作，组织反避税调查和出口退税事项办理。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负责组织实施所辖区域内税务稽查和社会保险费、有关非税收入检查工作。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负责组织实施本系统各项税收、社会保险费和有关非税收入征管信息化建设和数据治理工作。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负责本系统内部控制机制建设工作，开展对本系统贯彻执行党中央、国务院重大决策及上级工作部署情况的督查督办，组织实施税收执行法督察。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负责本系统基层建设和队伍建设工作，加强领导班子和后备干部队伍建设，承担税务人才培养和干部教育培训工作。负责本系统绩效管理和干部考核工作。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负责本系统机构、编制、经费和资产管理工作。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完成国家税务总局新疆维吾尔自治区税务局和地方党委、政府交办的其他工作。 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pStyle w:val="23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从预算单位构成看，</w:t>
      </w:r>
      <w:r>
        <w:rPr>
          <w:rFonts w:hint="eastAsia"/>
          <w:sz w:val="32"/>
          <w:szCs w:val="32"/>
          <w:lang w:eastAsia="zh-CN"/>
        </w:rPr>
        <w:t>国家税务局总局博尔塔拉蒙古自治州税务局</w:t>
      </w:r>
      <w:r>
        <w:rPr>
          <w:rFonts w:hint="eastAsia"/>
          <w:sz w:val="32"/>
          <w:szCs w:val="32"/>
        </w:rPr>
        <w:t>系统的部门预算包括：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家预算单位在内的汇总预算。</w:t>
      </w:r>
      <w:r>
        <w:rPr>
          <w:sz w:val="32"/>
          <w:szCs w:val="32"/>
        </w:rPr>
        <w:t xml:space="preserve"> </w:t>
      </w:r>
    </w:p>
    <w:p>
      <w:pPr>
        <w:pStyle w:val="23"/>
        <w:snapToGrid w:val="0"/>
        <w:spacing w:line="600" w:lineRule="exact"/>
        <w:ind w:firstLine="640" w:firstLineChars="200"/>
        <w:rPr>
          <w:sz w:val="32"/>
          <w:szCs w:val="32"/>
          <w:highlight w:val="yellow"/>
        </w:rPr>
      </w:pPr>
      <w:r>
        <w:rPr>
          <w:rFonts w:hint="eastAsia"/>
          <w:sz w:val="32"/>
          <w:szCs w:val="32"/>
          <w:lang w:eastAsia="zh-CN"/>
        </w:rPr>
        <w:t>国家税务局总局博尔塔拉蒙古自治州税务局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highlight w:val="none"/>
        </w:rPr>
        <w:t>设</w:t>
      </w:r>
      <w:r>
        <w:rPr>
          <w:rFonts w:hint="eastAsia"/>
          <w:sz w:val="32"/>
          <w:szCs w:val="32"/>
          <w:highlight w:val="none"/>
          <w:lang w:val="en-US" w:eastAsia="zh-CN"/>
        </w:rPr>
        <w:t>19</w:t>
      </w:r>
      <w:r>
        <w:rPr>
          <w:rFonts w:hint="eastAsia"/>
          <w:sz w:val="32"/>
          <w:szCs w:val="32"/>
          <w:highlight w:val="none"/>
        </w:rPr>
        <w:t>个内设机构、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</w:rPr>
        <w:t>个派出机构，</w:t>
      </w:r>
      <w:r>
        <w:rPr>
          <w:rFonts w:hint="eastAsia"/>
          <w:sz w:val="32"/>
          <w:szCs w:val="32"/>
          <w:highlight w:val="none"/>
          <w:lang w:val="en-US" w:eastAsia="zh-CN"/>
        </w:rPr>
        <w:t>3个事业单位，</w:t>
      </w:r>
      <w:r>
        <w:rPr>
          <w:rFonts w:hint="eastAsia"/>
          <w:sz w:val="32"/>
          <w:szCs w:val="32"/>
          <w:highlight w:val="none"/>
        </w:rPr>
        <w:t>级别均为正</w:t>
      </w:r>
      <w:r>
        <w:rPr>
          <w:rFonts w:hint="eastAsia"/>
          <w:sz w:val="32"/>
          <w:szCs w:val="32"/>
          <w:highlight w:val="none"/>
          <w:lang w:eastAsia="zh-CN"/>
        </w:rPr>
        <w:t>科</w:t>
      </w:r>
      <w:r>
        <w:rPr>
          <w:rFonts w:hint="eastAsia"/>
          <w:sz w:val="32"/>
          <w:szCs w:val="32"/>
          <w:highlight w:val="none"/>
        </w:rPr>
        <w:t>级。</w:t>
      </w:r>
    </w:p>
    <w:p>
      <w:pPr>
        <w:pStyle w:val="23"/>
        <w:numPr>
          <w:ilvl w:val="0"/>
          <w:numId w:val="2"/>
        </w:numPr>
        <w:snapToGrid w:val="0"/>
        <w:spacing w:line="600" w:lineRule="exact"/>
        <w:ind w:left="0" w:leftChars="0" w:firstLine="643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内设机构</w:t>
      </w:r>
      <w:r>
        <w:rPr>
          <w:rFonts w:hint="eastAsia"/>
          <w:sz w:val="32"/>
          <w:szCs w:val="32"/>
        </w:rPr>
        <w:t>：办公室、</w:t>
      </w:r>
      <w:r>
        <w:rPr>
          <w:rFonts w:hint="eastAsia"/>
          <w:sz w:val="32"/>
          <w:szCs w:val="32"/>
          <w:lang w:eastAsia="zh-CN"/>
        </w:rPr>
        <w:t>法制科</w:t>
      </w:r>
      <w:r>
        <w:rPr>
          <w:rFonts w:hint="eastAsia"/>
          <w:sz w:val="32"/>
          <w:szCs w:val="32"/>
        </w:rPr>
        <w:t>、货物和劳务税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、企业所得税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、个人所得税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财产和行为税科</w:t>
      </w:r>
      <w:r>
        <w:rPr>
          <w:rFonts w:hint="eastAsia"/>
          <w:sz w:val="32"/>
          <w:szCs w:val="32"/>
        </w:rPr>
        <w:t>、社会保险费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</w:rPr>
        <w:t>非税收入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、收入核算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纳税服务科、征收管理科</w:t>
      </w:r>
      <w:r>
        <w:rPr>
          <w:rFonts w:hint="eastAsia"/>
          <w:sz w:val="32"/>
          <w:szCs w:val="32"/>
        </w:rPr>
        <w:t>、税收经济分析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、税收风险管理局、财务管理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人事教育科</w:t>
      </w:r>
      <w:r>
        <w:rPr>
          <w:rFonts w:hint="eastAsia"/>
          <w:sz w:val="32"/>
          <w:szCs w:val="32"/>
        </w:rPr>
        <w:t>、考核考评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机关党委、老干部科、系统党建工作科、纪检组。</w:t>
      </w:r>
    </w:p>
    <w:p>
      <w:pPr>
        <w:pStyle w:val="23"/>
        <w:numPr>
          <w:ilvl w:val="0"/>
          <w:numId w:val="2"/>
        </w:numPr>
        <w:snapToGrid w:val="0"/>
        <w:spacing w:line="600" w:lineRule="exact"/>
        <w:ind w:left="0" w:leftChars="0" w:firstLine="643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派出机构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第一税务分局、稽查局、第一稽查局。</w:t>
      </w:r>
    </w:p>
    <w:p>
      <w:pPr>
        <w:pStyle w:val="23"/>
        <w:numPr>
          <w:ilvl w:val="0"/>
          <w:numId w:val="2"/>
        </w:numPr>
        <w:snapToGrid w:val="0"/>
        <w:spacing w:line="600" w:lineRule="exact"/>
        <w:ind w:left="0" w:leftChars="0" w:firstLine="643" w:firstLineChars="200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事业单位：</w:t>
      </w:r>
      <w:r>
        <w:rPr>
          <w:rFonts w:hint="eastAsia" w:ascii="宋体" w:hAnsi="宋体"/>
          <w:color w:val="000000"/>
          <w:sz w:val="30"/>
          <w:lang w:val="zh-CN"/>
        </w:rPr>
        <w:t>机关服务中心、纳税服务中心、信息中心。</w:t>
      </w:r>
    </w:p>
    <w:p>
      <w:pPr>
        <w:pStyle w:val="23"/>
        <w:snapToGrid w:val="0"/>
        <w:spacing w:line="60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）所属机构</w:t>
      </w:r>
    </w:p>
    <w:p>
      <w:pPr>
        <w:pStyle w:val="23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国家税务局总局博尔塔拉蒙古自治州税务局</w:t>
      </w:r>
      <w:r>
        <w:rPr>
          <w:rFonts w:hint="eastAsia"/>
          <w:sz w:val="32"/>
          <w:szCs w:val="32"/>
        </w:rPr>
        <w:t>直接管理的税务局共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个。分别是：国家税务总局</w:t>
      </w:r>
      <w:r>
        <w:rPr>
          <w:rFonts w:hint="eastAsia"/>
          <w:sz w:val="32"/>
          <w:szCs w:val="32"/>
          <w:lang w:eastAsia="zh-CN"/>
        </w:rPr>
        <w:t>博乐市</w:t>
      </w:r>
      <w:r>
        <w:rPr>
          <w:rFonts w:hint="eastAsia"/>
          <w:sz w:val="32"/>
          <w:szCs w:val="32"/>
        </w:rPr>
        <w:t>税务局、国家税务总局</w:t>
      </w:r>
      <w:r>
        <w:rPr>
          <w:rFonts w:hint="eastAsia"/>
          <w:sz w:val="32"/>
          <w:szCs w:val="32"/>
          <w:lang w:eastAsia="zh-CN"/>
        </w:rPr>
        <w:t>精河县</w:t>
      </w:r>
      <w:r>
        <w:rPr>
          <w:rFonts w:hint="eastAsia"/>
          <w:sz w:val="32"/>
          <w:szCs w:val="32"/>
        </w:rPr>
        <w:t>税务局、国家税务总局</w:t>
      </w:r>
      <w:r>
        <w:rPr>
          <w:rFonts w:hint="eastAsia"/>
          <w:sz w:val="32"/>
          <w:szCs w:val="32"/>
          <w:lang w:eastAsia="zh-CN"/>
        </w:rPr>
        <w:t>温泉县</w:t>
      </w:r>
      <w:r>
        <w:rPr>
          <w:rFonts w:hint="eastAsia"/>
          <w:sz w:val="32"/>
          <w:szCs w:val="32"/>
        </w:rPr>
        <w:t>税务局、国家税务总局</w:t>
      </w:r>
      <w:r>
        <w:rPr>
          <w:rFonts w:hint="eastAsia"/>
          <w:sz w:val="32"/>
          <w:szCs w:val="32"/>
          <w:lang w:eastAsia="zh-CN"/>
        </w:rPr>
        <w:t>阿拉山口市</w:t>
      </w:r>
      <w:r>
        <w:rPr>
          <w:rFonts w:hint="eastAsia"/>
          <w:sz w:val="32"/>
          <w:szCs w:val="32"/>
        </w:rPr>
        <w:t>税务局。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人员编制与实有人数均按合并后规模统计。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实有编制数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494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人，其中：行政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470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人，事业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人。实有人数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645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469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人，退休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174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人，离休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</w:rPr>
        <w:t>人。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eastAsia="zh-CN"/>
        </w:rPr>
        <w:t>实有人数增加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highlight w:val="none"/>
          <w:lang w:val="en-US" w:eastAsia="zh-CN"/>
        </w:rPr>
        <w:t>422人，其中在职292人，退休128人，离休2人。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12"/>
        <w:tblW w:w="8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200"/>
        <w:gridCol w:w="270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52"/>
                <w:lang w:val="en-US" w:eastAsia="zh-CN" w:bidi="ar"/>
              </w:rPr>
              <w:t>9年预算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52"/>
                <w:lang w:val="en-US" w:eastAsia="zh-CN" w:bidi="ar"/>
              </w:rPr>
              <w:t>9年预算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2,699.52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tbl>
      <w:tblPr>
        <w:tblStyle w:val="12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10"/>
        <w:gridCol w:w="410"/>
        <w:gridCol w:w="1566"/>
        <w:gridCol w:w="1171"/>
        <w:gridCol w:w="1078"/>
        <w:gridCol w:w="437"/>
        <w:gridCol w:w="440"/>
        <w:gridCol w:w="435"/>
        <w:gridCol w:w="437"/>
        <w:gridCol w:w="437"/>
        <w:gridCol w:w="435"/>
        <w:gridCol w:w="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3,372.85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3,372.85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国家税务局总局博尔塔拉蒙古自治州税务局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808.94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808.94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617.50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617.50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617.50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191.44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191.44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191.44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191.44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123.49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123.49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精河县税务局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662.78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662.78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540.01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540.01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540.01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540.01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540.01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540.01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122.77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122.77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122.77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122.77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64.29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64.29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58.48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58.48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143.99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143.99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92.08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92.08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温泉县税务局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411.61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411.61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339.16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339.16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339.16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339.16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339.16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339.16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35.77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35.77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36.68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36.68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阿拉山口市税务局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403.98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353.38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38.24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38.24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tbl>
      <w:tblPr>
        <w:tblStyle w:val="12"/>
        <w:tblW w:w="8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521"/>
        <w:gridCol w:w="521"/>
        <w:gridCol w:w="3431"/>
        <w:gridCol w:w="1027"/>
        <w:gridCol w:w="1028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4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国家税务局总局博尔塔拉蒙古自治州税务局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808.94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808.94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191.44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191.44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191.44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191.44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123.49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123.49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精河县税务局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662.78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662.78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122.77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122.77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64.29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温泉县税务局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阿拉山口市税务局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tbl>
      <w:tblPr>
        <w:tblStyle w:val="12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912"/>
        <w:gridCol w:w="2597"/>
        <w:gridCol w:w="943"/>
        <w:gridCol w:w="943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5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  能  分  类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  般  公  共  预  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2,699.52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2,699.52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673.33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673.33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3,372.85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3,372.85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3,372.85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3,372.85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2"/>
        <w:tblW w:w="8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490"/>
        <w:gridCol w:w="492"/>
        <w:gridCol w:w="3540"/>
        <w:gridCol w:w="1155"/>
        <w:gridCol w:w="115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国家税务局总局博尔塔拉蒙古自治州税务局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808.94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808.94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191.44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191.44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123.49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精河县税务局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662.78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122.77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122.77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64.29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58.48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温泉县税务局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阿拉山口市税务局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2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717"/>
        <w:gridCol w:w="3004"/>
        <w:gridCol w:w="1312"/>
        <w:gridCol w:w="1311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30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计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0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3,372.85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3,317.57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国家税务局总局博尔塔拉蒙古自治州税务局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808.94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795.14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671.65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671.65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463.35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463.35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32.43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123.49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123.49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离休费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53.03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7.17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精河县税务局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662.78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652.09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587.80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587.80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406.38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406.38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36.57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48.77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8.77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34.46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1,067.10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923.11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923.11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637.99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637.99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57.42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44.66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76.56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13.81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57.96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温泉县税务局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411.61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405.14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369.37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369.37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255.42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255.42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30.65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阿拉山口市税务局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385.74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385.74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266.79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266.79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24.01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32.01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6.60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2"/>
        <w:tblW w:w="8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57"/>
        <w:gridCol w:w="557"/>
        <w:gridCol w:w="963"/>
        <w:gridCol w:w="522"/>
        <w:gridCol w:w="535"/>
        <w:gridCol w:w="595"/>
        <w:gridCol w:w="522"/>
        <w:gridCol w:w="478"/>
        <w:gridCol w:w="580"/>
        <w:gridCol w:w="521"/>
        <w:gridCol w:w="464"/>
        <w:gridCol w:w="478"/>
        <w:gridCol w:w="392"/>
        <w:gridCol w:w="492"/>
        <w:gridCol w:w="3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国家税务总局博州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国家税务总局博尔塔拉蒙古自治州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3372.85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国家税务总局博尔塔拉蒙古自治州税务局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国家税务总局博州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3372.85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3372.85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213.63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是2018年国地税征管改革，原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博州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博州</w:t>
      </w:r>
      <w:r>
        <w:rPr>
          <w:rFonts w:hint="eastAsia" w:ascii="仿宋_GB2312" w:hAnsi="宋体" w:eastAsia="仿宋_GB2312"/>
          <w:kern w:val="0"/>
          <w:sz w:val="32"/>
          <w:szCs w:val="32"/>
        </w:rPr>
        <w:t>国税局合并为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；二是国地税征管体制改革后人员增加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417人。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国家税务总局博州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3372.85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3372.85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627.7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万元，原因是合并后人员增加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人。项目支出预算未安排。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黑体" w:hAnsi="黑体" w:eastAsia="黑体"/>
          <w:kern w:val="0"/>
          <w:sz w:val="32"/>
          <w:szCs w:val="32"/>
        </w:rPr>
        <w:t>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3372.85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2699.52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379.9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293.43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2699.52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2699.52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万元；社会保障与就业支出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673.33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379.9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293.43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2019年一般公共预算拨款基本支出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3372.85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173.21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%。主要原因一是国地税征管体制改革，经费保障模式改变；二是合并后人员增加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417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292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人。  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2699.52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80.04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2699.52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673.33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19.96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379.9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293.43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2699.52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87.28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减幅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主要原因是国地税征管体制改革，经费保障模式改变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未归口管理的行政单位离退休04（项）：2019年预算数为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379.9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280.96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283.97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％。主要原因是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机关事业单位基本养老保险缴费05（项）：2019年预算数为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293.43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20.47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6.52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％。主要原因是自治区财政经费保障范围变化，养老金提取基数降低。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3372.85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3317.57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黑体" w:hAnsi="黑体" w:eastAsia="黑体"/>
          <w:kern w:val="0"/>
          <w:sz w:val="32"/>
          <w:szCs w:val="32"/>
        </w:rPr>
        <w:t>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黑体" w:hAnsi="黑体" w:eastAsia="黑体"/>
          <w:kern w:val="0"/>
          <w:sz w:val="32"/>
          <w:szCs w:val="32"/>
        </w:rPr>
        <w:t>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黑体" w:hAnsi="黑体" w:eastAsia="黑体"/>
          <w:kern w:val="0"/>
          <w:sz w:val="32"/>
          <w:szCs w:val="32"/>
        </w:rPr>
        <w:t>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及下属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</w:rPr>
        <w:t>家行政单位的机关运行经费财政拨款预算。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57886.82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10652.66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1444.75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1250.86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193.89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719.2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2420.95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1台（套）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国家税务局总局博尔塔拉蒙古自治州税务局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国家税务局总局博尔塔拉蒙古自治州税务局</w:t>
      </w:r>
    </w:p>
    <w:p>
      <w:pPr>
        <w:adjustRightInd w:val="0"/>
        <w:snapToGrid w:val="0"/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EFE42"/>
    <w:multiLevelType w:val="singleLevel"/>
    <w:tmpl w:val="83BEF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B694712"/>
    <w:multiLevelType w:val="singleLevel"/>
    <w:tmpl w:val="9B694712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1AD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B6410"/>
    <w:rsid w:val="002C098C"/>
    <w:rsid w:val="002F504F"/>
    <w:rsid w:val="00301A77"/>
    <w:rsid w:val="003A41F5"/>
    <w:rsid w:val="00420B4B"/>
    <w:rsid w:val="004231A9"/>
    <w:rsid w:val="004A62A8"/>
    <w:rsid w:val="0059735A"/>
    <w:rsid w:val="005B1030"/>
    <w:rsid w:val="00753E51"/>
    <w:rsid w:val="007C12AD"/>
    <w:rsid w:val="00870819"/>
    <w:rsid w:val="00894CFA"/>
    <w:rsid w:val="008B2FA1"/>
    <w:rsid w:val="008C3038"/>
    <w:rsid w:val="008D110D"/>
    <w:rsid w:val="008E0D54"/>
    <w:rsid w:val="00971F01"/>
    <w:rsid w:val="009A4351"/>
    <w:rsid w:val="00A01061"/>
    <w:rsid w:val="00B367FC"/>
    <w:rsid w:val="00B565C7"/>
    <w:rsid w:val="00BE7C40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7774A"/>
    <w:rsid w:val="00FC3AE6"/>
    <w:rsid w:val="00FE045D"/>
    <w:rsid w:val="01D041D3"/>
    <w:rsid w:val="039D421F"/>
    <w:rsid w:val="03FB2267"/>
    <w:rsid w:val="04B31744"/>
    <w:rsid w:val="0544358D"/>
    <w:rsid w:val="082677C3"/>
    <w:rsid w:val="0CFE35B2"/>
    <w:rsid w:val="0D96073F"/>
    <w:rsid w:val="0E1E4562"/>
    <w:rsid w:val="10C64BBC"/>
    <w:rsid w:val="112221DF"/>
    <w:rsid w:val="11A676E9"/>
    <w:rsid w:val="12951378"/>
    <w:rsid w:val="14034BA7"/>
    <w:rsid w:val="16084319"/>
    <w:rsid w:val="17290E6A"/>
    <w:rsid w:val="172C48D3"/>
    <w:rsid w:val="17DD17D6"/>
    <w:rsid w:val="18651F47"/>
    <w:rsid w:val="189F4F5A"/>
    <w:rsid w:val="18DA5495"/>
    <w:rsid w:val="19396467"/>
    <w:rsid w:val="19DF2921"/>
    <w:rsid w:val="1B5E1BC3"/>
    <w:rsid w:val="1C2A1490"/>
    <w:rsid w:val="1EE904EA"/>
    <w:rsid w:val="1F08463D"/>
    <w:rsid w:val="1FC5223C"/>
    <w:rsid w:val="209527CE"/>
    <w:rsid w:val="21F360D5"/>
    <w:rsid w:val="22E4356C"/>
    <w:rsid w:val="238275A9"/>
    <w:rsid w:val="246C0E52"/>
    <w:rsid w:val="24A64368"/>
    <w:rsid w:val="25186525"/>
    <w:rsid w:val="26D00355"/>
    <w:rsid w:val="27400564"/>
    <w:rsid w:val="27F521F9"/>
    <w:rsid w:val="30C74DB3"/>
    <w:rsid w:val="30CB0E30"/>
    <w:rsid w:val="313925C5"/>
    <w:rsid w:val="31D72E77"/>
    <w:rsid w:val="3451368E"/>
    <w:rsid w:val="35187A28"/>
    <w:rsid w:val="35687024"/>
    <w:rsid w:val="356C5F1F"/>
    <w:rsid w:val="357136C9"/>
    <w:rsid w:val="37A8588F"/>
    <w:rsid w:val="38CA06CB"/>
    <w:rsid w:val="38CE0CFC"/>
    <w:rsid w:val="3D004497"/>
    <w:rsid w:val="3D2927E8"/>
    <w:rsid w:val="3EC633B8"/>
    <w:rsid w:val="41D00F7E"/>
    <w:rsid w:val="41DA5B07"/>
    <w:rsid w:val="426137D8"/>
    <w:rsid w:val="43D97DAE"/>
    <w:rsid w:val="46C7200D"/>
    <w:rsid w:val="47713C76"/>
    <w:rsid w:val="47727362"/>
    <w:rsid w:val="48B267A1"/>
    <w:rsid w:val="48C448FE"/>
    <w:rsid w:val="4B7524F3"/>
    <w:rsid w:val="4B8A772E"/>
    <w:rsid w:val="4BBD3352"/>
    <w:rsid w:val="4E0E33E8"/>
    <w:rsid w:val="4EF95DE8"/>
    <w:rsid w:val="501A2AE9"/>
    <w:rsid w:val="50F81F8F"/>
    <w:rsid w:val="51FB65C7"/>
    <w:rsid w:val="53271C44"/>
    <w:rsid w:val="53FF5849"/>
    <w:rsid w:val="54A74769"/>
    <w:rsid w:val="55FA500D"/>
    <w:rsid w:val="5694163F"/>
    <w:rsid w:val="569E25D2"/>
    <w:rsid w:val="571E2CEA"/>
    <w:rsid w:val="58641B39"/>
    <w:rsid w:val="5AAC29CA"/>
    <w:rsid w:val="5E4E194B"/>
    <w:rsid w:val="5EC33AD8"/>
    <w:rsid w:val="603F105A"/>
    <w:rsid w:val="613D0272"/>
    <w:rsid w:val="61417785"/>
    <w:rsid w:val="619E493D"/>
    <w:rsid w:val="630A3DD4"/>
    <w:rsid w:val="67EA14A7"/>
    <w:rsid w:val="67EF7408"/>
    <w:rsid w:val="6B476D6E"/>
    <w:rsid w:val="6C81143D"/>
    <w:rsid w:val="6CB55B8D"/>
    <w:rsid w:val="6F364763"/>
    <w:rsid w:val="6F4235E5"/>
    <w:rsid w:val="7187566D"/>
    <w:rsid w:val="72142687"/>
    <w:rsid w:val="75C127C8"/>
    <w:rsid w:val="75DC75FE"/>
    <w:rsid w:val="7632260C"/>
    <w:rsid w:val="766E669B"/>
    <w:rsid w:val="76885E2B"/>
    <w:rsid w:val="7994584A"/>
    <w:rsid w:val="7A133B00"/>
    <w:rsid w:val="7BDB1A5E"/>
    <w:rsid w:val="7D5037EF"/>
    <w:rsid w:val="7D91515E"/>
    <w:rsid w:val="7E1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8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5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3">
    <w:name w:val="font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5464B-3576-4CD2-A18C-C7FC6C8CF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34797</Words>
  <Characters>198349</Characters>
  <Lines>1652</Lines>
  <Paragraphs>465</Paragraphs>
  <TotalTime>4</TotalTime>
  <ScaleCrop>false</ScaleCrop>
  <LinksUpToDate>false</LinksUpToDate>
  <CharactersWithSpaces>232681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 </cp:lastModifiedBy>
  <cp:lastPrinted>2019-01-28T08:19:00Z</cp:lastPrinted>
  <dcterms:modified xsi:type="dcterms:W3CDTF">2019-02-27T09:05:18Z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