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autoSpaceDE w:val="0"/>
        <w:autoSpaceDN w:val="0"/>
        <w:bidi w:val="0"/>
        <w:spacing w:before="0" w:beforeLines="0" w:after="0" w:afterLines="0" w:line="360" w:lineRule="auto"/>
        <w:ind w:firstLine="0" w:firstLineChars="0"/>
        <w:jc w:val="center"/>
        <w:rPr>
          <w:rFonts w:hint="eastAsia" w:ascii="Times New Roman" w:hAnsi="宋体" w:eastAsia="宋体" w:cs="Times New Roman"/>
          <w:b/>
          <w:color w:val="auto"/>
          <w:kern w:val="2"/>
          <w:sz w:val="96"/>
          <w:szCs w:val="96"/>
          <w:lang w:eastAsia="zh-CN"/>
        </w:rPr>
      </w:pPr>
      <w:bookmarkStart w:id="0" w:name="_Toc19319"/>
      <w:bookmarkStart w:id="1" w:name="_Toc311"/>
      <w:bookmarkStart w:id="2" w:name="_Toc3267"/>
      <w:bookmarkStart w:id="3" w:name="_Toc18872"/>
      <w:bookmarkStart w:id="4" w:name="_Toc17636"/>
      <w:bookmarkStart w:id="5" w:name="_Toc27190"/>
      <w:bookmarkStart w:id="6" w:name="_Toc28438"/>
      <w:bookmarkStart w:id="7" w:name="_Toc12890"/>
      <w:bookmarkStart w:id="8" w:name="_Toc17458"/>
      <w:bookmarkStart w:id="9" w:name="_Toc17996"/>
      <w:bookmarkStart w:id="10" w:name="_Toc14059"/>
    </w:p>
    <w:p>
      <w:pPr>
        <w:pageBreakBefore w:val="0"/>
        <w:widowControl w:val="0"/>
        <w:kinsoku/>
        <w:wordWrap/>
        <w:overflowPunct/>
        <w:topLinePunct/>
        <w:autoSpaceDE w:val="0"/>
        <w:autoSpaceDN w:val="0"/>
        <w:bidi w:val="0"/>
        <w:spacing w:before="0" w:beforeLines="0" w:after="0" w:afterLines="0" w:line="360" w:lineRule="auto"/>
        <w:ind w:firstLine="0" w:firstLineChars="0"/>
        <w:jc w:val="center"/>
        <w:rPr>
          <w:rFonts w:hint="eastAsia" w:ascii="方正小标宋简体" w:hAnsi="方正小标宋简体" w:eastAsia="方正小标宋简体" w:cs="方正小标宋简体"/>
          <w:b w:val="0"/>
          <w:bCs/>
          <w:color w:val="auto"/>
          <w:kern w:val="2"/>
          <w:sz w:val="96"/>
          <w:szCs w:val="96"/>
          <w:lang w:eastAsia="zh-CN"/>
        </w:rPr>
      </w:pPr>
      <w:r>
        <w:rPr>
          <w:rFonts w:hint="eastAsia" w:ascii="方正小标宋简体" w:hAnsi="方正小标宋简体" w:eastAsia="方正小标宋简体" w:cs="方正小标宋简体"/>
          <w:b w:val="0"/>
          <w:bCs/>
          <w:color w:val="auto"/>
          <w:kern w:val="2"/>
          <w:sz w:val="96"/>
          <w:szCs w:val="96"/>
          <w:lang w:eastAsia="zh-CN"/>
        </w:rPr>
        <w:t>采 购 需 求</w:t>
      </w:r>
    </w:p>
    <w:p>
      <w:pPr>
        <w:pageBreakBefore w:val="0"/>
        <w:widowControl w:val="0"/>
        <w:kinsoku/>
        <w:wordWrap/>
        <w:overflowPunct/>
        <w:topLinePunct/>
        <w:autoSpaceDE w:val="0"/>
        <w:autoSpaceDN w:val="0"/>
        <w:bidi w:val="0"/>
        <w:spacing w:before="0" w:beforeLines="0" w:after="0" w:afterLines="0" w:line="360" w:lineRule="auto"/>
        <w:ind w:firstLine="0" w:firstLineChars="0"/>
        <w:jc w:val="center"/>
        <w:rPr>
          <w:rFonts w:hint="eastAsia" w:ascii="Times New Roman" w:hAnsi="宋体" w:eastAsia="宋体" w:cs="Times New Roman"/>
          <w:b/>
          <w:color w:val="auto"/>
          <w:kern w:val="2"/>
          <w:sz w:val="96"/>
          <w:szCs w:val="96"/>
          <w:lang w:eastAsia="zh-CN"/>
        </w:rPr>
      </w:pPr>
    </w:p>
    <w:p>
      <w:pPr>
        <w:pageBreakBefore w:val="0"/>
        <w:widowControl w:val="0"/>
        <w:kinsoku/>
        <w:wordWrap/>
        <w:overflowPunct/>
        <w:topLinePunct/>
        <w:autoSpaceDE w:val="0"/>
        <w:autoSpaceDN w:val="0"/>
        <w:bidi w:val="0"/>
        <w:spacing w:before="0" w:beforeLines="0" w:after="0" w:afterLines="0" w:line="360" w:lineRule="auto"/>
        <w:ind w:firstLine="0" w:firstLineChars="0"/>
        <w:jc w:val="center"/>
        <w:rPr>
          <w:rFonts w:hint="eastAsia" w:ascii="Times New Roman" w:hAnsi="宋体" w:eastAsia="宋体" w:cs="Times New Roman"/>
          <w:b/>
          <w:color w:val="auto"/>
          <w:kern w:val="2"/>
          <w:sz w:val="96"/>
          <w:szCs w:val="96"/>
          <w:lang w:eastAsia="zh-CN"/>
        </w:rPr>
      </w:pPr>
    </w:p>
    <w:p>
      <w:pPr>
        <w:pageBreakBefore w:val="0"/>
        <w:widowControl w:val="0"/>
        <w:kinsoku/>
        <w:wordWrap/>
        <w:overflowPunct/>
        <w:topLinePunct/>
        <w:autoSpaceDE w:val="0"/>
        <w:autoSpaceDN w:val="0"/>
        <w:bidi w:val="0"/>
        <w:spacing w:before="0" w:beforeLines="0" w:after="0" w:afterLines="0" w:line="360" w:lineRule="auto"/>
        <w:ind w:firstLine="0" w:firstLineChars="0"/>
        <w:jc w:val="center"/>
        <w:rPr>
          <w:rFonts w:hint="eastAsia" w:ascii="Times New Roman" w:hAnsi="宋体" w:eastAsia="宋体" w:cs="Times New Roman"/>
          <w:b/>
          <w:color w:val="auto"/>
          <w:kern w:val="2"/>
          <w:sz w:val="96"/>
          <w:szCs w:val="96"/>
          <w:lang w:eastAsia="zh-CN"/>
        </w:rPr>
      </w:pPr>
    </w:p>
    <w:p>
      <w:pPr>
        <w:pStyle w:val="7"/>
        <w:pageBreakBefore w:val="0"/>
        <w:kinsoku/>
        <w:wordWrap/>
        <w:overflowPunct/>
        <w:bidi w:val="0"/>
        <w:spacing w:beforeLines="0" w:afterLines="0" w:line="360" w:lineRule="auto"/>
        <w:ind w:left="0" w:leftChars="0" w:firstLine="0" w:firstLineChars="0"/>
        <w:rPr>
          <w:rFonts w:hint="eastAsia"/>
          <w:color w:val="auto"/>
          <w:sz w:val="32"/>
          <w:szCs w:val="32"/>
          <w:lang w:eastAsia="zh-CN"/>
        </w:rPr>
      </w:pPr>
    </w:p>
    <w:p>
      <w:pPr>
        <w:pStyle w:val="8"/>
        <w:pageBreakBefore w:val="0"/>
        <w:kinsoku/>
        <w:wordWrap/>
        <w:overflowPunct/>
        <w:bidi w:val="0"/>
        <w:spacing w:line="360" w:lineRule="auto"/>
        <w:ind w:firstLine="0" w:firstLineChars="0"/>
        <w:rPr>
          <w:rFonts w:hint="eastAsia"/>
          <w:color w:val="auto"/>
          <w:sz w:val="32"/>
          <w:szCs w:val="32"/>
          <w:lang w:eastAsia="zh-CN"/>
        </w:rPr>
      </w:pPr>
    </w:p>
    <w:p>
      <w:pPr>
        <w:pStyle w:val="8"/>
        <w:pageBreakBefore w:val="0"/>
        <w:kinsoku/>
        <w:wordWrap/>
        <w:overflowPunct/>
        <w:bidi w:val="0"/>
        <w:spacing w:line="360" w:lineRule="auto"/>
        <w:ind w:firstLine="0" w:firstLineChars="0"/>
        <w:rPr>
          <w:rFonts w:hint="eastAsia"/>
          <w:color w:val="auto"/>
          <w:sz w:val="32"/>
          <w:szCs w:val="32"/>
          <w:lang w:eastAsia="zh-CN"/>
        </w:rPr>
      </w:pPr>
    </w:p>
    <w:p>
      <w:pPr>
        <w:pageBreakBefore w:val="0"/>
        <w:widowControl w:val="0"/>
        <w:kinsoku/>
        <w:wordWrap/>
        <w:overflowPunct/>
        <w:bidi w:val="0"/>
        <w:spacing w:before="0" w:beforeLines="0" w:after="0" w:afterLines="0" w:line="360" w:lineRule="auto"/>
        <w:ind w:firstLine="0" w:firstLineChars="0"/>
        <w:jc w:val="center"/>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项目名称：国家税务总局库尔勒市税务局2025-2026年</w:t>
      </w:r>
    </w:p>
    <w:p>
      <w:pPr>
        <w:pageBreakBefore w:val="0"/>
        <w:widowControl w:val="0"/>
        <w:kinsoku/>
        <w:wordWrap/>
        <w:overflowPunct/>
        <w:bidi w:val="0"/>
        <w:spacing w:before="0" w:beforeLines="0" w:after="0" w:afterLines="0" w:line="360" w:lineRule="auto"/>
        <w:ind w:firstLine="0" w:firstLineChars="0"/>
        <w:jc w:val="center"/>
        <w:rPr>
          <w:rFonts w:hint="eastAsia" w:ascii="宋体" w:hAnsi="宋体" w:eastAsia="宋体" w:cs="宋体"/>
          <w:color w:val="auto"/>
          <w:kern w:val="2"/>
          <w:sz w:val="32"/>
          <w:szCs w:val="32"/>
          <w:lang w:eastAsia="zh-CN"/>
        </w:rPr>
      </w:pP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eastAsia="zh-CN"/>
        </w:rPr>
        <w:t>办税服务厅非执法类辅助性服务项目</w:t>
      </w:r>
    </w:p>
    <w:p>
      <w:pPr>
        <w:pageBreakBefore w:val="0"/>
        <w:widowControl w:val="0"/>
        <w:kinsoku/>
        <w:wordWrap/>
        <w:overflowPunct/>
        <w:bidi w:val="0"/>
        <w:spacing w:before="0" w:beforeLines="0" w:after="0" w:afterLines="0" w:line="360" w:lineRule="auto"/>
        <w:ind w:firstLine="0" w:firstLineChars="0"/>
        <w:jc w:val="both"/>
        <w:rPr>
          <w:rFonts w:ascii="宋体" w:hAnsi="宋体" w:eastAsia="宋体" w:cs="宋体"/>
          <w:color w:val="auto"/>
          <w:kern w:val="2"/>
          <w:sz w:val="32"/>
          <w:szCs w:val="32"/>
          <w:lang w:eastAsia="zh-CN"/>
        </w:rPr>
      </w:pPr>
    </w:p>
    <w:p>
      <w:pPr>
        <w:pageBreakBefore w:val="0"/>
        <w:widowControl w:val="0"/>
        <w:kinsoku/>
        <w:wordWrap/>
        <w:overflowPunct/>
        <w:bidi w:val="0"/>
        <w:spacing w:before="0" w:beforeLines="0" w:after="0" w:afterLines="0" w:line="360" w:lineRule="auto"/>
        <w:ind w:firstLine="0" w:firstLineChars="0"/>
        <w:jc w:val="both"/>
        <w:rPr>
          <w:rFonts w:hint="eastAsia" w:ascii="宋体" w:hAnsi="宋体" w:eastAsia="宋体" w:cs="宋体"/>
          <w:color w:val="auto"/>
          <w:kern w:val="2"/>
          <w:sz w:val="32"/>
          <w:szCs w:val="32"/>
          <w:lang w:eastAsia="zh-CN"/>
        </w:rPr>
      </w:pPr>
    </w:p>
    <w:p>
      <w:pPr>
        <w:pageBreakBefore w:val="0"/>
        <w:kinsoku/>
        <w:wordWrap/>
        <w:overflowPunct/>
        <w:bidi w:val="0"/>
        <w:spacing w:before="0" w:beforeLines="0" w:after="0" w:afterLines="0" w:line="360" w:lineRule="auto"/>
        <w:ind w:left="0" w:leftChars="0" w:firstLine="0" w:firstLineChars="0"/>
        <w:jc w:val="center"/>
        <w:rPr>
          <w:rFonts w:eastAsia="宋体"/>
          <w:color w:val="auto"/>
          <w:sz w:val="32"/>
          <w:szCs w:val="32"/>
        </w:rPr>
      </w:pPr>
      <w:bookmarkStart w:id="11" w:name="生成日期_currentDateTime_ym"/>
      <w:r>
        <w:rPr>
          <w:rFonts w:hint="eastAsia" w:ascii="黑体" w:hAnsi="黑体" w:eastAsia="黑体" w:cs="黑体"/>
          <w:color w:val="auto"/>
          <w:sz w:val="32"/>
          <w:szCs w:val="32"/>
          <w:lang w:eastAsia="zh-CN"/>
        </w:rPr>
        <w:t>2025年0</w:t>
      </w: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lang w:eastAsia="zh-CN"/>
        </w:rPr>
        <w:t>月</w:t>
      </w:r>
      <w:bookmarkEnd w:id="11"/>
    </w:p>
    <w:p>
      <w:pPr>
        <w:pageBreakBefore w:val="0"/>
        <w:kinsoku/>
        <w:wordWrap/>
        <w:overflowPunct/>
        <w:bidi w:val="0"/>
        <w:spacing w:before="0" w:beforeLines="0" w:after="0" w:afterLines="0" w:line="360" w:lineRule="auto"/>
        <w:ind w:firstLine="0" w:firstLineChars="0"/>
        <w:jc w:val="both"/>
        <w:rPr>
          <w:rFonts w:hint="eastAsia" w:ascii="仿宋_GB2312" w:hAnsi="仿宋_GB2312" w:eastAsia="仿宋_GB2312" w:cs="仿宋_GB2312"/>
          <w:color w:val="auto"/>
        </w:rPr>
      </w:pPr>
      <w:r>
        <w:rPr>
          <w:color w:val="auto"/>
        </w:rPr>
        <w:br w:type="page"/>
      </w:r>
    </w:p>
    <w:p>
      <w:pPr>
        <w:pStyle w:val="4"/>
        <w:pageBreakBefore w:val="0"/>
        <w:kinsoku/>
        <w:wordWrap/>
        <w:overflowPunct/>
        <w:bidi w:val="0"/>
        <w:spacing w:line="360" w:lineRule="auto"/>
        <w:ind w:firstLine="0" w:firstLineChars="0"/>
        <w:outlineLvl w:val="9"/>
        <w:rPr>
          <w:rFonts w:hint="eastAsia" w:ascii="方正小标宋简体" w:hAnsi="方正小标宋简体" w:eastAsia="方正小标宋简体" w:cs="方正小标宋简体"/>
          <w:color w:val="auto"/>
          <w:kern w:val="0"/>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0"/>
    <w:bookmarkEnd w:id="1"/>
    <w:bookmarkEnd w:id="2"/>
    <w:bookmarkEnd w:id="3"/>
    <w:bookmarkEnd w:id="4"/>
    <w:bookmarkEnd w:id="5"/>
    <w:bookmarkEnd w:id="6"/>
    <w:bookmarkEnd w:id="7"/>
    <w:bookmarkEnd w:id="8"/>
    <w:bookmarkEnd w:id="9"/>
    <w:bookmarkEnd w:id="10"/>
    <w:p>
      <w:pPr>
        <w:pageBreakBefore w:val="0"/>
        <w:kinsoku/>
        <w:wordWrap/>
        <w:overflowPunct/>
        <w:bidi w:val="0"/>
        <w:spacing w:line="360" w:lineRule="auto"/>
        <w:ind w:firstLine="0" w:firstLineChars="0"/>
        <w:jc w:val="both"/>
        <w:rPr>
          <w:rFonts w:hint="eastAsia" w:ascii="仿宋_GB2312" w:hAnsi="仿宋_GB2312" w:eastAsia="仿宋_GB2312" w:cs="仿宋_GB2312"/>
          <w:iCs/>
          <w:color w:val="auto"/>
          <w:sz w:val="28"/>
          <w:szCs w:val="28"/>
        </w:rPr>
      </w:pPr>
    </w:p>
    <w:sdt>
      <w:sdtPr>
        <w:rPr>
          <w:rFonts w:hint="eastAsia" w:ascii="仿宋_GB2312" w:hAnsi="仿宋_GB2312" w:eastAsia="仿宋_GB2312" w:cs="仿宋_GB2312"/>
          <w:color w:val="auto"/>
          <w:kern w:val="2"/>
          <w:sz w:val="32"/>
          <w:szCs w:val="32"/>
          <w:lang w:val="en-US" w:eastAsia="zh-CN" w:bidi="ar-SA"/>
        </w:rPr>
        <w:id w:val="147483073"/>
        <w15:color w:val="DBDBDB"/>
        <w:docPartObj>
          <w:docPartGallery w:val="Table of Contents"/>
          <w:docPartUnique/>
        </w:docPartObj>
      </w:sdtPr>
      <w:sdtEndPr>
        <w:rPr>
          <w:rFonts w:hint="eastAsia" w:ascii="仿宋_GB2312" w:hAnsi="仿宋_GB2312" w:eastAsia="仿宋_GB2312" w:cs="仿宋_GB2312"/>
          <w:color w:val="auto"/>
          <w:kern w:val="2"/>
          <w:sz w:val="32"/>
          <w:szCs w:val="3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TOC \o "1-3" \h \u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_Toc2383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1项目概述</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_Toc2383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_Toc11109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i w:val="0"/>
              <w:iCs w:val="0"/>
              <w:color w:val="auto"/>
              <w:kern w:val="0"/>
              <w:sz w:val="24"/>
              <w:szCs w:val="24"/>
              <w:lang w:eastAsia="en-US"/>
            </w:rPr>
            <w:t>1.1项目背景</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_Toc11109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_Toc10402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1.2项目内容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_Toc10402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_Toc27037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i w:val="0"/>
              <w:iCs w:val="0"/>
              <w:color w:val="auto"/>
              <w:kern w:val="0"/>
              <w:sz w:val="24"/>
              <w:szCs w:val="24"/>
              <w:lang w:eastAsia="en-US"/>
            </w:rPr>
            <w:t>1.2.</w:t>
          </w:r>
          <w:r>
            <w:rPr>
              <w:rFonts w:hint="eastAsia" w:ascii="仿宋_GB2312" w:hAnsi="仿宋_GB2312" w:eastAsia="仿宋_GB2312" w:cs="仿宋_GB2312"/>
              <w:bCs/>
              <w:i w:val="0"/>
              <w:iCs w:val="0"/>
              <w:color w:val="auto"/>
              <w:kern w:val="0"/>
              <w:sz w:val="24"/>
              <w:szCs w:val="24"/>
              <w:lang w:val="en-US" w:eastAsia="zh-CN"/>
            </w:rPr>
            <w:t>1</w:t>
          </w:r>
          <w:r>
            <w:rPr>
              <w:rFonts w:hint="eastAsia" w:ascii="仿宋_GB2312" w:hAnsi="仿宋_GB2312" w:eastAsia="仿宋_GB2312" w:cs="仿宋_GB2312"/>
              <w:bCs/>
              <w:i w:val="0"/>
              <w:iCs w:val="0"/>
              <w:color w:val="auto"/>
              <w:kern w:val="0"/>
              <w:sz w:val="24"/>
              <w:szCs w:val="24"/>
              <w:lang w:eastAsia="en-US"/>
            </w:rPr>
            <w:t>采购内容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_Toc27037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_Toc4869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i w:val="0"/>
              <w:iCs w:val="0"/>
              <w:color w:val="auto"/>
              <w:kern w:val="0"/>
              <w:sz w:val="24"/>
              <w:szCs w:val="24"/>
              <w:lang w:eastAsia="en-US"/>
            </w:rPr>
            <w:t>1.</w:t>
          </w:r>
          <w:r>
            <w:rPr>
              <w:rFonts w:hint="eastAsia" w:ascii="仿宋_GB2312" w:hAnsi="仿宋_GB2312" w:eastAsia="仿宋_GB2312" w:cs="仿宋_GB2312"/>
              <w:bCs/>
              <w:i w:val="0"/>
              <w:iCs w:val="0"/>
              <w:color w:val="auto"/>
              <w:kern w:val="0"/>
              <w:sz w:val="24"/>
              <w:szCs w:val="24"/>
              <w:lang w:val="en-US" w:eastAsia="zh-CN"/>
            </w:rPr>
            <w:t>2.2</w:t>
          </w:r>
          <w:r>
            <w:rPr>
              <w:rFonts w:hint="eastAsia" w:ascii="仿宋_GB2312" w:hAnsi="仿宋_GB2312" w:eastAsia="仿宋_GB2312" w:cs="仿宋_GB2312"/>
              <w:bCs/>
              <w:i w:val="0"/>
              <w:iCs w:val="0"/>
              <w:color w:val="auto"/>
              <w:kern w:val="0"/>
              <w:sz w:val="24"/>
              <w:szCs w:val="24"/>
              <w:lang w:eastAsia="en-US"/>
            </w:rPr>
            <w:t>项目实施要求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_Toc4869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_Toc7553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2投标/响应要求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_Toc7553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_Toc25641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2.1</w:t>
          </w:r>
          <w:r>
            <w:rPr>
              <w:rFonts w:hint="eastAsia" w:ascii="仿宋_GB2312" w:hAnsi="仿宋_GB2312" w:eastAsia="仿宋_GB2312" w:cs="仿宋_GB2312"/>
              <w:color w:val="auto"/>
              <w:sz w:val="24"/>
              <w:szCs w:val="24"/>
              <w:lang w:eastAsia="zh-CN"/>
            </w:rPr>
            <w:t>对供应商的要求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_Toc25641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_Toc12997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2.1.1必备资质</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_Toc12997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_Toc28777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2.1.2资质/优选指标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_Toc28777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_Toc11521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2.1.3是否允许联合体投标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_Toc11521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_Toc3147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2.1.4是否专门面向中小企业</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_Toc3147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_Toc15965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2.1.5其他要求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_Toc15965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_Toc10756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lang w:eastAsia="en-US"/>
            </w:rPr>
            <w:t>技术部分投标/响应内容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_Toc10756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_Toc19559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2.2.1 技术投标/响应总要求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_Toc19559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_Toc13420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2.2.2投标/响应方案要求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_Toc13420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_Toc29258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3项目需求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_Toc29258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_Toc32738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3.1总体要求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_Toc32738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_Toc18881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3.2服务内容</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_Toc18881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_Toc17371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3.2.1导税服务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_Toc17371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_Toc32599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3.2.2辅导服务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_Toc32599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_Toc31927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3.2.3线上</w:t>
          </w:r>
          <w:r>
            <w:rPr>
              <w:rFonts w:hint="eastAsia" w:ascii="仿宋_GB2312" w:hAnsi="仿宋_GB2312" w:eastAsia="仿宋_GB2312" w:cs="仿宋_GB2312"/>
              <w:color w:val="auto"/>
              <w:sz w:val="24"/>
              <w:szCs w:val="24"/>
              <w:lang w:val="en-US" w:eastAsia="en-US"/>
            </w:rPr>
            <w:t>咨询服务</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_Toc31927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_Toc11661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3.2.4文书整理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_Toc11661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_Toc17272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3.</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en-US"/>
            </w:rPr>
            <w:t>服务工作量</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_Toc17272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_Toc19839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4</w:t>
          </w:r>
          <w:r>
            <w:rPr>
              <w:rFonts w:hint="eastAsia" w:ascii="仿宋_GB2312" w:hAnsi="仿宋_GB2312" w:eastAsia="仿宋_GB2312" w:cs="仿宋_GB2312"/>
              <w:bCs/>
              <w:color w:val="auto"/>
              <w:kern w:val="36"/>
              <w:sz w:val="24"/>
              <w:szCs w:val="24"/>
              <w:lang w:eastAsia="zh-CN"/>
            </w:rPr>
            <w:t>人员</w:t>
          </w:r>
          <w:r>
            <w:rPr>
              <w:rFonts w:hint="eastAsia" w:ascii="仿宋_GB2312" w:hAnsi="仿宋_GB2312" w:eastAsia="仿宋_GB2312" w:cs="仿宋_GB2312"/>
              <w:bCs/>
              <w:color w:val="auto"/>
              <w:kern w:val="36"/>
              <w:sz w:val="24"/>
              <w:szCs w:val="24"/>
              <w:lang w:eastAsia="en-US"/>
            </w:rPr>
            <w:t>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_Toc19839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_Toc14521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4.1</w:t>
          </w:r>
          <w:r>
            <w:rPr>
              <w:rFonts w:hint="eastAsia" w:ascii="仿宋_GB2312" w:hAnsi="仿宋_GB2312" w:eastAsia="仿宋_GB2312" w:cs="仿宋_GB2312"/>
              <w:color w:val="auto"/>
              <w:sz w:val="24"/>
              <w:szCs w:val="24"/>
              <w:lang w:eastAsia="zh-CN"/>
            </w:rPr>
            <w:t>人员岗位职责及</w:t>
          </w:r>
          <w:r>
            <w:rPr>
              <w:rFonts w:hint="eastAsia" w:ascii="仿宋_GB2312" w:hAnsi="仿宋_GB2312" w:eastAsia="仿宋_GB2312" w:cs="仿宋_GB2312"/>
              <w:color w:val="auto"/>
              <w:sz w:val="24"/>
              <w:szCs w:val="24"/>
              <w:lang w:eastAsia="en-US"/>
            </w:rPr>
            <w:t>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_Toc14521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_Toc9465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4.</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其他</w:t>
          </w:r>
          <w:r>
            <w:rPr>
              <w:rFonts w:hint="eastAsia" w:ascii="仿宋_GB2312" w:hAnsi="仿宋_GB2312" w:eastAsia="仿宋_GB2312" w:cs="仿宋_GB2312"/>
              <w:color w:val="auto"/>
              <w:sz w:val="24"/>
              <w:szCs w:val="24"/>
              <w:lang w:eastAsia="en-US"/>
            </w:rPr>
            <w:t>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_Toc9465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_Toc29089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eastAsia="en-US"/>
            </w:rPr>
            <w:t>4.</w:t>
          </w:r>
          <w:r>
            <w:rPr>
              <w:rFonts w:hint="eastAsia" w:ascii="仿宋_GB2312" w:hAnsi="仿宋_GB2312" w:eastAsia="仿宋_GB2312" w:cs="仿宋_GB2312"/>
              <w:color w:val="auto"/>
              <w:sz w:val="24"/>
              <w:szCs w:val="24"/>
              <w:lang w:val="en-US" w:eastAsia="zh-CN"/>
            </w:rPr>
            <w:t>3服务质量保障要求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_Toc29089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_Toc17886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优选资质/优选指标</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_Toc17886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_Toc3896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5风险管控要求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_Toc3896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_Toc17130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eastAsia="en-US"/>
            </w:rPr>
            <w:t>6项目验收要求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_Toc17130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_Toc4803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zh-CN" w:eastAsia="en-US"/>
            </w:rPr>
            <w:t>6.1总体要求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_Toc4803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14</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_Toc21469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6.2基本要求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_Toc21469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_Toc27210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6.3其他要求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_Toc27210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_Toc5828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zh-CN" w:eastAsia="en-US"/>
            </w:rPr>
            <w:t>6.</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zh-CN" w:eastAsia="en-US"/>
            </w:rPr>
            <w:t>验收考核标准</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_Toc5828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15</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_Toc2885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bCs/>
              <w:color w:val="auto"/>
              <w:kern w:val="36"/>
              <w:sz w:val="24"/>
              <w:szCs w:val="24"/>
              <w:lang w:val="zh-CN" w:eastAsia="en-US"/>
            </w:rPr>
            <w:t>7其他要求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_Toc2885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18</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_Toc9317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zh-CN" w:eastAsia="en-US"/>
            </w:rPr>
            <w:t>7.1必备要求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_Toc9317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18</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_Toc1991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zh-CN" w:eastAsia="en-US"/>
            </w:rPr>
            <w:t>7.</w:t>
          </w:r>
          <w:r>
            <w:rPr>
              <w:rFonts w:hint="eastAsia" w:ascii="仿宋_GB2312" w:hAnsi="仿宋_GB2312" w:eastAsia="仿宋_GB2312" w:cs="仿宋_GB2312"/>
              <w:color w:val="auto"/>
              <w:sz w:val="24"/>
              <w:szCs w:val="24"/>
              <w:lang w:val="en-US" w:eastAsia="zh-CN"/>
            </w:rPr>
            <w:t>2付款安排</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_Toc1991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19</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\l _Toc22863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保密要求</w:t>
          </w:r>
          <w:r>
            <w:rPr>
              <w:rFonts w:hint="eastAsia" w:ascii="仿宋_GB2312" w:hAnsi="仿宋_GB2312" w:eastAsia="仿宋_GB2312" w:cs="仿宋_GB2312"/>
              <w:color w:val="auto"/>
              <w:sz w:val="24"/>
              <w:szCs w:val="24"/>
            </w:rPr>
            <w:tab/>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PAGEREF _Toc22863 \h </w:instrText>
          </w:r>
          <w:r>
            <w:rPr>
              <w:rFonts w:hint="eastAsia" w:ascii="仿宋_GB2312" w:hAnsi="仿宋_GB2312" w:eastAsia="仿宋_GB2312" w:cs="仿宋_GB2312"/>
              <w:color w:val="auto"/>
              <w:sz w:val="24"/>
              <w:szCs w:val="24"/>
            </w:rPr>
            <w:fldChar w:fldCharType="separate"/>
          </w:r>
          <w:r>
            <w:rPr>
              <w:rFonts w:hint="eastAsia" w:ascii="仿宋_GB2312" w:hAnsi="仿宋_GB2312" w:eastAsia="仿宋_GB2312" w:cs="仿宋_GB2312"/>
              <w:color w:val="auto"/>
              <w:sz w:val="24"/>
              <w:szCs w:val="24"/>
            </w:rPr>
            <w:t>19</w:t>
          </w:r>
          <w:r>
            <w:rPr>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b/>
              <w:bCs/>
              <w:color w:val="auto"/>
              <w:kern w:val="36"/>
              <w:sz w:val="32"/>
              <w:szCs w:val="32"/>
              <w:lang w:eastAsia="en-US"/>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24"/>
              <w:szCs w:val="24"/>
            </w:rPr>
            <w:fldChar w:fldCharType="end"/>
          </w:r>
        </w:p>
      </w:sdtContent>
    </w:sdt>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12" w:name="_Toc2383"/>
      <w:r>
        <w:rPr>
          <w:rFonts w:hint="eastAsia" w:ascii="仿宋_GB2312" w:hAnsi="仿宋_GB2312" w:eastAsia="仿宋_GB2312" w:cs="仿宋_GB2312"/>
          <w:b/>
          <w:bCs/>
          <w:color w:val="auto"/>
          <w:kern w:val="36"/>
          <w:sz w:val="32"/>
          <w:szCs w:val="32"/>
          <w:lang w:eastAsia="en-US"/>
        </w:rPr>
        <w:t>1项目概述</w:t>
      </w:r>
      <w:bookmarkEnd w:id="12"/>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3" w:name="_Toc10105"/>
      <w:bookmarkStart w:id="14" w:name="_Toc11109"/>
      <w:r>
        <w:rPr>
          <w:rFonts w:hint="eastAsia" w:ascii="仿宋_GB2312" w:hAnsi="仿宋_GB2312" w:eastAsia="仿宋_GB2312" w:cs="仿宋_GB2312"/>
          <w:bCs/>
          <w:i w:val="0"/>
          <w:iCs w:val="0"/>
          <w:color w:val="auto"/>
          <w:kern w:val="0"/>
          <w:sz w:val="28"/>
          <w:szCs w:val="28"/>
          <w:lang w:eastAsia="en-US"/>
        </w:rPr>
        <w:t>1.1项目背景</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eastAsia="en-US"/>
        </w:rPr>
      </w:pPr>
      <w:r>
        <w:rPr>
          <w:rFonts w:hint="eastAsia" w:ascii="仿宋_GB2312" w:hAnsi="仿宋_GB2312" w:eastAsia="仿宋_GB2312" w:cs="仿宋_GB2312"/>
          <w:color w:val="auto"/>
          <w:lang w:val="en-US" w:eastAsia="zh-CN"/>
        </w:rPr>
        <w:t>为满足国家税务总局库尔勒市税务局工作需求，保障税收工作顺利开展，</w:t>
      </w:r>
      <w:r>
        <w:rPr>
          <w:rFonts w:hint="eastAsia" w:ascii="仿宋_GB2312" w:hAnsi="仿宋_GB2312" w:cs="仿宋_GB2312"/>
          <w:color w:val="auto"/>
          <w:lang w:eastAsia="zh-CN"/>
        </w:rPr>
        <w:t>推</w:t>
      </w:r>
      <w:r>
        <w:rPr>
          <w:rFonts w:hint="eastAsia" w:ascii="仿宋_GB2312" w:hAnsi="仿宋_GB2312" w:eastAsia="仿宋_GB2312" w:cs="仿宋_GB2312"/>
          <w:color w:val="auto"/>
          <w:lang w:eastAsia="en-US"/>
        </w:rPr>
        <w:t>动税费服务更加优质、高效</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现</w:t>
      </w:r>
      <w:r>
        <w:rPr>
          <w:rFonts w:hint="eastAsia" w:ascii="仿宋_GB2312" w:hAnsi="仿宋_GB2312" w:eastAsia="仿宋_GB2312" w:cs="仿宋_GB2312"/>
          <w:color w:val="auto"/>
        </w:rPr>
        <w:t>结合国家税务总局</w:t>
      </w:r>
      <w:r>
        <w:rPr>
          <w:rFonts w:hint="eastAsia" w:ascii="仿宋_GB2312" w:hAnsi="仿宋_GB2312" w:cs="仿宋_GB2312"/>
          <w:color w:val="auto"/>
          <w:lang w:eastAsia="zh-CN"/>
        </w:rPr>
        <w:t>库尔勒</w:t>
      </w:r>
      <w:r>
        <w:rPr>
          <w:rFonts w:hint="eastAsia" w:ascii="仿宋_GB2312" w:hAnsi="仿宋_GB2312" w:eastAsia="仿宋_GB2312" w:cs="仿宋_GB2312"/>
          <w:color w:val="auto"/>
        </w:rPr>
        <w:t>市税务</w:t>
      </w:r>
      <w:r>
        <w:rPr>
          <w:rFonts w:hint="eastAsia" w:ascii="仿宋_GB2312" w:hAnsi="仿宋_GB2312" w:cs="仿宋_GB2312"/>
          <w:color w:val="auto"/>
          <w:lang w:eastAsia="zh-CN"/>
        </w:rPr>
        <w:t>局</w:t>
      </w:r>
      <w:r>
        <w:rPr>
          <w:rFonts w:hint="eastAsia" w:ascii="仿宋_GB2312" w:hAnsi="仿宋_GB2312" w:eastAsia="仿宋_GB2312" w:cs="仿宋_GB2312"/>
          <w:color w:val="auto"/>
        </w:rPr>
        <w:t>实际，拟采购国家税务总局库尔勒市</w:t>
      </w:r>
      <w:r>
        <w:rPr>
          <w:rFonts w:hint="eastAsia" w:ascii="仿宋_GB2312" w:hAnsi="仿宋_GB2312" w:cs="仿宋_GB2312"/>
          <w:color w:val="auto"/>
          <w:lang w:eastAsia="zh-CN"/>
        </w:rPr>
        <w:t>税务局</w:t>
      </w:r>
      <w:r>
        <w:rPr>
          <w:rFonts w:hint="eastAsia" w:ascii="仿宋_GB2312" w:hAnsi="仿宋_GB2312" w:eastAsia="仿宋_GB2312" w:cs="仿宋_GB2312"/>
          <w:color w:val="auto"/>
        </w:rPr>
        <w:t>2025-2026年办税服务厅非执法类辅助性服务项目。</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5" w:name="_Toc59"/>
      <w:bookmarkStart w:id="16" w:name="_Toc10402"/>
      <w:r>
        <w:rPr>
          <w:rFonts w:hint="eastAsia" w:ascii="仿宋_GB2312" w:hAnsi="仿宋_GB2312" w:eastAsia="仿宋_GB2312" w:cs="仿宋_GB2312"/>
          <w:bCs/>
          <w:i w:val="0"/>
          <w:iCs w:val="0"/>
          <w:color w:val="auto"/>
          <w:kern w:val="0"/>
          <w:sz w:val="28"/>
          <w:szCs w:val="28"/>
          <w:lang w:eastAsia="en-US"/>
        </w:rPr>
        <w:t>1.2项目内容</w:t>
      </w:r>
      <w:bookmarkEnd w:id="15"/>
      <w:bookmarkEnd w:id="16"/>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eastAsia="en-US"/>
        </w:rPr>
      </w:pPr>
      <w:bookmarkStart w:id="17" w:name="_Toc19001"/>
      <w:bookmarkStart w:id="18" w:name="_Toc27037"/>
      <w:r>
        <w:rPr>
          <w:rFonts w:hint="eastAsia" w:ascii="仿宋_GB2312" w:hAnsi="仿宋_GB2312" w:eastAsia="仿宋_GB2312" w:cs="仿宋_GB2312"/>
          <w:bCs/>
          <w:i w:val="0"/>
          <w:iCs w:val="0"/>
          <w:color w:val="auto"/>
          <w:kern w:val="0"/>
          <w:sz w:val="28"/>
          <w:szCs w:val="28"/>
          <w:lang w:eastAsia="en-US"/>
        </w:rPr>
        <w:t>1.2.</w:t>
      </w:r>
      <w:r>
        <w:rPr>
          <w:rFonts w:hint="eastAsia" w:ascii="仿宋_GB2312" w:hAnsi="仿宋_GB2312" w:eastAsia="仿宋_GB2312" w:cs="仿宋_GB2312"/>
          <w:bCs/>
          <w:i w:val="0"/>
          <w:iCs w:val="0"/>
          <w:color w:val="auto"/>
          <w:kern w:val="0"/>
          <w:sz w:val="28"/>
          <w:szCs w:val="28"/>
          <w:lang w:val="en-US" w:eastAsia="zh-CN"/>
        </w:rPr>
        <w:t>1</w:t>
      </w:r>
      <w:r>
        <w:rPr>
          <w:rFonts w:hint="eastAsia" w:ascii="仿宋_GB2312" w:hAnsi="仿宋_GB2312" w:eastAsia="仿宋_GB2312" w:cs="仿宋_GB2312"/>
          <w:bCs/>
          <w:i w:val="0"/>
          <w:iCs w:val="0"/>
          <w:color w:val="auto"/>
          <w:kern w:val="0"/>
          <w:sz w:val="28"/>
          <w:szCs w:val="28"/>
          <w:lang w:eastAsia="en-US"/>
        </w:rPr>
        <w:t>采购内容</w:t>
      </w:r>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国家税务总局库尔勒市</w:t>
      </w:r>
      <w:r>
        <w:rPr>
          <w:rFonts w:hint="eastAsia" w:ascii="仿宋_GB2312" w:hAnsi="仿宋_GB2312" w:cs="仿宋_GB2312"/>
          <w:color w:val="auto"/>
          <w:lang w:eastAsia="zh-CN"/>
        </w:rPr>
        <w:t>税务局</w:t>
      </w:r>
      <w:r>
        <w:rPr>
          <w:rFonts w:hint="eastAsia" w:ascii="仿宋_GB2312" w:hAnsi="仿宋_GB2312" w:eastAsia="仿宋_GB2312" w:cs="仿宋_GB2312"/>
          <w:color w:val="auto"/>
        </w:rPr>
        <w:t>2025-2026年办税服务厅非执法类辅助性服务项目</w:t>
      </w:r>
      <w:r>
        <w:rPr>
          <w:rFonts w:hint="eastAsia" w:ascii="仿宋_GB2312" w:hAnsi="仿宋_GB2312" w:eastAsia="仿宋_GB2312" w:cs="仿宋_GB2312"/>
          <w:color w:val="auto"/>
          <w:lang w:eastAsia="zh-CN"/>
        </w:rPr>
        <w:t>预算总金</w:t>
      </w:r>
      <w:r>
        <w:rPr>
          <w:rFonts w:hint="eastAsia" w:ascii="仿宋_GB2312" w:hAnsi="仿宋_GB2312" w:eastAsia="仿宋_GB2312" w:cs="仿宋_GB2312"/>
          <w:color w:val="auto"/>
          <w:highlight w:val="none"/>
          <w:lang w:eastAsia="zh-CN"/>
        </w:rPr>
        <w:t>额为</w:t>
      </w:r>
      <w:r>
        <w:rPr>
          <w:rFonts w:hint="eastAsia" w:ascii="仿宋_GB2312" w:hAnsi="仿宋_GB2312" w:cs="仿宋_GB2312"/>
          <w:color w:val="auto"/>
          <w:highlight w:val="none"/>
          <w:lang w:val="en-US" w:eastAsia="zh-CN"/>
        </w:rPr>
        <w:t>260</w:t>
      </w:r>
      <w:r>
        <w:rPr>
          <w:rFonts w:hint="eastAsia" w:ascii="仿宋_GB2312" w:hAnsi="仿宋_GB2312" w:eastAsia="仿宋_GB2312" w:cs="仿宋_GB2312"/>
          <w:color w:val="auto"/>
          <w:highlight w:val="none"/>
          <w:lang w:eastAsia="zh-CN"/>
        </w:rPr>
        <w:t>万元</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根据实际工作需求，</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应选派业务熟练、经验丰富的人员提供</w:t>
      </w:r>
      <w:r>
        <w:rPr>
          <w:rFonts w:hint="eastAsia" w:ascii="仿宋_GB2312" w:hAnsi="仿宋_GB2312" w:eastAsia="仿宋_GB2312" w:cs="仿宋_GB2312"/>
          <w:color w:val="auto"/>
          <w:lang w:val="en-US" w:eastAsia="zh-CN"/>
        </w:rPr>
        <w:t>非执法类辅助服务人员，服务质量、标准必须满足采购人要求。</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eastAsia="en-US"/>
        </w:rPr>
      </w:pPr>
      <w:bookmarkStart w:id="19" w:name="_Toc4869"/>
      <w:bookmarkStart w:id="20" w:name="_Toc16299"/>
      <w:r>
        <w:rPr>
          <w:rFonts w:hint="eastAsia" w:ascii="仿宋_GB2312" w:hAnsi="仿宋_GB2312" w:eastAsia="仿宋_GB2312" w:cs="仿宋_GB2312"/>
          <w:bCs/>
          <w:i w:val="0"/>
          <w:iCs w:val="0"/>
          <w:color w:val="auto"/>
          <w:kern w:val="0"/>
          <w:sz w:val="28"/>
          <w:szCs w:val="28"/>
          <w:lang w:eastAsia="en-US"/>
        </w:rPr>
        <w:t>1.</w:t>
      </w:r>
      <w:r>
        <w:rPr>
          <w:rFonts w:hint="eastAsia" w:ascii="仿宋_GB2312" w:hAnsi="仿宋_GB2312" w:eastAsia="仿宋_GB2312" w:cs="仿宋_GB2312"/>
          <w:bCs/>
          <w:i w:val="0"/>
          <w:iCs w:val="0"/>
          <w:color w:val="auto"/>
          <w:kern w:val="0"/>
          <w:sz w:val="28"/>
          <w:szCs w:val="28"/>
          <w:lang w:val="en-US" w:eastAsia="zh-CN"/>
        </w:rPr>
        <w:t>2.2</w:t>
      </w:r>
      <w:r>
        <w:rPr>
          <w:rFonts w:hint="eastAsia" w:ascii="仿宋_GB2312" w:hAnsi="仿宋_GB2312" w:eastAsia="仿宋_GB2312" w:cs="仿宋_GB2312"/>
          <w:bCs/>
          <w:i w:val="0"/>
          <w:iCs w:val="0"/>
          <w:color w:val="auto"/>
          <w:kern w:val="0"/>
          <w:sz w:val="28"/>
          <w:szCs w:val="28"/>
          <w:lang w:eastAsia="en-US"/>
        </w:rPr>
        <w:t>项目实施要求</w:t>
      </w:r>
      <w:bookmarkEnd w:id="19"/>
      <w:bookmarkEnd w:id="20"/>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2"/>
        <w:rPr>
          <w:rFonts w:hint="eastAsia" w:ascii="仿宋_GB2312" w:hAnsi="仿宋_GB2312" w:eastAsia="仿宋_GB2312" w:cs="仿宋_GB2312"/>
          <w:bCs/>
          <w:i w:val="0"/>
          <w:iCs w:val="0"/>
          <w:color w:val="auto"/>
          <w:kern w:val="0"/>
          <w:sz w:val="28"/>
          <w:szCs w:val="28"/>
          <w:lang w:eastAsia="zh-CN"/>
        </w:rPr>
      </w:pPr>
      <w:bookmarkStart w:id="21" w:name="_Toc1233"/>
      <w:bookmarkStart w:id="22" w:name="_Toc20087"/>
      <w:bookmarkStart w:id="23" w:name="_Toc4311"/>
      <w:bookmarkStart w:id="24" w:name="_Toc18607"/>
      <w:bookmarkStart w:id="25" w:name="_Toc73"/>
      <w:bookmarkStart w:id="26" w:name="_Toc27813"/>
      <w:bookmarkStart w:id="27" w:name="_Toc12424"/>
      <w:bookmarkStart w:id="28" w:name="_Toc22608"/>
      <w:bookmarkStart w:id="29" w:name="_Toc14940"/>
      <w:r>
        <w:rPr>
          <w:rFonts w:hint="eastAsia" w:ascii="仿宋_GB2312" w:hAnsi="仿宋_GB2312" w:eastAsia="仿宋_GB2312" w:cs="仿宋_GB2312"/>
          <w:bCs/>
          <w:i w:val="0"/>
          <w:iCs w:val="0"/>
          <w:color w:val="auto"/>
          <w:kern w:val="0"/>
          <w:sz w:val="28"/>
          <w:szCs w:val="28"/>
          <w:lang w:eastAsia="en-US"/>
        </w:rPr>
        <w:t>1.</w:t>
      </w:r>
      <w:r>
        <w:rPr>
          <w:rFonts w:hint="eastAsia" w:ascii="仿宋_GB2312" w:hAnsi="仿宋_GB2312" w:eastAsia="仿宋_GB2312" w:cs="仿宋_GB2312"/>
          <w:bCs/>
          <w:i w:val="0"/>
          <w:iCs w:val="0"/>
          <w:color w:val="auto"/>
          <w:kern w:val="0"/>
          <w:sz w:val="28"/>
          <w:szCs w:val="28"/>
          <w:lang w:val="en-US" w:eastAsia="zh-CN"/>
        </w:rPr>
        <w:t>2.2</w:t>
      </w:r>
      <w:r>
        <w:rPr>
          <w:rFonts w:hint="eastAsia" w:ascii="仿宋_GB2312" w:hAnsi="仿宋_GB2312" w:eastAsia="仿宋_GB2312" w:cs="仿宋_GB2312"/>
          <w:bCs/>
          <w:i w:val="0"/>
          <w:iCs w:val="0"/>
          <w:color w:val="auto"/>
          <w:kern w:val="0"/>
          <w:sz w:val="28"/>
          <w:szCs w:val="28"/>
          <w:lang w:eastAsia="en-US"/>
        </w:rPr>
        <w:t>.1实施范围</w:t>
      </w:r>
      <w:r>
        <w:rPr>
          <w:rFonts w:hint="eastAsia" w:ascii="仿宋_GB2312" w:hAnsi="仿宋_GB2312" w:eastAsia="仿宋_GB2312" w:cs="仿宋_GB2312"/>
          <w:bCs/>
          <w:i w:val="0"/>
          <w:iCs w:val="0"/>
          <w:color w:val="auto"/>
          <w:kern w:val="0"/>
          <w:sz w:val="28"/>
          <w:szCs w:val="28"/>
          <w:lang w:eastAsia="zh-CN"/>
        </w:rPr>
        <w:t>要求</w:t>
      </w:r>
      <w:bookmarkEnd w:id="21"/>
      <w:bookmarkEnd w:id="22"/>
      <w:bookmarkEnd w:id="23"/>
      <w:bookmarkEnd w:id="24"/>
      <w:bookmarkEnd w:id="25"/>
      <w:bookmarkEnd w:id="26"/>
      <w:bookmarkEnd w:id="27"/>
      <w:bookmarkEnd w:id="28"/>
      <w:bookmarkEnd w:id="29"/>
    </w:p>
    <w:p>
      <w:pPr>
        <w:pStyle w:val="6"/>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2"/>
        <w:rPr>
          <w:rFonts w:hint="eastAsia" w:ascii="仿宋_GB2312" w:hAnsi="仿宋_GB2312" w:eastAsia="仿宋_GB2312" w:cs="仿宋_GB2312"/>
          <w:b w:val="0"/>
          <w:color w:val="auto"/>
          <w:kern w:val="2"/>
          <w:sz w:val="28"/>
          <w:szCs w:val="24"/>
          <w:lang w:val="en-US" w:eastAsia="zh-CN" w:bidi="ar-SA"/>
        </w:rPr>
      </w:pPr>
      <w:bookmarkStart w:id="30" w:name="_Toc9495"/>
      <w:bookmarkStart w:id="31" w:name="_Toc30892"/>
      <w:bookmarkStart w:id="32" w:name="_Toc25535"/>
      <w:bookmarkStart w:id="33" w:name="_Toc20525"/>
      <w:bookmarkStart w:id="34" w:name="_Toc32500"/>
      <w:bookmarkStart w:id="35" w:name="_Toc30275"/>
      <w:bookmarkStart w:id="36" w:name="_Toc16148"/>
      <w:bookmarkStart w:id="37" w:name="_Toc23395"/>
      <w:r>
        <w:rPr>
          <w:rFonts w:hint="eastAsia" w:ascii="仿宋_GB2312" w:hAnsi="仿宋_GB2312" w:eastAsia="仿宋_GB2312" w:cs="仿宋_GB2312"/>
          <w:b w:val="0"/>
          <w:color w:val="auto"/>
          <w:kern w:val="2"/>
          <w:sz w:val="28"/>
          <w:szCs w:val="24"/>
          <w:lang w:val="en-US" w:eastAsia="zh-CN" w:bidi="ar-SA"/>
        </w:rPr>
        <w:t>国家税务总局库尔勒市税务局第一税务分局（办税服务厅）</w:t>
      </w:r>
    </w:p>
    <w:p>
      <w:pPr>
        <w:pStyle w:val="6"/>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2"/>
        <w:rPr>
          <w:rFonts w:hint="eastAsia" w:ascii="仿宋_GB2312" w:hAnsi="仿宋_GB2312" w:eastAsia="仿宋_GB2312" w:cs="仿宋_GB2312"/>
          <w:bCs/>
          <w:i w:val="0"/>
          <w:iCs w:val="0"/>
          <w:color w:val="auto"/>
          <w:kern w:val="0"/>
          <w:sz w:val="28"/>
          <w:szCs w:val="28"/>
          <w:lang w:eastAsia="en-US"/>
        </w:rPr>
      </w:pPr>
      <w:r>
        <w:rPr>
          <w:rFonts w:hint="eastAsia" w:ascii="仿宋_GB2312" w:hAnsi="仿宋_GB2312" w:eastAsia="仿宋_GB2312" w:cs="仿宋_GB2312"/>
          <w:bCs/>
          <w:i w:val="0"/>
          <w:iCs w:val="0"/>
          <w:color w:val="auto"/>
          <w:kern w:val="0"/>
          <w:sz w:val="28"/>
          <w:szCs w:val="28"/>
          <w:lang w:eastAsia="en-US"/>
        </w:rPr>
        <w:t>1.</w:t>
      </w:r>
      <w:r>
        <w:rPr>
          <w:rFonts w:hint="eastAsia" w:ascii="仿宋_GB2312" w:hAnsi="仿宋_GB2312" w:eastAsia="仿宋_GB2312" w:cs="仿宋_GB2312"/>
          <w:bCs/>
          <w:i w:val="0"/>
          <w:iCs w:val="0"/>
          <w:color w:val="auto"/>
          <w:kern w:val="0"/>
          <w:sz w:val="28"/>
          <w:szCs w:val="28"/>
          <w:lang w:val="en-US" w:eastAsia="zh-CN"/>
        </w:rPr>
        <w:t>2.2</w:t>
      </w:r>
      <w:r>
        <w:rPr>
          <w:rFonts w:hint="eastAsia" w:ascii="仿宋_GB2312" w:hAnsi="仿宋_GB2312" w:eastAsia="仿宋_GB2312" w:cs="仿宋_GB2312"/>
          <w:bCs/>
          <w:i w:val="0"/>
          <w:iCs w:val="0"/>
          <w:color w:val="auto"/>
          <w:kern w:val="0"/>
          <w:sz w:val="28"/>
          <w:szCs w:val="28"/>
          <w:lang w:eastAsia="en-US"/>
        </w:rPr>
        <w:t>.2实施时间</w:t>
      </w:r>
      <w:bookmarkEnd w:id="30"/>
      <w:bookmarkEnd w:id="31"/>
      <w:bookmarkEnd w:id="32"/>
      <w:bookmarkEnd w:id="33"/>
      <w:bookmarkEnd w:id="34"/>
      <w:bookmarkEnd w:id="35"/>
      <w:bookmarkEnd w:id="36"/>
      <w:bookmarkEnd w:id="37"/>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4"/>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37" w:type="pct"/>
            <w:shd w:val="clear" w:color="auto" w:fill="CFCECE" w:themeFill="background2" w:themeFillShade="E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eastAsia="zh-CN"/>
              </w:rPr>
              <w:t>单位</w:t>
            </w:r>
            <w:r>
              <w:rPr>
                <w:rFonts w:hint="eastAsia" w:ascii="仿宋_GB2312" w:hAnsi="仿宋_GB2312" w:cs="仿宋_GB2312"/>
                <w:color w:val="auto"/>
                <w:sz w:val="21"/>
                <w:szCs w:val="21"/>
                <w:highlight w:val="none"/>
                <w:vertAlign w:val="baseline"/>
                <w:lang w:val="en-US" w:eastAsia="zh-CN"/>
              </w:rPr>
              <w:t>名称</w:t>
            </w:r>
          </w:p>
        </w:tc>
        <w:tc>
          <w:tcPr>
            <w:tcW w:w="2362" w:type="pct"/>
            <w:shd w:val="clear" w:color="auto" w:fill="CFCECE" w:themeFill="background2" w:themeFillShade="E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637"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国家税务总局库尔勒市税务局</w:t>
            </w:r>
          </w:p>
        </w:tc>
        <w:tc>
          <w:tcPr>
            <w:tcW w:w="2362"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2025年1</w:t>
            </w:r>
            <w:r>
              <w:rPr>
                <w:rFonts w:hint="eastAsia" w:ascii="仿宋_GB2312" w:hAnsi="仿宋_GB2312" w:cs="仿宋_GB2312"/>
                <w:color w:val="auto"/>
                <w:sz w:val="21"/>
                <w:szCs w:val="21"/>
                <w:highlight w:val="none"/>
                <w:vertAlign w:val="baseline"/>
                <w:lang w:val="en-US" w:eastAsia="zh-CN"/>
              </w:rPr>
              <w:t>1</w:t>
            </w:r>
            <w:r>
              <w:rPr>
                <w:rFonts w:hint="eastAsia" w:ascii="仿宋_GB2312" w:hAnsi="仿宋_GB2312" w:eastAsia="仿宋_GB2312" w:cs="仿宋_GB2312"/>
                <w:color w:val="auto"/>
                <w:sz w:val="21"/>
                <w:szCs w:val="21"/>
                <w:highlight w:val="none"/>
                <w:vertAlign w:val="baseline"/>
                <w:lang w:val="en-US" w:eastAsia="zh-CN"/>
              </w:rPr>
              <w:t>月</w:t>
            </w:r>
            <w:r>
              <w:rPr>
                <w:rFonts w:hint="eastAsia" w:ascii="仿宋_GB2312" w:hAnsi="仿宋_GB2312" w:cs="仿宋_GB2312"/>
                <w:color w:val="auto"/>
                <w:sz w:val="21"/>
                <w:szCs w:val="21"/>
                <w:highlight w:val="none"/>
                <w:vertAlign w:val="baseline"/>
                <w:lang w:val="en-US" w:eastAsia="zh-CN"/>
              </w:rPr>
              <w:t>8</w:t>
            </w:r>
            <w:r>
              <w:rPr>
                <w:rFonts w:hint="eastAsia" w:ascii="仿宋_GB2312" w:hAnsi="仿宋_GB2312" w:eastAsia="仿宋_GB2312" w:cs="仿宋_GB2312"/>
                <w:color w:val="auto"/>
                <w:sz w:val="21"/>
                <w:szCs w:val="21"/>
                <w:highlight w:val="none"/>
                <w:vertAlign w:val="baseline"/>
                <w:lang w:val="en-US" w:eastAsia="zh-CN"/>
              </w:rPr>
              <w:t>日-2026年</w:t>
            </w:r>
            <w:r>
              <w:rPr>
                <w:rFonts w:hint="eastAsia" w:ascii="仿宋_GB2312" w:hAnsi="仿宋_GB2312" w:cs="仿宋_GB2312"/>
                <w:color w:val="auto"/>
                <w:sz w:val="21"/>
                <w:szCs w:val="21"/>
                <w:highlight w:val="none"/>
                <w:vertAlign w:val="baseline"/>
                <w:lang w:val="en-US" w:eastAsia="zh-CN"/>
              </w:rPr>
              <w:t>11</w:t>
            </w:r>
            <w:r>
              <w:rPr>
                <w:rFonts w:hint="eastAsia" w:ascii="仿宋_GB2312" w:hAnsi="仿宋_GB2312" w:eastAsia="仿宋_GB2312" w:cs="仿宋_GB2312"/>
                <w:color w:val="auto"/>
                <w:sz w:val="21"/>
                <w:szCs w:val="21"/>
                <w:highlight w:val="none"/>
                <w:vertAlign w:val="baseline"/>
                <w:lang w:val="en-US" w:eastAsia="zh-CN"/>
              </w:rPr>
              <w:t>月</w:t>
            </w:r>
            <w:r>
              <w:rPr>
                <w:rFonts w:hint="eastAsia" w:ascii="仿宋_GB2312" w:hAnsi="仿宋_GB2312" w:cs="仿宋_GB2312"/>
                <w:color w:val="auto"/>
                <w:sz w:val="21"/>
                <w:szCs w:val="21"/>
                <w:highlight w:val="none"/>
                <w:vertAlign w:val="baseline"/>
                <w:lang w:val="en-US" w:eastAsia="zh-CN"/>
              </w:rPr>
              <w:t>7</w:t>
            </w:r>
            <w:r>
              <w:rPr>
                <w:rFonts w:hint="eastAsia" w:ascii="仿宋_GB2312" w:hAnsi="仿宋_GB2312" w:eastAsia="仿宋_GB2312" w:cs="仿宋_GB2312"/>
                <w:color w:val="auto"/>
                <w:sz w:val="21"/>
                <w:szCs w:val="21"/>
                <w:highlight w:val="none"/>
                <w:vertAlign w:val="baseline"/>
                <w:lang w:val="en-US" w:eastAsia="zh-CN"/>
              </w:rPr>
              <w:t>日</w:t>
            </w:r>
          </w:p>
        </w:tc>
      </w:tr>
    </w:tbl>
    <w:p>
      <w:pPr>
        <w:pStyle w:val="6"/>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2"/>
        <w:rPr>
          <w:rFonts w:hint="eastAsia" w:ascii="仿宋_GB2312" w:hAnsi="仿宋_GB2312" w:eastAsia="仿宋_GB2312" w:cs="仿宋_GB2312"/>
          <w:bCs/>
          <w:i w:val="0"/>
          <w:iCs w:val="0"/>
          <w:color w:val="auto"/>
          <w:kern w:val="0"/>
          <w:sz w:val="28"/>
          <w:szCs w:val="28"/>
          <w:lang w:eastAsia="en-US"/>
        </w:rPr>
      </w:pPr>
      <w:bookmarkStart w:id="38" w:name="_Toc23486"/>
      <w:bookmarkStart w:id="39" w:name="_Toc13779"/>
      <w:bookmarkStart w:id="40" w:name="_Toc26258"/>
      <w:bookmarkStart w:id="41" w:name="_Toc630"/>
      <w:bookmarkStart w:id="42" w:name="_Toc6661"/>
      <w:bookmarkStart w:id="43" w:name="_Toc25699"/>
      <w:bookmarkStart w:id="44" w:name="_Toc19512"/>
      <w:bookmarkStart w:id="45" w:name="_Toc5191"/>
      <w:r>
        <w:rPr>
          <w:rFonts w:hint="eastAsia" w:ascii="仿宋_GB2312" w:hAnsi="仿宋_GB2312" w:eastAsia="仿宋_GB2312" w:cs="仿宋_GB2312"/>
          <w:bCs/>
          <w:i w:val="0"/>
          <w:iCs w:val="0"/>
          <w:color w:val="auto"/>
          <w:kern w:val="0"/>
          <w:sz w:val="28"/>
          <w:szCs w:val="28"/>
          <w:lang w:eastAsia="en-US"/>
        </w:rPr>
        <w:t>1.</w:t>
      </w:r>
      <w:r>
        <w:rPr>
          <w:rFonts w:hint="eastAsia" w:ascii="仿宋_GB2312" w:hAnsi="仿宋_GB2312" w:eastAsia="仿宋_GB2312" w:cs="仿宋_GB2312"/>
          <w:bCs/>
          <w:i w:val="0"/>
          <w:iCs w:val="0"/>
          <w:color w:val="auto"/>
          <w:kern w:val="0"/>
          <w:sz w:val="28"/>
          <w:szCs w:val="28"/>
          <w:lang w:val="en-US" w:eastAsia="zh-CN"/>
        </w:rPr>
        <w:t>2.2</w:t>
      </w:r>
      <w:r>
        <w:rPr>
          <w:rFonts w:hint="eastAsia" w:ascii="仿宋_GB2312" w:hAnsi="仿宋_GB2312" w:eastAsia="仿宋_GB2312" w:cs="仿宋_GB2312"/>
          <w:bCs/>
          <w:i w:val="0"/>
          <w:iCs w:val="0"/>
          <w:color w:val="auto"/>
          <w:kern w:val="0"/>
          <w:sz w:val="28"/>
          <w:szCs w:val="28"/>
          <w:lang w:eastAsia="en-US"/>
        </w:rPr>
        <w:t>.3实施地点</w:t>
      </w:r>
      <w:bookmarkEnd w:id="38"/>
      <w:bookmarkEnd w:id="39"/>
      <w:bookmarkEnd w:id="40"/>
      <w:bookmarkEnd w:id="41"/>
      <w:bookmarkEnd w:id="42"/>
      <w:bookmarkEnd w:id="43"/>
      <w:bookmarkEnd w:id="44"/>
      <w:bookmarkEnd w:id="45"/>
    </w:p>
    <w:p>
      <w:pPr>
        <w:rPr>
          <w:rFonts w:hint="eastAsia" w:ascii="仿宋_GB2312" w:hAnsi="仿宋_GB2312" w:eastAsia="仿宋_GB2312" w:cs="仿宋_GB2312"/>
          <w:bCs/>
          <w:i w:val="0"/>
          <w:iCs w:val="0"/>
          <w:color w:val="auto"/>
          <w:kern w:val="0"/>
          <w:sz w:val="28"/>
          <w:szCs w:val="28"/>
          <w:lang w:eastAsia="en-US"/>
        </w:rPr>
      </w:pPr>
    </w:p>
    <w:p>
      <w:pPr>
        <w:rPr>
          <w:rFonts w:hint="eastAsia" w:ascii="仿宋_GB2312" w:hAnsi="仿宋_GB2312" w:eastAsia="仿宋_GB2312" w:cs="仿宋_GB2312"/>
          <w:bCs/>
          <w:i w:val="0"/>
          <w:iCs w:val="0"/>
          <w:color w:val="auto"/>
          <w:kern w:val="0"/>
          <w:sz w:val="28"/>
          <w:szCs w:val="28"/>
          <w:lang w:eastAsia="en-US"/>
        </w:rPr>
      </w:pPr>
    </w:p>
    <w:tbl>
      <w:tblPr>
        <w:tblStyle w:val="19"/>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5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2929" w:type="dxa"/>
            <w:shd w:val="clear" w:color="auto" w:fill="CFCECE" w:themeFill="background2" w:themeFillShade="E5"/>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top"/>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eastAsia="zh-CN"/>
              </w:rPr>
              <w:t>单位</w:t>
            </w:r>
            <w:r>
              <w:rPr>
                <w:rFonts w:hint="eastAsia" w:ascii="仿宋_GB2312" w:hAnsi="仿宋_GB2312" w:cs="仿宋_GB2312"/>
                <w:b w:val="0"/>
                <w:bCs/>
                <w:color w:val="auto"/>
                <w:sz w:val="21"/>
                <w:szCs w:val="21"/>
                <w:lang w:val="en-US" w:eastAsia="zh-CN"/>
              </w:rPr>
              <w:t>名称</w:t>
            </w:r>
          </w:p>
        </w:tc>
        <w:tc>
          <w:tcPr>
            <w:tcW w:w="5615" w:type="dxa"/>
            <w:shd w:val="clear" w:color="auto" w:fill="CFCECE" w:themeFill="background2" w:themeFillShade="E5"/>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sz w:val="21"/>
                <w:szCs w:val="21"/>
                <w:lang w:eastAsia="zh-CN"/>
              </w:rPr>
            </w:pPr>
            <w:r>
              <w:rPr>
                <w:rFonts w:hint="eastAsia" w:ascii="仿宋_GB2312" w:hAnsi="仿宋_GB2312" w:eastAsia="仿宋_GB2312" w:cs="仿宋_GB2312"/>
                <w:iCs/>
                <w:color w:val="auto"/>
                <w:sz w:val="21"/>
                <w:szCs w:val="21"/>
                <w:lang w:eastAsia="zh-CN"/>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exact"/>
        </w:trPr>
        <w:tc>
          <w:tcPr>
            <w:tcW w:w="292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sz w:val="21"/>
                <w:szCs w:val="21"/>
              </w:rPr>
            </w:pPr>
            <w:r>
              <w:rPr>
                <w:rFonts w:hint="eastAsia" w:ascii="仿宋_GB2312" w:hAnsi="仿宋_GB2312" w:eastAsia="仿宋_GB2312" w:cs="仿宋_GB2312"/>
                <w:color w:val="auto"/>
                <w:sz w:val="21"/>
                <w:szCs w:val="21"/>
                <w:highlight w:val="none"/>
                <w:vertAlign w:val="baseline"/>
                <w:lang w:eastAsia="zh-CN"/>
              </w:rPr>
              <w:t>国家税务总局库尔勒市税务局</w:t>
            </w:r>
          </w:p>
        </w:tc>
        <w:tc>
          <w:tcPr>
            <w:tcW w:w="561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sz w:val="21"/>
                <w:szCs w:val="21"/>
              </w:rPr>
            </w:pPr>
            <w:r>
              <w:rPr>
                <w:rFonts w:hint="eastAsia" w:ascii="仿宋_GB2312" w:hAnsi="仿宋_GB2312" w:eastAsia="仿宋_GB2312" w:cs="仿宋_GB2312"/>
                <w:iCs/>
                <w:color w:val="auto"/>
                <w:sz w:val="21"/>
                <w:szCs w:val="21"/>
              </w:rPr>
              <w:t>1.</w:t>
            </w:r>
            <w:r>
              <w:rPr>
                <w:rFonts w:hint="eastAsia" w:ascii="仿宋_GB2312" w:hAnsi="仿宋_GB2312" w:cs="仿宋_GB2312"/>
                <w:iCs/>
                <w:color w:val="auto"/>
                <w:sz w:val="21"/>
                <w:szCs w:val="21"/>
                <w:lang w:eastAsia="zh-CN"/>
              </w:rPr>
              <w:t>延安路州市行政服务中心二楼办税服务厅</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sz w:val="21"/>
                <w:szCs w:val="21"/>
              </w:rPr>
            </w:pPr>
            <w:r>
              <w:rPr>
                <w:rFonts w:hint="eastAsia" w:ascii="仿宋_GB2312" w:hAnsi="仿宋_GB2312" w:eastAsia="仿宋_GB2312" w:cs="仿宋_GB2312"/>
                <w:iCs/>
                <w:color w:val="auto"/>
                <w:sz w:val="21"/>
                <w:szCs w:val="21"/>
              </w:rPr>
              <w:t>2.延安路不动产二级交易市场办税服务延伸点</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iCs/>
                <w:color w:val="auto"/>
                <w:sz w:val="21"/>
                <w:szCs w:val="21"/>
              </w:rPr>
              <w:t>3.</w:t>
            </w:r>
            <w:r>
              <w:rPr>
                <w:rFonts w:hint="eastAsia" w:ascii="仿宋_GB2312" w:hAnsi="仿宋_GB2312" w:cs="仿宋_GB2312"/>
                <w:iCs/>
                <w:color w:val="auto"/>
                <w:sz w:val="21"/>
                <w:szCs w:val="21"/>
                <w:lang w:eastAsia="zh-CN"/>
              </w:rPr>
              <w:t>塔指西路</w:t>
            </w:r>
            <w:r>
              <w:rPr>
                <w:rFonts w:hint="eastAsia" w:ascii="仿宋_GB2312" w:hAnsi="仿宋_GB2312" w:cs="仿宋_GB2312"/>
                <w:iCs/>
                <w:color w:val="auto"/>
                <w:sz w:val="21"/>
                <w:szCs w:val="21"/>
                <w:lang w:val="en-US" w:eastAsia="zh-CN"/>
              </w:rPr>
              <w:t>88号塔指西路</w:t>
            </w:r>
            <w:r>
              <w:rPr>
                <w:rFonts w:hint="eastAsia" w:ascii="仿宋_GB2312" w:hAnsi="仿宋_GB2312" w:eastAsia="仿宋_GB2312" w:cs="仿宋_GB2312"/>
                <w:iCs/>
                <w:color w:val="auto"/>
                <w:sz w:val="21"/>
                <w:szCs w:val="21"/>
              </w:rPr>
              <w:t>办公区办税服务延伸点</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sz w:val="21"/>
                <w:szCs w:val="21"/>
              </w:rPr>
            </w:pPr>
            <w:r>
              <w:rPr>
                <w:rFonts w:hint="eastAsia" w:ascii="仿宋_GB2312" w:hAnsi="仿宋_GB2312" w:cs="仿宋_GB2312"/>
                <w:iCs/>
                <w:color w:val="auto"/>
                <w:sz w:val="21"/>
                <w:szCs w:val="21"/>
                <w:lang w:val="en-US" w:eastAsia="zh-CN"/>
              </w:rPr>
              <w:t>4.</w:t>
            </w:r>
            <w:r>
              <w:rPr>
                <w:rFonts w:hint="eastAsia" w:ascii="仿宋_GB2312" w:hAnsi="仿宋_GB2312" w:cs="仿宋_GB2312"/>
                <w:iCs/>
                <w:color w:val="auto"/>
                <w:sz w:val="21"/>
                <w:szCs w:val="21"/>
                <w:lang w:eastAsia="zh-CN"/>
              </w:rPr>
              <w:t>巴音东路10号萨依巴格税务所</w:t>
            </w:r>
            <w:r>
              <w:rPr>
                <w:rFonts w:hint="eastAsia" w:ascii="仿宋_GB2312" w:hAnsi="仿宋_GB2312" w:eastAsia="仿宋_GB2312" w:cs="仿宋_GB2312"/>
                <w:iCs/>
                <w:color w:val="auto"/>
                <w:sz w:val="21"/>
                <w:szCs w:val="21"/>
              </w:rPr>
              <w:t>办税服务延伸点</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iCs/>
                <w:color w:val="auto"/>
                <w:sz w:val="21"/>
                <w:szCs w:val="21"/>
                <w:lang w:val="en-US" w:eastAsia="zh-CN"/>
              </w:rPr>
              <w:t>5.索克巴格路社保大厦办税服务延伸点</w:t>
            </w: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46" w:name="_Toc958"/>
      <w:bookmarkStart w:id="47" w:name="_Toc7553"/>
      <w:r>
        <w:rPr>
          <w:rFonts w:hint="eastAsia" w:ascii="仿宋_GB2312" w:hAnsi="仿宋_GB2312" w:eastAsia="仿宋_GB2312" w:cs="仿宋_GB2312"/>
          <w:b/>
          <w:bCs/>
          <w:color w:val="auto"/>
          <w:kern w:val="36"/>
          <w:sz w:val="32"/>
          <w:szCs w:val="32"/>
          <w:lang w:eastAsia="en-US"/>
        </w:rPr>
        <w:t>2投标/响应要求</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_GB2312" w:hAnsi="仿宋_GB2312" w:eastAsia="仿宋_GB2312" w:cs="仿宋_GB2312"/>
          <w:b/>
          <w:bCs/>
          <w:color w:val="auto"/>
          <w:lang w:eastAsia="zh-CN"/>
        </w:rPr>
      </w:pPr>
      <w:bookmarkStart w:id="48" w:name="_Toc25641"/>
      <w:bookmarkStart w:id="49" w:name="_Toc18170"/>
      <w:r>
        <w:rPr>
          <w:rFonts w:hint="eastAsia" w:ascii="仿宋_GB2312" w:hAnsi="仿宋_GB2312" w:eastAsia="仿宋_GB2312" w:cs="仿宋_GB2312"/>
          <w:b/>
          <w:bCs/>
          <w:color w:val="auto"/>
          <w:lang w:eastAsia="en-US"/>
        </w:rPr>
        <w:t>2.1</w:t>
      </w:r>
      <w:r>
        <w:rPr>
          <w:rFonts w:hint="eastAsia" w:ascii="仿宋_GB2312" w:hAnsi="仿宋_GB2312" w:eastAsia="仿宋_GB2312" w:cs="仿宋_GB2312"/>
          <w:b/>
          <w:bCs/>
          <w:color w:val="auto"/>
          <w:lang w:eastAsia="zh-CN"/>
        </w:rPr>
        <w:t>对供应商的要求</w:t>
      </w:r>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val="en-US" w:eastAsia="zh-CN"/>
        </w:rPr>
      </w:pPr>
      <w:bookmarkStart w:id="50" w:name="_Toc12997"/>
      <w:bookmarkStart w:id="51" w:name="_Toc31712"/>
      <w:r>
        <w:rPr>
          <w:rFonts w:hint="eastAsia" w:ascii="仿宋_GB2312" w:hAnsi="仿宋_GB2312" w:eastAsia="仿宋_GB2312" w:cs="仿宋_GB2312"/>
          <w:b/>
          <w:bCs/>
          <w:color w:val="auto"/>
          <w:lang w:val="en-US" w:eastAsia="zh-CN"/>
        </w:rPr>
        <w:t>2.1.1必备资质</w:t>
      </w:r>
      <w:bookmarkEnd w:id="50"/>
      <w:bookmarkEnd w:id="51"/>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供应商应遵守有关国家法律法规和条例，国家有关规定或者招标文件对供应商资格条件有要求的，供应商应当具备规定的资格条件。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val="en-US" w:eastAsia="zh-CN"/>
        </w:rPr>
      </w:pPr>
      <w:bookmarkStart w:id="52" w:name="_Toc28777"/>
      <w:bookmarkStart w:id="53" w:name="_Toc10767"/>
      <w:r>
        <w:rPr>
          <w:rFonts w:hint="eastAsia" w:ascii="仿宋_GB2312" w:hAnsi="仿宋_GB2312" w:eastAsia="仿宋_GB2312" w:cs="仿宋_GB2312"/>
          <w:b/>
          <w:bCs/>
          <w:color w:val="auto"/>
          <w:lang w:val="en-US" w:eastAsia="zh-CN"/>
        </w:rPr>
        <w:t>2.1.2资质/优选指标</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2"/>
        <w:rPr>
          <w:rFonts w:hint="eastAsia" w:ascii="仿宋_GB2312" w:hAnsi="仿宋_GB2312" w:eastAsia="仿宋_GB2312" w:cs="仿宋_GB2312"/>
          <w:b/>
          <w:bCs/>
          <w:color w:val="auto"/>
          <w:lang w:val="en-US" w:eastAsia="zh-CN"/>
        </w:rPr>
      </w:pPr>
      <w:bookmarkStart w:id="54" w:name="_Toc17573"/>
      <w:bookmarkStart w:id="55" w:name="_Toc7650"/>
      <w:bookmarkStart w:id="56" w:name="_Toc8696"/>
      <w:bookmarkStart w:id="57" w:name="_Toc10437"/>
      <w:bookmarkStart w:id="58" w:name="_Toc23539"/>
      <w:bookmarkStart w:id="59" w:name="_Toc1510"/>
      <w:bookmarkStart w:id="60" w:name="_Toc18307"/>
      <w:bookmarkStart w:id="61" w:name="_Toc20893"/>
      <w:r>
        <w:rPr>
          <w:rFonts w:hint="eastAsia" w:ascii="仿宋_GB2312" w:hAnsi="仿宋_GB2312" w:eastAsia="仿宋_GB2312" w:cs="仿宋_GB2312"/>
          <w:b/>
          <w:bCs/>
          <w:color w:val="auto"/>
          <w:lang w:val="en-US" w:eastAsia="zh-CN"/>
        </w:rPr>
        <w:t>2.1.2.1相关证书</w:t>
      </w:r>
      <w:bookmarkEnd w:id="54"/>
      <w:bookmarkEnd w:id="55"/>
      <w:bookmarkEnd w:id="56"/>
      <w:bookmarkEnd w:id="57"/>
      <w:bookmarkEnd w:id="58"/>
      <w:bookmarkEnd w:id="59"/>
      <w:bookmarkEnd w:id="60"/>
      <w:bookmarkEnd w:id="61"/>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bookmarkStart w:id="62" w:name="_Toc15535"/>
      <w:bookmarkStart w:id="63" w:name="_Toc2150"/>
      <w:r>
        <w:rPr>
          <w:rFonts w:hint="eastAsia" w:ascii="仿宋_GB2312" w:hAnsi="仿宋_GB2312" w:eastAsia="仿宋_GB2312" w:cs="仿宋_GB2312"/>
          <w:color w:val="auto"/>
          <w:lang w:val="en-US" w:eastAsia="zh-CN"/>
        </w:rPr>
        <w:t>无。</w:t>
      </w:r>
      <w:bookmarkEnd w:id="62"/>
      <w:bookmarkEnd w:id="63"/>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2"/>
        <w:rPr>
          <w:rFonts w:hint="eastAsia" w:ascii="仿宋_GB2312" w:hAnsi="仿宋_GB2312" w:eastAsia="仿宋_GB2312" w:cs="仿宋_GB2312"/>
          <w:b/>
          <w:bCs/>
          <w:color w:val="auto"/>
          <w:lang w:val="en-US" w:eastAsia="zh-CN"/>
        </w:rPr>
      </w:pPr>
      <w:bookmarkStart w:id="64" w:name="_Toc11475"/>
      <w:bookmarkStart w:id="65" w:name="_Toc10932"/>
      <w:bookmarkStart w:id="66" w:name="_Toc740"/>
      <w:bookmarkStart w:id="67" w:name="_Toc23062"/>
      <w:bookmarkStart w:id="68" w:name="_Toc10067"/>
      <w:bookmarkStart w:id="69" w:name="_Toc9179"/>
      <w:bookmarkStart w:id="70" w:name="_Toc3067"/>
      <w:bookmarkStart w:id="71" w:name="_Toc25219"/>
      <w:r>
        <w:rPr>
          <w:rFonts w:hint="eastAsia" w:ascii="仿宋_GB2312" w:hAnsi="仿宋_GB2312" w:eastAsia="仿宋_GB2312" w:cs="仿宋_GB2312"/>
          <w:b/>
          <w:bCs/>
          <w:color w:val="auto"/>
          <w:lang w:val="en-US" w:eastAsia="zh-CN"/>
        </w:rPr>
        <w:t>2.1.2.2 成功案例</w:t>
      </w:r>
      <w:bookmarkEnd w:id="64"/>
      <w:bookmarkEnd w:id="65"/>
      <w:bookmarkEnd w:id="66"/>
      <w:bookmarkEnd w:id="67"/>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提供202</w:t>
      </w:r>
      <w:r>
        <w:rPr>
          <w:rFonts w:hint="eastAsia" w:ascii="仿宋_GB2312" w:hAnsi="仿宋_GB2312" w:cs="仿宋_GB2312"/>
          <w:color w:val="auto"/>
          <w:lang w:val="en-US" w:eastAsia="zh-CN"/>
        </w:rPr>
        <w:t>2</w:t>
      </w:r>
      <w:r>
        <w:rPr>
          <w:rFonts w:hint="eastAsia" w:ascii="仿宋_GB2312" w:hAnsi="仿宋_GB2312" w:eastAsia="仿宋_GB2312" w:cs="仿宋_GB2312"/>
          <w:color w:val="auto"/>
          <w:lang w:val="en-US" w:eastAsia="zh-CN"/>
        </w:rPr>
        <w:t>年1月1日至投标文件递交截止时间，供应商独立承担的类似案例。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val="en-US" w:eastAsia="zh-CN"/>
        </w:rPr>
      </w:pPr>
      <w:bookmarkStart w:id="72" w:name="_Toc7888"/>
      <w:bookmarkStart w:id="73" w:name="_Toc11521"/>
      <w:r>
        <w:rPr>
          <w:rFonts w:hint="eastAsia" w:ascii="仿宋_GB2312" w:hAnsi="仿宋_GB2312" w:eastAsia="仿宋_GB2312" w:cs="仿宋_GB2312"/>
          <w:b/>
          <w:bCs/>
          <w:color w:val="auto"/>
          <w:lang w:val="en-US" w:eastAsia="zh-CN"/>
        </w:rPr>
        <w:t>2.1.3是否允许联合体投标</w:t>
      </w:r>
      <w:bookmarkEnd w:id="72"/>
      <w:bookmarkEnd w:id="73"/>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val="en-US" w:eastAsia="zh-CN"/>
        </w:rPr>
      </w:pPr>
      <w:bookmarkStart w:id="74" w:name="_Toc20692"/>
      <w:bookmarkStart w:id="75" w:name="_Toc3147"/>
      <w:r>
        <w:rPr>
          <w:rFonts w:hint="eastAsia" w:ascii="仿宋_GB2312" w:hAnsi="仿宋_GB2312" w:eastAsia="仿宋_GB2312" w:cs="仿宋_GB2312"/>
          <w:b/>
          <w:bCs/>
          <w:color w:val="auto"/>
          <w:lang w:val="en-US" w:eastAsia="zh-CN"/>
        </w:rPr>
        <w:t>2.1.4是否专门面向中小企业</w:t>
      </w:r>
      <w:bookmarkEnd w:id="74"/>
      <w:bookmarkEnd w:id="75"/>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val="en-US" w:eastAsia="zh-CN"/>
        </w:rPr>
      </w:pPr>
      <w:bookmarkStart w:id="76" w:name="_Toc8035"/>
      <w:bookmarkStart w:id="77" w:name="_Toc15965"/>
      <w:bookmarkStart w:id="78" w:name="_Toc11714"/>
      <w:r>
        <w:rPr>
          <w:rFonts w:hint="eastAsia" w:ascii="仿宋_GB2312" w:hAnsi="仿宋_GB2312" w:eastAsia="仿宋_GB2312" w:cs="仿宋_GB2312"/>
          <w:b/>
          <w:bCs/>
          <w:color w:val="auto"/>
          <w:lang w:val="en-US" w:eastAsia="zh-CN"/>
        </w:rPr>
        <w:t>2.1.5其他要求</w:t>
      </w:r>
      <w:bookmarkEnd w:id="76"/>
      <w:bookmarkEnd w:id="77"/>
      <w:bookmarkEnd w:id="78"/>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bookmarkStart w:id="79" w:name="_Toc10754"/>
      <w:bookmarkStart w:id="80" w:name="_Toc19101"/>
      <w:r>
        <w:rPr>
          <w:rFonts w:hint="eastAsia" w:ascii="仿宋_GB2312" w:hAnsi="仿宋_GB2312" w:eastAsia="仿宋_GB2312" w:cs="仿宋_GB2312"/>
          <w:color w:val="auto"/>
          <w:lang w:val="en-US" w:eastAsia="zh-CN"/>
        </w:rPr>
        <w:t>（一）</w:t>
      </w:r>
      <w:bookmarkEnd w:id="79"/>
      <w:bookmarkEnd w:id="80"/>
      <w:r>
        <w:rPr>
          <w:rFonts w:hint="eastAsia" w:ascii="仿宋_GB2312" w:hAnsi="仿宋_GB2312" w:cs="仿宋_GB2312"/>
          <w:color w:val="auto"/>
          <w:lang w:val="en-US" w:eastAsia="zh-CN"/>
        </w:rPr>
        <w:t>未</w:t>
      </w:r>
      <w:r>
        <w:rPr>
          <w:rFonts w:hint="eastAsia" w:ascii="宋体" w:hAnsi="宋体" w:cs="宋体"/>
          <w:color w:val="auto"/>
          <w:szCs w:val="21"/>
        </w:rPr>
        <w:t>列入失信被执行人、重大税收违法案件当事人名单、政府采购严重违法失信行为记录名单</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bookmarkStart w:id="81" w:name="_Toc9272"/>
      <w:bookmarkStart w:id="82" w:name="_Toc16165"/>
      <w:r>
        <w:rPr>
          <w:rFonts w:hint="eastAsia" w:ascii="仿宋_GB2312" w:hAnsi="仿宋_GB2312" w:eastAsia="仿宋_GB2312" w:cs="仿宋_GB2312"/>
          <w:color w:val="auto"/>
          <w:lang w:val="en-US" w:eastAsia="zh-CN"/>
        </w:rPr>
        <w:t>★（二）供应商应在合同约定的时间内提供本项目规定的服务，具有本项目服务或实施能力，承诺与本项目需求部门进行积极主动的合作。</w:t>
      </w:r>
      <w:bookmarkEnd w:id="81"/>
      <w:bookmarkEnd w:id="82"/>
      <w:r>
        <w:rPr>
          <w:rFonts w:hint="eastAsia" w:ascii="仿宋_GB2312" w:hAnsi="仿宋_GB2312" w:eastAsia="仿宋_GB2312" w:cs="仿宋_GB2312"/>
          <w:color w:val="auto"/>
          <w:lang w:val="en-US" w:eastAsia="zh-CN"/>
        </w:rPr>
        <w:t>（供应商在参与投标时须提供书面承诺函并加盖单位公章）</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bookmarkStart w:id="83" w:name="_Toc7846"/>
      <w:bookmarkStart w:id="84" w:name="_Toc3683"/>
      <w:r>
        <w:rPr>
          <w:rFonts w:hint="eastAsia" w:ascii="仿宋_GB2312" w:hAnsi="仿宋_GB2312" w:eastAsia="仿宋_GB2312" w:cs="仿宋_GB2312"/>
          <w:color w:val="auto"/>
          <w:lang w:val="en-US" w:eastAsia="zh-CN"/>
        </w:rPr>
        <w:t>（三）</w:t>
      </w:r>
      <w:bookmarkEnd w:id="83"/>
      <w:bookmarkEnd w:id="84"/>
      <w:r>
        <w:rPr>
          <w:rFonts w:hint="eastAsia" w:ascii="仿宋_GB2312" w:hAnsi="仿宋_GB2312" w:eastAsia="仿宋_GB2312" w:cs="仿宋_GB2312"/>
          <w:color w:val="auto"/>
          <w:lang w:val="en-US" w:eastAsia="zh-CN"/>
        </w:rPr>
        <w:t>供应商必须服从国家税务总局</w:t>
      </w:r>
      <w:r>
        <w:rPr>
          <w:rFonts w:hint="eastAsia" w:ascii="仿宋_GB2312" w:hAnsi="仿宋_GB2312" w:cs="仿宋_GB2312"/>
          <w:color w:val="auto"/>
          <w:lang w:val="en-US" w:eastAsia="zh-CN"/>
        </w:rPr>
        <w:t>库尔勒</w:t>
      </w:r>
      <w:r>
        <w:rPr>
          <w:rFonts w:hint="eastAsia" w:ascii="仿宋_GB2312" w:hAnsi="仿宋_GB2312" w:eastAsia="仿宋_GB2312" w:cs="仿宋_GB2312"/>
          <w:color w:val="auto"/>
          <w:lang w:val="en-US" w:eastAsia="zh-CN"/>
        </w:rPr>
        <w:t>市税务</w:t>
      </w:r>
      <w:r>
        <w:rPr>
          <w:rFonts w:hint="eastAsia" w:ascii="仿宋_GB2312" w:hAnsi="仿宋_GB2312" w:cs="仿宋_GB2312"/>
          <w:color w:val="auto"/>
          <w:lang w:val="en-US" w:eastAsia="zh-CN"/>
        </w:rPr>
        <w:t>局</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highlight w:val="none"/>
          <w:lang w:val="en-US" w:eastAsia="zh-CN"/>
        </w:rPr>
        <w:t>协调</w:t>
      </w:r>
      <w:r>
        <w:rPr>
          <w:rFonts w:hint="eastAsia" w:ascii="仿宋_GB2312" w:hAnsi="仿宋_GB2312" w:eastAsia="仿宋_GB2312" w:cs="仿宋_GB2312"/>
          <w:color w:val="auto"/>
          <w:lang w:val="en-US" w:eastAsia="zh-CN"/>
        </w:rPr>
        <w:t>，完成需求中的各项工作。如果不</w:t>
      </w:r>
      <w:r>
        <w:rPr>
          <w:rFonts w:hint="eastAsia" w:ascii="仿宋_GB2312" w:hAnsi="仿宋_GB2312" w:cs="仿宋_GB2312"/>
          <w:color w:val="auto"/>
          <w:lang w:val="en-US" w:eastAsia="zh-CN"/>
        </w:rPr>
        <w:t>配合</w:t>
      </w:r>
      <w:r>
        <w:rPr>
          <w:rFonts w:hint="eastAsia" w:ascii="仿宋_GB2312" w:hAnsi="仿宋_GB2312" w:eastAsia="仿宋_GB2312" w:cs="仿宋_GB2312"/>
          <w:color w:val="auto"/>
          <w:lang w:val="en-US" w:eastAsia="zh-CN"/>
        </w:rPr>
        <w:t>工作，严重影响工作进度、造成严重后果，国家税务总局</w:t>
      </w:r>
      <w:r>
        <w:rPr>
          <w:rFonts w:hint="eastAsia" w:ascii="仿宋_GB2312" w:hAnsi="仿宋_GB2312" w:cs="仿宋_GB2312"/>
          <w:color w:val="auto"/>
          <w:lang w:val="en-US" w:eastAsia="zh-CN"/>
        </w:rPr>
        <w:t>库尔勒</w:t>
      </w:r>
      <w:r>
        <w:rPr>
          <w:rFonts w:hint="eastAsia" w:ascii="仿宋_GB2312" w:hAnsi="仿宋_GB2312" w:eastAsia="仿宋_GB2312" w:cs="仿宋_GB2312"/>
          <w:color w:val="auto"/>
          <w:lang w:val="en-US" w:eastAsia="zh-CN"/>
        </w:rPr>
        <w:t>市税务</w:t>
      </w:r>
      <w:r>
        <w:rPr>
          <w:rFonts w:hint="eastAsia" w:ascii="仿宋_GB2312" w:hAnsi="仿宋_GB2312" w:cs="仿宋_GB2312"/>
          <w:color w:val="auto"/>
          <w:lang w:val="en-US" w:eastAsia="zh-CN"/>
        </w:rPr>
        <w:t>局</w:t>
      </w:r>
      <w:r>
        <w:rPr>
          <w:rFonts w:hint="eastAsia" w:ascii="仿宋_GB2312" w:hAnsi="仿宋_GB2312" w:eastAsia="仿宋_GB2312" w:cs="仿宋_GB2312"/>
          <w:color w:val="auto"/>
          <w:lang w:val="en-US" w:eastAsia="zh-CN"/>
        </w:rPr>
        <w:t>有权终止合同、索赔或拒付款项。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_GB2312" w:hAnsi="仿宋_GB2312" w:eastAsia="仿宋_GB2312" w:cs="仿宋_GB2312"/>
          <w:b/>
          <w:bCs/>
          <w:color w:val="auto"/>
          <w:lang w:eastAsia="en-US"/>
        </w:rPr>
      </w:pPr>
      <w:bookmarkStart w:id="85" w:name="_Toc10756"/>
      <w:bookmarkStart w:id="86" w:name="_Toc1425"/>
      <w:r>
        <w:rPr>
          <w:rFonts w:hint="eastAsia" w:ascii="仿宋_GB2312" w:hAnsi="仿宋_GB2312" w:eastAsia="仿宋_GB2312" w:cs="仿宋_GB2312"/>
          <w:b/>
          <w:bCs/>
          <w:color w:val="auto"/>
          <w:lang w:val="en-US" w:eastAsia="zh-CN"/>
        </w:rPr>
        <w:t>2.2</w:t>
      </w:r>
      <w:r>
        <w:rPr>
          <w:rFonts w:hint="eastAsia" w:ascii="仿宋_GB2312" w:hAnsi="仿宋_GB2312" w:eastAsia="仿宋_GB2312" w:cs="仿宋_GB2312"/>
          <w:b/>
          <w:bCs/>
          <w:color w:val="auto"/>
          <w:lang w:eastAsia="en-US"/>
        </w:rPr>
        <w:t>技术部分投标/响应内容</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eastAsia="en-US"/>
        </w:rPr>
      </w:pPr>
      <w:bookmarkStart w:id="87" w:name="_Toc7782"/>
      <w:bookmarkStart w:id="88" w:name="_Toc19559"/>
      <w:r>
        <w:rPr>
          <w:rFonts w:hint="eastAsia" w:ascii="仿宋_GB2312" w:hAnsi="仿宋_GB2312" w:eastAsia="仿宋_GB2312" w:cs="仿宋_GB2312"/>
          <w:b/>
          <w:bCs/>
          <w:color w:val="auto"/>
          <w:lang w:eastAsia="en-US"/>
        </w:rPr>
        <w:t>2.2.1 技术投标/响应总要求</w:t>
      </w:r>
      <w:bookmarkEnd w:id="87"/>
      <w:bookmarkEnd w:id="88"/>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bookmarkStart w:id="89" w:name="_Toc10668"/>
      <w:bookmarkStart w:id="90" w:name="_Toc20859"/>
      <w:r>
        <w:rPr>
          <w:rFonts w:hint="eastAsia" w:ascii="仿宋_GB2312" w:hAnsi="仿宋_GB2312" w:eastAsia="仿宋_GB2312" w:cs="仿宋_GB2312"/>
          <w:color w:val="auto"/>
          <w:lang w:val="en-US" w:eastAsia="zh-CN"/>
        </w:rPr>
        <w:t>（一）符合《中华人民共和国政府采购法》第二十二条的相关规定</w:t>
      </w:r>
      <w:bookmarkEnd w:id="89"/>
      <w:bookmarkEnd w:id="90"/>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4.具有依法缴纳税收和社会保障资金的良好记录；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6.法律、行政法规规定的其他条件。</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（二）本项目属于专门面向中小企业采购的项目。供应商须符合本项目采购标的对应行业划分标准的中小企业（监狱企业、残疾人福利单位视同小微企业）。</w:t>
      </w:r>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（三）本项目不接受联合体投标。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1"/>
        <w:rPr>
          <w:rFonts w:hint="eastAsia" w:ascii="仿宋_GB2312" w:hAnsi="仿宋_GB2312" w:eastAsia="仿宋_GB2312" w:cs="仿宋_GB2312"/>
          <w:b/>
          <w:bCs/>
          <w:color w:val="auto"/>
          <w:lang w:eastAsia="en-US"/>
        </w:rPr>
      </w:pPr>
      <w:bookmarkStart w:id="91" w:name="_Toc28412"/>
      <w:bookmarkStart w:id="92" w:name="_Toc13420"/>
      <w:r>
        <w:rPr>
          <w:rFonts w:hint="eastAsia" w:ascii="仿宋_GB2312" w:hAnsi="仿宋_GB2312" w:eastAsia="仿宋_GB2312" w:cs="仿宋_GB2312"/>
          <w:b/>
          <w:bCs/>
          <w:color w:val="auto"/>
          <w:lang w:eastAsia="en-US"/>
        </w:rPr>
        <w:t>2.2.2投标/响应方案要求</w:t>
      </w:r>
      <w:bookmarkEnd w:id="91"/>
      <w:bookmarkEnd w:id="92"/>
    </w:p>
    <w:p>
      <w:pPr>
        <w:keepNext w:val="0"/>
        <w:keepLines w:val="0"/>
        <w:pageBreakBefore w:val="0"/>
        <w:kinsoku/>
        <w:wordWrap/>
        <w:overflowPunct/>
        <w:topLinePunct w:val="0"/>
        <w:autoSpaceDE/>
        <w:autoSpaceDN/>
        <w:bidi w:val="0"/>
        <w:adjustRightInd/>
        <w:snapToGrid/>
        <w:spacing w:line="360" w:lineRule="auto"/>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以下相关方案，若作为评审因素，则供应商应满足★关键指标项要求的前提下，根据项目特点和采购需求，制定更为完整、详细、可操作性强的方案。</w:t>
      </w:r>
    </w:p>
    <w:p>
      <w:pPr>
        <w:pStyle w:val="6"/>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2"/>
        <w:rPr>
          <w:rFonts w:hint="eastAsia" w:ascii="仿宋_GB2312" w:hAnsi="仿宋_GB2312" w:eastAsia="仿宋_GB2312" w:cs="仿宋_GB2312"/>
          <w:bCs/>
          <w:i w:val="0"/>
          <w:iCs w:val="0"/>
          <w:color w:val="auto"/>
          <w:kern w:val="0"/>
          <w:sz w:val="28"/>
          <w:szCs w:val="28"/>
          <w:highlight w:val="none"/>
          <w:lang w:eastAsia="en-US"/>
        </w:rPr>
      </w:pPr>
      <w:bookmarkStart w:id="93" w:name="_Toc28255"/>
      <w:bookmarkStart w:id="94" w:name="_Toc29915"/>
      <w:bookmarkStart w:id="95" w:name="_Toc22147"/>
      <w:bookmarkStart w:id="96" w:name="_Toc14322"/>
      <w:bookmarkStart w:id="97" w:name="_Toc2096"/>
      <w:bookmarkStart w:id="98" w:name="_Toc8170"/>
      <w:bookmarkStart w:id="99" w:name="_Toc20803"/>
      <w:bookmarkStart w:id="100" w:name="_Toc5572"/>
      <w:r>
        <w:rPr>
          <w:rFonts w:hint="eastAsia" w:ascii="仿宋_GB2312" w:hAnsi="仿宋_GB2312" w:eastAsia="仿宋_GB2312" w:cs="仿宋_GB2312"/>
          <w:bCs/>
          <w:i w:val="0"/>
          <w:iCs w:val="0"/>
          <w:color w:val="auto"/>
          <w:kern w:val="0"/>
          <w:sz w:val="28"/>
          <w:szCs w:val="28"/>
          <w:highlight w:val="none"/>
          <w:lang w:eastAsia="en-US"/>
        </w:rPr>
        <w:t>2.2.2.1项目需求理解</w:t>
      </w:r>
      <w:bookmarkEnd w:id="93"/>
      <w:bookmarkEnd w:id="94"/>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供应商应详细阐述对整体技术业务需求内容的理解，深入分析并提供详细的需求分析说明。具体要求包括：①对于用户需求的理解程度；②对于项目重难点的把握和解决措施；③整体服务目标；④项目运作流程；⑤针对本项目提出切实可行的建议和意见。</w:t>
      </w:r>
    </w:p>
    <w:p>
      <w:pPr>
        <w:pStyle w:val="6"/>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2"/>
        <w:rPr>
          <w:rFonts w:hint="eastAsia" w:ascii="仿宋_GB2312" w:hAnsi="仿宋_GB2312" w:eastAsia="仿宋_GB2312" w:cs="仿宋_GB2312"/>
          <w:bCs/>
          <w:i w:val="0"/>
          <w:iCs w:val="0"/>
          <w:color w:val="auto"/>
          <w:kern w:val="0"/>
          <w:sz w:val="28"/>
          <w:szCs w:val="28"/>
          <w:lang w:val="en-US" w:eastAsia="zh-CN"/>
        </w:rPr>
      </w:pPr>
      <w:bookmarkStart w:id="101" w:name="_Toc24619"/>
      <w:bookmarkStart w:id="102" w:name="_Toc16178"/>
      <w:bookmarkStart w:id="103" w:name="_Toc20349"/>
      <w:bookmarkStart w:id="104" w:name="_Toc11891"/>
      <w:bookmarkStart w:id="105" w:name="_Toc18583"/>
      <w:bookmarkStart w:id="106" w:name="_Toc15024"/>
      <w:bookmarkStart w:id="107" w:name="_Toc23495"/>
      <w:bookmarkStart w:id="108" w:name="_Toc29884"/>
      <w:r>
        <w:rPr>
          <w:rFonts w:hint="eastAsia" w:ascii="仿宋_GB2312" w:hAnsi="仿宋_GB2312" w:eastAsia="仿宋_GB2312" w:cs="仿宋_GB2312"/>
          <w:bCs/>
          <w:i w:val="0"/>
          <w:iCs w:val="0"/>
          <w:color w:val="auto"/>
          <w:kern w:val="0"/>
          <w:sz w:val="28"/>
          <w:szCs w:val="28"/>
          <w:lang w:val="en-US" w:eastAsia="zh-CN"/>
        </w:rPr>
        <w:t>2.2.2.2对服务方案的响应</w:t>
      </w:r>
      <w:bookmarkEnd w:id="101"/>
      <w:bookmarkEnd w:id="102"/>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招标文件中详细阐述对本项目保密制度、资产管理制度、人员保障方案、岗前培训管理方案、应急预案方案、考核管理方案等内容。同时要对招标文件中所提供的各项服务以及如何适用于采购人的需求作详细的说明。此项内容作为考察供应商是否具备完成本项目能力的重要依据。</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109" w:name="_Toc29258"/>
      <w:bookmarkStart w:id="110" w:name="_Toc29796"/>
      <w:r>
        <w:rPr>
          <w:rFonts w:hint="eastAsia" w:ascii="仿宋_GB2312" w:hAnsi="仿宋_GB2312" w:eastAsia="仿宋_GB2312" w:cs="仿宋_GB2312"/>
          <w:b/>
          <w:bCs/>
          <w:color w:val="auto"/>
          <w:kern w:val="36"/>
          <w:sz w:val="32"/>
          <w:szCs w:val="32"/>
          <w:lang w:eastAsia="en-US"/>
        </w:rPr>
        <w:t>3项目需求</w:t>
      </w:r>
      <w:bookmarkEnd w:id="109"/>
      <w:bookmarkEnd w:id="110"/>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11" w:name="_Toc32738"/>
      <w:bookmarkStart w:id="112" w:name="_Toc25951"/>
      <w:r>
        <w:rPr>
          <w:rFonts w:hint="eastAsia" w:ascii="仿宋_GB2312" w:hAnsi="仿宋_GB2312" w:eastAsia="仿宋_GB2312" w:cs="仿宋_GB2312"/>
          <w:bCs/>
          <w:i w:val="0"/>
          <w:iCs w:val="0"/>
          <w:color w:val="auto"/>
          <w:kern w:val="0"/>
          <w:sz w:val="28"/>
          <w:szCs w:val="28"/>
          <w:lang w:eastAsia="en-US"/>
        </w:rPr>
        <w:t>3.1总体要求</w:t>
      </w:r>
      <w:bookmarkEnd w:id="111"/>
      <w:bookmarkEnd w:id="11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为持续提升办税缴费服务效率和服务质量，及时响应纳税人缴费人通过现场、电话等多渠道提出的税费政策咨询、权益保护、业务受理等诉求，为纳税人缴费人提供更加优质、高效、便捷的办税服务。</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13" w:name="_Toc18881"/>
      <w:bookmarkStart w:id="114" w:name="_Toc6856"/>
      <w:r>
        <w:rPr>
          <w:rFonts w:hint="eastAsia" w:ascii="仿宋_GB2312" w:hAnsi="仿宋_GB2312" w:eastAsia="仿宋_GB2312" w:cs="仿宋_GB2312"/>
          <w:bCs/>
          <w:i w:val="0"/>
          <w:iCs w:val="0"/>
          <w:color w:val="auto"/>
          <w:kern w:val="0"/>
          <w:sz w:val="28"/>
          <w:szCs w:val="28"/>
          <w:lang w:eastAsia="en-US"/>
        </w:rPr>
        <w:t>3.2服务内容</w:t>
      </w:r>
      <w:bookmarkEnd w:id="113"/>
      <w:bookmarkEnd w:id="114"/>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val="en-US" w:eastAsia="zh-CN"/>
        </w:rPr>
      </w:pPr>
      <w:bookmarkStart w:id="115" w:name="_Toc27577"/>
      <w:bookmarkStart w:id="116" w:name="_Toc32177"/>
      <w:bookmarkStart w:id="117" w:name="_Toc17371"/>
      <w:r>
        <w:rPr>
          <w:rFonts w:hint="eastAsia" w:ascii="仿宋_GB2312" w:hAnsi="仿宋_GB2312" w:eastAsia="仿宋_GB2312" w:cs="仿宋_GB2312"/>
          <w:bCs/>
          <w:i w:val="0"/>
          <w:iCs w:val="0"/>
          <w:color w:val="auto"/>
          <w:kern w:val="0"/>
          <w:sz w:val="28"/>
          <w:szCs w:val="28"/>
          <w:lang w:val="en-US" w:eastAsia="zh-CN"/>
        </w:rPr>
        <w:t>3.2.1导税服务</w:t>
      </w:r>
      <w:bookmarkEnd w:id="115"/>
      <w:bookmarkEnd w:id="116"/>
      <w:bookmarkEnd w:id="117"/>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bookmarkStart w:id="118" w:name="_Toc14073"/>
      <w:bookmarkStart w:id="119" w:name="_Toc7861"/>
      <w:bookmarkStart w:id="120" w:name="_Toc32599"/>
      <w:r>
        <w:rPr>
          <w:rFonts w:hint="eastAsia" w:ascii="仿宋_GB2312" w:hAnsi="仿宋_GB2312" w:eastAsia="仿宋_GB2312" w:cs="仿宋_GB2312"/>
          <w:b w:val="0"/>
          <w:color w:val="auto"/>
          <w:kern w:val="2"/>
          <w:sz w:val="28"/>
          <w:szCs w:val="24"/>
          <w:lang w:val="en-US" w:eastAsia="zh-CN" w:bidi="ar-SA"/>
        </w:rPr>
        <w:t>主要引导纳税人在相关的服务区域或窗口办理税费事项；辅导纳税人填写资料；协助纳税人核对资料和表单填写的完整性；解答纳税人办理税费事项咨询；宣传税费法律法规政策；维护办税服务厅秩序，以及为纳税人提供准确、快捷的其他指引服务等，具体内容如下：</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引导服务：引导纳税人到相关服务区域或窗口办理涉税事项，帮助纳税人了解、熟悉办税流程，为纳税人提供准确、快捷的指引，做到合理有效分流人员，减少纳税人办税排队等候时间。</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资料预检：‌在纳税人办理业务之前，对提供的资料‌进行初步检查，并对所需要的资料进行复印，‌确保资料的完整性和正确性。</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 xml:space="preserve">    咨询辅导：解答纳税人一般性涉税咨询，辅导纳税人正确填写相关表格和涉税资料。‌</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秩序维护：维护办税服务点的秩序，确保纳税人有序办税。</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日常管理：负责办税服务厅便民药箱、便民雨伞、复印机等便民服务设施的日常管理，检查纳税人办税需要的设施、用品是否完好，提出相关改进措施。</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问题记录并跟踪：对导税、咨询过程中发现的问题进行记录，对需回复的事项进行记录并跟踪，记录当天服务过程中发现的问题和需要跟踪服务的事项，并提交相关人员。</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val="en-US" w:eastAsia="zh-CN"/>
        </w:rPr>
      </w:pPr>
      <w:r>
        <w:rPr>
          <w:rFonts w:hint="eastAsia" w:ascii="仿宋_GB2312" w:hAnsi="仿宋_GB2312" w:eastAsia="仿宋_GB2312" w:cs="仿宋_GB2312"/>
          <w:bCs/>
          <w:i w:val="0"/>
          <w:iCs w:val="0"/>
          <w:color w:val="auto"/>
          <w:kern w:val="0"/>
          <w:sz w:val="28"/>
          <w:szCs w:val="28"/>
          <w:lang w:val="en-US" w:eastAsia="zh-CN"/>
        </w:rPr>
        <w:t>3.2.2</w:t>
      </w:r>
      <w:bookmarkEnd w:id="118"/>
      <w:bookmarkEnd w:id="119"/>
      <w:bookmarkEnd w:id="120"/>
      <w:r>
        <w:rPr>
          <w:rFonts w:hint="eastAsia" w:ascii="仿宋_GB2312" w:hAnsi="仿宋_GB2312" w:eastAsia="仿宋_GB2312" w:cs="仿宋_GB2312"/>
          <w:bCs/>
          <w:i w:val="0"/>
          <w:iCs w:val="0"/>
          <w:color w:val="auto"/>
          <w:kern w:val="0"/>
          <w:sz w:val="28"/>
          <w:szCs w:val="28"/>
          <w:lang w:val="en-US" w:eastAsia="zh-CN"/>
        </w:rPr>
        <w:t>税费咨询辅导服务</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bookmarkStart w:id="121" w:name="_Toc25288"/>
      <w:bookmarkStart w:id="122" w:name="_Toc20776"/>
      <w:bookmarkStart w:id="123" w:name="_Toc30521"/>
      <w:bookmarkStart w:id="124" w:name="_Toc31927"/>
      <w:r>
        <w:rPr>
          <w:rFonts w:hint="eastAsia" w:ascii="仿宋_GB2312" w:hAnsi="仿宋_GB2312" w:eastAsia="仿宋_GB2312" w:cs="仿宋_GB2312"/>
          <w:b w:val="0"/>
          <w:color w:val="auto"/>
          <w:kern w:val="2"/>
          <w:sz w:val="28"/>
          <w:szCs w:val="24"/>
          <w:lang w:val="en-US" w:eastAsia="zh-CN" w:bidi="ar-SA"/>
        </w:rPr>
        <w:t>主要辅导纳税人使用自助设备，协助纳税人在电子税务局网页、电子税务局APP、自然人电子税务局扣缴端、社保缴费小程序、社保费管理客户端等办理相关业务，发放税费宣传资料，帮助纳税人了解熟悉办税流程，提供相关的政策咨询以及解答一些较为复杂的办税疑难等，具体内容如下：</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设备管理：负责自助服务区相关设备的日常管理；州市行政服务中心办税服务</w:t>
      </w:r>
      <w:r>
        <w:rPr>
          <w:rFonts w:hint="eastAsia" w:ascii="仿宋_GB2312" w:hAnsi="仿宋_GB2312" w:cs="仿宋_GB2312"/>
          <w:b w:val="0"/>
          <w:color w:val="auto"/>
          <w:kern w:val="2"/>
          <w:sz w:val="28"/>
          <w:szCs w:val="24"/>
          <w:lang w:val="en-US" w:eastAsia="zh-CN" w:bidi="ar-SA"/>
        </w:rPr>
        <w:t>厅</w:t>
      </w:r>
      <w:r>
        <w:rPr>
          <w:rFonts w:hint="eastAsia" w:ascii="仿宋_GB2312" w:hAnsi="仿宋_GB2312" w:eastAsia="仿宋_GB2312" w:cs="仿宋_GB2312"/>
          <w:b w:val="0"/>
          <w:color w:val="auto"/>
          <w:kern w:val="2"/>
          <w:sz w:val="28"/>
          <w:szCs w:val="24"/>
          <w:lang w:val="en-US" w:eastAsia="zh-CN" w:bidi="ar-SA"/>
        </w:rPr>
        <w:t>计算机及其他设备22套，萨依巴格税务所办税服务延伸点计算机及其他设备5套，塔指西路办税服务</w:t>
      </w:r>
      <w:r>
        <w:rPr>
          <w:rFonts w:hint="eastAsia" w:ascii="仿宋_GB2312" w:hAnsi="仿宋_GB2312" w:cs="仿宋_GB2312"/>
          <w:b w:val="0"/>
          <w:color w:val="auto"/>
          <w:kern w:val="2"/>
          <w:sz w:val="28"/>
          <w:szCs w:val="24"/>
          <w:lang w:val="en-US" w:eastAsia="zh-CN" w:bidi="ar-SA"/>
        </w:rPr>
        <w:t>延伸点</w:t>
      </w:r>
      <w:r>
        <w:rPr>
          <w:rFonts w:hint="eastAsia" w:ascii="仿宋_GB2312" w:hAnsi="仿宋_GB2312" w:eastAsia="仿宋_GB2312" w:cs="仿宋_GB2312"/>
          <w:b w:val="0"/>
          <w:color w:val="auto"/>
          <w:kern w:val="2"/>
          <w:sz w:val="28"/>
          <w:szCs w:val="24"/>
          <w:lang w:val="en-US" w:eastAsia="zh-CN" w:bidi="ar-SA"/>
        </w:rPr>
        <w:t>计算机及其他设备4套。</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咨询辅导：帮助纳税人了解、熟悉办税流程，辅导纳税人正确填写相关表格和涉税资料，提供相关的政策咨询以及解答一些较为复杂的办税疑难问题等。‌</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政策宣传：‌向纳税人进行政策宣传并发放最新税费宣传资料，‌确保纳税人能够及时了解到最新的税费政策，帮助纳税人、缴费人顺利完成相关业务。</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自助办税辅导：辅导纳税人在电子税务局网页、电子税务局APP、自然人电子税务局扣缴端、社保缴费小程序、社保费管理客户端等办理相关业务。</w:t>
      </w:r>
    </w:p>
    <w:p>
      <w:pPr>
        <w:pStyle w:val="5"/>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问题收集并反馈：收集纳税人、缴费人高频咨询辅导的问题并向相关人员进行反馈。</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highlight w:val="none"/>
          <w:lang w:val="en-US" w:eastAsia="en-US"/>
        </w:rPr>
      </w:pPr>
      <w:r>
        <w:rPr>
          <w:rFonts w:hint="eastAsia" w:ascii="仿宋_GB2312" w:hAnsi="仿宋_GB2312" w:eastAsia="仿宋_GB2312" w:cs="仿宋_GB2312"/>
          <w:bCs/>
          <w:i w:val="0"/>
          <w:iCs w:val="0"/>
          <w:color w:val="auto"/>
          <w:kern w:val="0"/>
          <w:sz w:val="28"/>
          <w:szCs w:val="28"/>
          <w:highlight w:val="none"/>
          <w:lang w:val="en-US" w:eastAsia="zh-CN"/>
        </w:rPr>
        <w:t>3.2.3</w:t>
      </w:r>
      <w:bookmarkEnd w:id="121"/>
      <w:bookmarkEnd w:id="122"/>
      <w:bookmarkEnd w:id="123"/>
      <w:bookmarkEnd w:id="124"/>
      <w:r>
        <w:rPr>
          <w:rFonts w:hint="eastAsia" w:ascii="仿宋_GB2312" w:hAnsi="仿宋_GB2312" w:eastAsia="仿宋_GB2312" w:cs="仿宋_GB2312"/>
          <w:bCs/>
          <w:i w:val="0"/>
          <w:iCs w:val="0"/>
          <w:color w:val="auto"/>
          <w:kern w:val="0"/>
          <w:sz w:val="28"/>
          <w:szCs w:val="28"/>
          <w:highlight w:val="none"/>
          <w:lang w:val="en-US" w:eastAsia="zh-CN"/>
        </w:rPr>
        <w:t>基础服务</w:t>
      </w:r>
    </w:p>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bookmarkStart w:id="125" w:name="_Toc3003"/>
      <w:bookmarkStart w:id="126" w:name="_Toc11661"/>
      <w:bookmarkStart w:id="127" w:name="_Toc8028"/>
      <w:r>
        <w:rPr>
          <w:rFonts w:hint="eastAsia" w:ascii="仿宋_GB2312" w:hAnsi="仿宋_GB2312" w:eastAsia="仿宋_GB2312" w:cs="仿宋_GB2312"/>
          <w:b w:val="0"/>
          <w:color w:val="auto"/>
          <w:kern w:val="2"/>
          <w:sz w:val="28"/>
          <w:szCs w:val="24"/>
          <w:lang w:val="en-US" w:eastAsia="zh-CN" w:bidi="ar-SA"/>
        </w:rPr>
        <w:t>主要包括办理涉税业务，咨询辅导，政策解答等，具体内容如下：</w:t>
      </w:r>
    </w:p>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办理涉税业务：主要‌办理实名信息采集、纳税人（扣缴义务人）身份信息备案、税务登记信息补录、存款账户账号备案、跨区域涉税事项报验登记、跨区税源登记等业务。</w:t>
      </w:r>
    </w:p>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资料整理：按日收集整理职责范围内相关纸质资料、及时向相关部门传递并按规定时限装订。</w:t>
      </w:r>
    </w:p>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其他：帮助纳税人了解、熟悉办税流程，解答纳税人涉税咨询，税费政策宣传等。</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highlight w:val="none"/>
          <w:lang w:val="en-US" w:eastAsia="en-US"/>
        </w:rPr>
      </w:pPr>
      <w:r>
        <w:rPr>
          <w:rFonts w:hint="eastAsia" w:ascii="仿宋_GB2312" w:hAnsi="仿宋_GB2312" w:eastAsia="仿宋_GB2312" w:cs="仿宋_GB2312"/>
          <w:bCs/>
          <w:i w:val="0"/>
          <w:iCs w:val="0"/>
          <w:color w:val="auto"/>
          <w:kern w:val="0"/>
          <w:sz w:val="28"/>
          <w:szCs w:val="28"/>
          <w:highlight w:val="none"/>
          <w:lang w:val="en-US" w:eastAsia="zh-CN"/>
        </w:rPr>
        <w:t>3.2.4</w:t>
      </w:r>
      <w:bookmarkEnd w:id="125"/>
      <w:bookmarkEnd w:id="126"/>
      <w:bookmarkEnd w:id="127"/>
      <w:r>
        <w:rPr>
          <w:rFonts w:hint="eastAsia" w:ascii="仿宋_GB2312" w:hAnsi="仿宋_GB2312" w:eastAsia="仿宋_GB2312" w:cs="仿宋_GB2312"/>
          <w:bCs/>
          <w:i w:val="0"/>
          <w:iCs w:val="0"/>
          <w:color w:val="auto"/>
          <w:kern w:val="0"/>
          <w:sz w:val="28"/>
          <w:szCs w:val="28"/>
          <w:highlight w:val="none"/>
          <w:lang w:val="en-US" w:eastAsia="zh-CN"/>
        </w:rPr>
        <w:t>采购人需要的临时调配等其他相关服务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bookmarkStart w:id="128" w:name="_Toc21858"/>
      <w:bookmarkStart w:id="129" w:name="_Toc20883"/>
      <w:bookmarkStart w:id="130" w:name="_Toc14042"/>
      <w:bookmarkStart w:id="131" w:name="_Toc5325"/>
      <w:bookmarkStart w:id="206" w:name="_GoBack"/>
      <w:r>
        <w:rPr>
          <w:rFonts w:hint="eastAsia" w:ascii="仿宋_GB2312" w:hAnsi="仿宋_GB2312" w:eastAsia="仿宋_GB2312" w:cs="仿宋_GB2312"/>
          <w:color w:val="auto"/>
          <w:lang w:val="en-US" w:eastAsia="zh-CN"/>
        </w:rPr>
        <w:t>依据业务情况变化，按照岗位需要，完成</w:t>
      </w:r>
      <w:r>
        <w:rPr>
          <w:rFonts w:hint="eastAsia" w:ascii="仿宋_GB2312" w:hAnsi="仿宋_GB2312" w:cs="仿宋_GB2312"/>
          <w:color w:val="auto"/>
          <w:lang w:val="en-US" w:eastAsia="zh-CN"/>
        </w:rPr>
        <w:t>采购人</w:t>
      </w:r>
      <w:r>
        <w:rPr>
          <w:rFonts w:hint="eastAsia" w:ascii="仿宋_GB2312" w:hAnsi="仿宋_GB2312" w:eastAsia="仿宋_GB2312" w:cs="仿宋_GB2312"/>
          <w:color w:val="auto"/>
          <w:lang w:val="en-US" w:eastAsia="zh-CN"/>
        </w:rPr>
        <w:t>交办的其他临时性、紧急性任务，包括但不限于：在税收政策调整期协助开展宣传辅导、申报高峰期协助加强办税秩序维护等</w:t>
      </w:r>
      <w:r>
        <w:rPr>
          <w:rFonts w:hint="eastAsia" w:ascii="仿宋_GB2312" w:hAnsi="仿宋_GB2312" w:cs="仿宋_GB2312"/>
          <w:color w:val="auto"/>
          <w:lang w:val="en-US" w:eastAsia="zh-CN"/>
        </w:rPr>
        <w:t>（执法类工作除外）</w:t>
      </w:r>
      <w:r>
        <w:rPr>
          <w:rFonts w:hint="eastAsia" w:ascii="仿宋_GB2312" w:hAnsi="仿宋_GB2312" w:eastAsia="仿宋_GB2312" w:cs="仿宋_GB2312"/>
          <w:color w:val="auto"/>
          <w:lang w:val="en-US" w:eastAsia="zh-CN"/>
        </w:rPr>
        <w:t>。</w:t>
      </w:r>
    </w:p>
    <w:bookmarkEnd w:id="206"/>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临时调配的其他相关服务在原有服务人员能完成的情况下可不另外提供人员。</w:t>
      </w:r>
    </w:p>
    <w:p>
      <w:pPr>
        <w:pStyle w:val="4"/>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其他。</w:t>
      </w:r>
    </w:p>
    <w:bookmarkEnd w:id="128"/>
    <w:bookmarkEnd w:id="129"/>
    <w:bookmarkEnd w:id="130"/>
    <w:bookmarkEnd w:id="131"/>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32" w:name="_Toc17272"/>
      <w:bookmarkStart w:id="133" w:name="_Toc12642"/>
      <w:r>
        <w:rPr>
          <w:rFonts w:hint="eastAsia" w:ascii="仿宋_GB2312" w:hAnsi="仿宋_GB2312" w:eastAsia="仿宋_GB2312" w:cs="仿宋_GB2312"/>
          <w:bCs/>
          <w:i w:val="0"/>
          <w:iCs w:val="0"/>
          <w:color w:val="auto"/>
          <w:kern w:val="0"/>
          <w:sz w:val="28"/>
          <w:szCs w:val="28"/>
          <w:lang w:eastAsia="en-US"/>
        </w:rPr>
        <w:t>3.</w:t>
      </w:r>
      <w:r>
        <w:rPr>
          <w:rFonts w:hint="eastAsia" w:ascii="仿宋_GB2312" w:hAnsi="仿宋_GB2312" w:eastAsia="仿宋_GB2312" w:cs="仿宋_GB2312"/>
          <w:bCs/>
          <w:i w:val="0"/>
          <w:iCs w:val="0"/>
          <w:color w:val="auto"/>
          <w:kern w:val="0"/>
          <w:sz w:val="28"/>
          <w:szCs w:val="28"/>
          <w:lang w:val="en-US" w:eastAsia="zh-CN"/>
        </w:rPr>
        <w:t>3</w:t>
      </w:r>
      <w:r>
        <w:rPr>
          <w:rFonts w:hint="eastAsia" w:ascii="仿宋_GB2312" w:hAnsi="仿宋_GB2312" w:eastAsia="仿宋_GB2312" w:cs="仿宋_GB2312"/>
          <w:bCs/>
          <w:i w:val="0"/>
          <w:iCs w:val="0"/>
          <w:color w:val="auto"/>
          <w:kern w:val="0"/>
          <w:sz w:val="28"/>
          <w:szCs w:val="28"/>
          <w:lang w:eastAsia="en-US"/>
        </w:rPr>
        <w:t>服务工作量</w:t>
      </w:r>
      <w:bookmarkEnd w:id="132"/>
      <w:bookmarkEnd w:id="133"/>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_GB2312" w:hAnsi="仿宋_GB2312" w:eastAsia="仿宋_GB2312" w:cs="仿宋_GB2312"/>
          <w:b/>
          <w:bCs w:val="0"/>
          <w:color w:val="auto"/>
        </w:rPr>
      </w:pPr>
      <w:bookmarkStart w:id="134" w:name="_Toc28733"/>
      <w:bookmarkStart w:id="135" w:name="_Toc6547"/>
      <w:bookmarkStart w:id="136" w:name="_Toc20323"/>
      <w:bookmarkStart w:id="137" w:name="_Toc15105"/>
      <w:bookmarkStart w:id="138" w:name="_Toc6324"/>
      <w:r>
        <w:rPr>
          <w:rFonts w:hint="eastAsia" w:ascii="仿宋_GB2312" w:hAnsi="仿宋_GB2312" w:eastAsia="仿宋_GB2312" w:cs="仿宋_GB2312"/>
          <w:b/>
          <w:bCs w:val="0"/>
          <w:color w:val="auto"/>
        </w:rPr>
        <w:t>非执法类辅助服务实施地点及岗位工作量</w:t>
      </w:r>
      <w:bookmarkEnd w:id="134"/>
      <w:bookmarkEnd w:id="135"/>
      <w:bookmarkEnd w:id="136"/>
      <w:bookmarkEnd w:id="137"/>
      <w:bookmarkEnd w:id="138"/>
    </w:p>
    <w:tbl>
      <w:tblPr>
        <w:tblStyle w:val="1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1070"/>
        <w:gridCol w:w="2671"/>
        <w:gridCol w:w="231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994" w:type="dxa"/>
            <w:shd w:val="clear" w:color="auto" w:fill="CFCECE" w:themeFill="background2" w:themeFillShade="E5"/>
            <w:vAlign w:val="center"/>
          </w:tcPr>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eastAsia="zh-CN" w:bidi="ar"/>
              </w:rPr>
              <w:t>预算单位</w:t>
            </w:r>
          </w:p>
        </w:tc>
        <w:tc>
          <w:tcPr>
            <w:tcW w:w="1070" w:type="dxa"/>
            <w:shd w:val="clear" w:color="auto" w:fill="CFCECE" w:themeFill="background2" w:themeFillShade="E5"/>
            <w:vAlign w:val="center"/>
          </w:tcPr>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服务内容</w:t>
            </w:r>
          </w:p>
        </w:tc>
        <w:tc>
          <w:tcPr>
            <w:tcW w:w="2671" w:type="dxa"/>
            <w:shd w:val="clear" w:color="auto" w:fill="CFCECE" w:themeFill="background2" w:themeFillShade="E5"/>
            <w:vAlign w:val="center"/>
          </w:tcPr>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服务地点</w:t>
            </w:r>
          </w:p>
        </w:tc>
        <w:tc>
          <w:tcPr>
            <w:tcW w:w="2313" w:type="dxa"/>
            <w:shd w:val="clear" w:color="auto" w:fill="CFCECE" w:themeFill="background2" w:themeFillShade="E5"/>
            <w:vAlign w:val="center"/>
          </w:tcPr>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岗位日均总工作量</w:t>
            </w:r>
          </w:p>
        </w:tc>
        <w:tc>
          <w:tcPr>
            <w:tcW w:w="1300" w:type="dxa"/>
            <w:shd w:val="clear" w:color="auto" w:fill="CFCECE" w:themeFill="background2" w:themeFillShade="E5"/>
            <w:vAlign w:val="center"/>
          </w:tcPr>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人均服务量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国家税务总局</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库尔勒市税务局</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ab/>
            </w:r>
          </w:p>
        </w:tc>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导税服务</w:t>
            </w: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州市行政服务中心办税服务厅</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eastAsia="zh-CN" w:bidi="ar"/>
              </w:rPr>
              <w:t>引导</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100</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cs="仿宋_GB2312"/>
                <w:color w:val="auto"/>
                <w:kern w:val="0"/>
                <w:sz w:val="21"/>
                <w:szCs w:val="21"/>
                <w:lang w:val="en-US" w:eastAsia="zh-CN" w:bidi="ar"/>
              </w:rPr>
              <w:t>50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萨依巴格税务所办税服务延伸点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eastAsia="zh-CN" w:bidi="ar"/>
              </w:rPr>
              <w:t>引导</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35</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cs="仿宋_GB2312"/>
                <w:color w:val="auto"/>
                <w:kern w:val="0"/>
                <w:sz w:val="21"/>
                <w:szCs w:val="21"/>
                <w:lang w:val="en-US" w:eastAsia="zh-CN" w:bidi="ar"/>
              </w:rPr>
              <w:t>35</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塔指西路办公区办税服务延伸点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eastAsia="zh-CN" w:bidi="ar"/>
              </w:rPr>
              <w:t>引导</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25</w:t>
            </w:r>
            <w:r>
              <w:rPr>
                <w:rFonts w:hint="eastAsia" w:ascii="仿宋_GB2312" w:hAnsi="仿宋_GB2312" w:eastAsia="仿宋_GB2312" w:cs="仿宋_GB2312"/>
                <w:color w:val="auto"/>
                <w:kern w:val="0"/>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cs="仿宋_GB2312"/>
                <w:color w:val="auto"/>
                <w:kern w:val="0"/>
                <w:sz w:val="21"/>
                <w:szCs w:val="21"/>
                <w:lang w:val="en-US" w:eastAsia="zh-CN" w:bidi="ar"/>
              </w:rPr>
              <w:t>25</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不动产二级交易市场办税服务延伸点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eastAsia="zh-CN" w:bidi="ar"/>
              </w:rPr>
              <w:t>引导</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45</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cs="仿宋_GB2312"/>
                <w:color w:val="auto"/>
                <w:kern w:val="0"/>
                <w:sz w:val="21"/>
                <w:szCs w:val="21"/>
                <w:lang w:val="en-US" w:eastAsia="zh-CN" w:bidi="ar"/>
              </w:rPr>
              <w:t>45</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rPr>
                <w:rFonts w:hint="eastAsia" w:ascii="仿宋_GB2312" w:hAnsi="仿宋_GB2312" w:eastAsia="仿宋_GB2312" w:cs="仿宋_GB2312"/>
                <w:iCs/>
                <w:color w:val="auto"/>
                <w:kern w:val="2"/>
                <w:sz w:val="21"/>
                <w:szCs w:val="21"/>
                <w:lang w:val="en-US" w:eastAsia="zh-CN" w:bidi="ar-SA"/>
              </w:rPr>
            </w:pPr>
          </w:p>
        </w:tc>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iCs/>
                <w:color w:val="auto"/>
                <w:kern w:val="2"/>
                <w:sz w:val="21"/>
                <w:szCs w:val="21"/>
                <w:lang w:val="en-US" w:eastAsia="zh-CN" w:bidi="ar-SA"/>
              </w:rPr>
              <w:t>税费咨询辅导服务</w:t>
            </w: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州市行政服务中心办税服务厅</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辅导人数约</w:t>
            </w:r>
            <w:r>
              <w:rPr>
                <w:rFonts w:hint="eastAsia" w:ascii="仿宋_GB2312" w:hAnsi="仿宋_GB2312" w:cs="仿宋_GB2312"/>
                <w:color w:val="auto"/>
                <w:kern w:val="0"/>
                <w:sz w:val="21"/>
                <w:szCs w:val="21"/>
                <w:lang w:val="en-US" w:eastAsia="zh-CN" w:bidi="ar"/>
              </w:rPr>
              <w:t>300</w:t>
            </w:r>
            <w:r>
              <w:rPr>
                <w:rFonts w:hint="eastAsia" w:ascii="仿宋_GB2312" w:hAnsi="仿宋_GB2312" w:eastAsia="仿宋_GB2312" w:cs="仿宋_GB2312"/>
                <w:color w:val="auto"/>
                <w:kern w:val="0"/>
                <w:sz w:val="21"/>
                <w:szCs w:val="21"/>
                <w:lang w:bidi="ar"/>
              </w:rPr>
              <w:t>人</w:t>
            </w:r>
            <w:r>
              <w:rPr>
                <w:rStyle w:val="27"/>
                <w:rFonts w:hint="eastAsia" w:ascii="仿宋_GB2312" w:hAnsi="仿宋_GB2312" w:eastAsia="仿宋_GB2312" w:cs="仿宋_GB2312"/>
                <w:color w:val="auto"/>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60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萨依巴格税务所办税服务延伸点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辅导人数约</w:t>
            </w:r>
            <w:r>
              <w:rPr>
                <w:rFonts w:hint="eastAsia" w:ascii="仿宋_GB2312" w:hAnsi="仿宋_GB2312" w:cs="仿宋_GB2312"/>
                <w:color w:val="auto"/>
                <w:kern w:val="0"/>
                <w:sz w:val="21"/>
                <w:szCs w:val="21"/>
                <w:lang w:val="en-US" w:eastAsia="zh-CN" w:bidi="ar"/>
              </w:rPr>
              <w:t>60</w:t>
            </w:r>
            <w:r>
              <w:rPr>
                <w:rFonts w:hint="eastAsia" w:ascii="仿宋_GB2312" w:hAnsi="仿宋_GB2312" w:eastAsia="仿宋_GB2312" w:cs="仿宋_GB2312"/>
                <w:color w:val="auto"/>
                <w:kern w:val="0"/>
                <w:sz w:val="21"/>
                <w:szCs w:val="21"/>
                <w:lang w:bidi="ar"/>
              </w:rPr>
              <w:t>人</w:t>
            </w:r>
            <w:r>
              <w:rPr>
                <w:rStyle w:val="27"/>
                <w:rFonts w:hint="eastAsia" w:ascii="仿宋_GB2312" w:hAnsi="仿宋_GB2312" w:eastAsia="仿宋_GB2312" w:cs="仿宋_GB2312"/>
                <w:color w:val="auto"/>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30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塔指西路办公区办税服务延伸点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辅导人数约</w:t>
            </w:r>
            <w:r>
              <w:rPr>
                <w:rFonts w:hint="eastAsia" w:ascii="仿宋_GB2312" w:hAnsi="仿宋_GB2312" w:cs="仿宋_GB2312"/>
                <w:color w:val="auto"/>
                <w:kern w:val="0"/>
                <w:sz w:val="21"/>
                <w:szCs w:val="21"/>
                <w:lang w:val="en-US" w:eastAsia="zh-CN" w:bidi="ar"/>
              </w:rPr>
              <w:t>30</w:t>
            </w:r>
            <w:r>
              <w:rPr>
                <w:rFonts w:hint="eastAsia" w:ascii="仿宋_GB2312" w:hAnsi="仿宋_GB2312" w:eastAsia="仿宋_GB2312" w:cs="仿宋_GB2312"/>
                <w:color w:val="auto"/>
                <w:kern w:val="0"/>
                <w:sz w:val="21"/>
                <w:szCs w:val="21"/>
                <w:lang w:bidi="ar"/>
              </w:rPr>
              <w:t>人</w:t>
            </w:r>
            <w:r>
              <w:rPr>
                <w:rStyle w:val="27"/>
                <w:rFonts w:hint="eastAsia" w:ascii="仿宋_GB2312" w:hAnsi="仿宋_GB2312" w:eastAsia="仿宋_GB2312" w:cs="仿宋_GB2312"/>
                <w:color w:val="auto"/>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30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社保大厦办税服务延伸点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辅导人数约</w:t>
            </w:r>
            <w:r>
              <w:rPr>
                <w:rFonts w:hint="eastAsia" w:ascii="仿宋_GB2312" w:hAnsi="仿宋_GB2312" w:cs="仿宋_GB2312"/>
                <w:color w:val="auto"/>
                <w:kern w:val="0"/>
                <w:sz w:val="21"/>
                <w:szCs w:val="21"/>
                <w:lang w:val="en-US" w:eastAsia="zh-CN" w:bidi="ar"/>
              </w:rPr>
              <w:t>90</w:t>
            </w:r>
            <w:r>
              <w:rPr>
                <w:rFonts w:hint="eastAsia" w:ascii="仿宋_GB2312" w:hAnsi="仿宋_GB2312" w:eastAsia="仿宋_GB2312" w:cs="仿宋_GB2312"/>
                <w:color w:val="auto"/>
                <w:kern w:val="0"/>
                <w:sz w:val="21"/>
                <w:szCs w:val="21"/>
                <w:lang w:bidi="ar"/>
              </w:rPr>
              <w:t>人</w:t>
            </w:r>
            <w:r>
              <w:rPr>
                <w:rStyle w:val="27"/>
                <w:rFonts w:hint="eastAsia" w:ascii="仿宋_GB2312" w:hAnsi="仿宋_GB2312" w:eastAsia="仿宋_GB2312" w:cs="仿宋_GB2312"/>
                <w:color w:val="auto"/>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30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不动产二级交易市场办税服务延伸点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辅导人数约</w:t>
            </w:r>
            <w:r>
              <w:rPr>
                <w:rFonts w:hint="eastAsia" w:ascii="仿宋_GB2312" w:hAnsi="仿宋_GB2312" w:cs="仿宋_GB2312"/>
                <w:color w:val="auto"/>
                <w:kern w:val="0"/>
                <w:sz w:val="21"/>
                <w:szCs w:val="21"/>
                <w:lang w:val="en-US" w:eastAsia="zh-CN" w:bidi="ar"/>
              </w:rPr>
              <w:t>95</w:t>
            </w:r>
            <w:r>
              <w:rPr>
                <w:rFonts w:hint="eastAsia" w:ascii="仿宋_GB2312" w:hAnsi="仿宋_GB2312" w:eastAsia="仿宋_GB2312" w:cs="仿宋_GB2312"/>
                <w:color w:val="auto"/>
                <w:kern w:val="0"/>
                <w:sz w:val="21"/>
                <w:szCs w:val="21"/>
                <w:lang w:bidi="ar"/>
              </w:rPr>
              <w:t>人</w:t>
            </w:r>
            <w:r>
              <w:rPr>
                <w:rStyle w:val="27"/>
                <w:rFonts w:hint="eastAsia" w:ascii="仿宋_GB2312" w:hAnsi="仿宋_GB2312" w:eastAsia="仿宋_GB2312" w:cs="仿宋_GB2312"/>
                <w:color w:val="auto"/>
                <w:sz w:val="21"/>
                <w:szCs w:val="21"/>
                <w:lang w:bidi="ar"/>
              </w:rPr>
              <w:t>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cs="仿宋_GB2312"/>
                <w:color w:val="auto"/>
                <w:kern w:val="0"/>
                <w:sz w:val="21"/>
                <w:szCs w:val="21"/>
                <w:lang w:val="en-US" w:eastAsia="zh-CN" w:bidi="ar"/>
              </w:rPr>
              <w:t>31</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iCs/>
                <w:color w:val="auto"/>
                <w:kern w:val="2"/>
                <w:sz w:val="21"/>
                <w:szCs w:val="21"/>
                <w:lang w:val="en-US" w:eastAsia="zh-CN" w:bidi="ar-SA"/>
              </w:rPr>
              <w:t>基础服务</w:t>
            </w: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州市行政服务中心办税服务厅</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服务</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130</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43</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eastAsia="zh-CN" w:bidi="ar"/>
              </w:rPr>
              <w:t>萨依巴格税务所办税服务延伸点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eastAsia="zh-CN" w:bidi="ar"/>
              </w:rPr>
              <w:t>服务</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25</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25</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塔指西路办公区办税服务延伸点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服务</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20</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20</w:t>
            </w:r>
            <w:r>
              <w:rPr>
                <w:rFonts w:hint="eastAsia" w:ascii="仿宋_GB2312" w:hAnsi="仿宋_GB2312" w:eastAsia="仿宋_GB2312" w:cs="仿宋_GB2312"/>
                <w:color w:val="auto"/>
                <w:kern w:val="0"/>
                <w:sz w:val="21"/>
                <w:szCs w:val="21"/>
                <w:lang w:bidi="ar"/>
              </w:rPr>
              <w:t>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社保大厦办税服务延伸点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服务</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20</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val="en-US" w:eastAsia="zh-CN" w:bidi="ar"/>
              </w:rPr>
              <w:t>20人</w:t>
            </w:r>
            <w:r>
              <w:rPr>
                <w:rFonts w:hint="eastAsia" w:ascii="仿宋_GB2312" w:hAnsi="仿宋_GB2312" w:eastAsia="仿宋_GB2312" w:cs="仿宋_GB2312"/>
                <w:color w:val="auto"/>
                <w:kern w:val="0"/>
                <w:sz w:val="21"/>
                <w:szCs w:val="21"/>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不动产二级交易市场办税服务延伸点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服务</w:t>
            </w:r>
            <w:r>
              <w:rPr>
                <w:rFonts w:hint="eastAsia" w:ascii="仿宋_GB2312" w:hAnsi="仿宋_GB2312" w:eastAsia="仿宋_GB2312" w:cs="仿宋_GB2312"/>
                <w:color w:val="auto"/>
                <w:kern w:val="0"/>
                <w:sz w:val="21"/>
                <w:szCs w:val="21"/>
                <w:lang w:bidi="ar"/>
              </w:rPr>
              <w:t>人数约</w:t>
            </w:r>
            <w:r>
              <w:rPr>
                <w:rFonts w:hint="eastAsia" w:ascii="仿宋_GB2312" w:hAnsi="仿宋_GB2312" w:cs="仿宋_GB2312"/>
                <w:color w:val="auto"/>
                <w:kern w:val="0"/>
                <w:sz w:val="21"/>
                <w:szCs w:val="21"/>
                <w:lang w:val="en-US" w:eastAsia="zh-CN" w:bidi="ar"/>
              </w:rPr>
              <w:t>40</w:t>
            </w:r>
            <w:r>
              <w:rPr>
                <w:rFonts w:hint="eastAsia" w:ascii="仿宋_GB2312" w:hAnsi="仿宋_GB2312" w:eastAsia="仿宋_GB2312" w:cs="仿宋_GB2312"/>
                <w:color w:val="auto"/>
                <w:kern w:val="0"/>
                <w:sz w:val="21"/>
                <w:szCs w:val="21"/>
                <w:lang w:bidi="ar"/>
              </w:rPr>
              <w:t>人次/日</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20人</w:t>
            </w:r>
            <w:r>
              <w:rPr>
                <w:rFonts w:hint="eastAsia" w:ascii="仿宋_GB2312" w:hAnsi="仿宋_GB2312" w:eastAsia="仿宋_GB2312" w:cs="仿宋_GB2312"/>
                <w:color w:val="auto"/>
                <w:kern w:val="0"/>
                <w:sz w:val="21"/>
                <w:szCs w:val="21"/>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p>
        </w:tc>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iCs/>
                <w:color w:val="auto"/>
                <w:kern w:val="2"/>
                <w:sz w:val="21"/>
                <w:szCs w:val="21"/>
                <w:lang w:val="en-US" w:eastAsia="zh-CN" w:bidi="ar-SA"/>
              </w:rPr>
              <w:t>采购人需要的临时调配等其他相关服务</w:t>
            </w: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cs="仿宋_GB2312"/>
                <w:color w:val="auto"/>
                <w:kern w:val="0"/>
                <w:sz w:val="21"/>
                <w:szCs w:val="21"/>
                <w:lang w:eastAsia="zh-CN" w:bidi="ar"/>
              </w:rPr>
              <w:t>州市行政服务中心办税服务厅</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bidi="ar"/>
              </w:rPr>
              <w:t>其他</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iCs/>
                <w:color w:val="auto"/>
                <w:kern w:val="2"/>
                <w:sz w:val="21"/>
                <w:szCs w:val="21"/>
                <w:lang w:val="en-US" w:eastAsia="zh-CN" w:bidi="ar-SA"/>
              </w:rPr>
            </w:pPr>
            <w:r>
              <w:rPr>
                <w:rFonts w:hint="eastAsia" w:ascii="仿宋_GB2312" w:hAnsi="仿宋_GB2312" w:eastAsia="仿宋_GB2312" w:cs="仿宋_GB2312"/>
                <w:color w:val="auto"/>
                <w:kern w:val="0"/>
                <w:sz w:val="21"/>
                <w:szCs w:val="21"/>
                <w:lang w:val="en-US" w:eastAsia="zh-CN" w:bidi="ar"/>
              </w:rPr>
              <w:t>临时调配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萨依巴格税务所办税服务延伸点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其他</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临时调配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塔指西路办公区办税服务延伸点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其他</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临时调配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社保大厦办税服务延伸点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其他</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临时调配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994"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p>
        </w:tc>
        <w:tc>
          <w:tcPr>
            <w:tcW w:w="267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cs="仿宋_GB2312"/>
                <w:color w:val="auto"/>
                <w:kern w:val="0"/>
                <w:sz w:val="21"/>
                <w:szCs w:val="21"/>
                <w:lang w:eastAsia="zh-CN" w:bidi="ar"/>
              </w:rPr>
              <w:t>不动产二级交易市场办税服务延伸点</w:t>
            </w:r>
          </w:p>
        </w:tc>
        <w:tc>
          <w:tcPr>
            <w:tcW w:w="2313"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其他</w:t>
            </w:r>
          </w:p>
        </w:tc>
        <w:tc>
          <w:tcPr>
            <w:tcW w:w="130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临时调配</w:t>
            </w: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139" w:name="_Toc10647"/>
      <w:bookmarkStart w:id="140" w:name="_Toc19839"/>
      <w:r>
        <w:rPr>
          <w:rFonts w:hint="eastAsia" w:ascii="仿宋_GB2312" w:hAnsi="仿宋_GB2312" w:eastAsia="仿宋_GB2312" w:cs="仿宋_GB2312"/>
          <w:b/>
          <w:bCs/>
          <w:color w:val="auto"/>
          <w:kern w:val="36"/>
          <w:sz w:val="32"/>
          <w:szCs w:val="32"/>
          <w:lang w:eastAsia="en-US"/>
        </w:rPr>
        <w:t>4</w:t>
      </w:r>
      <w:r>
        <w:rPr>
          <w:rFonts w:hint="eastAsia" w:ascii="仿宋_GB2312" w:hAnsi="仿宋_GB2312" w:eastAsia="仿宋_GB2312" w:cs="仿宋_GB2312"/>
          <w:b/>
          <w:bCs/>
          <w:color w:val="auto"/>
          <w:kern w:val="36"/>
          <w:sz w:val="32"/>
          <w:szCs w:val="32"/>
          <w:lang w:eastAsia="zh-CN"/>
        </w:rPr>
        <w:t>人员</w:t>
      </w:r>
      <w:r>
        <w:rPr>
          <w:rFonts w:hint="eastAsia" w:ascii="仿宋_GB2312" w:hAnsi="仿宋_GB2312" w:eastAsia="仿宋_GB2312" w:cs="仿宋_GB2312"/>
          <w:b/>
          <w:bCs/>
          <w:color w:val="auto"/>
          <w:kern w:val="36"/>
          <w:sz w:val="32"/>
          <w:szCs w:val="32"/>
          <w:lang w:eastAsia="en-US"/>
        </w:rPr>
        <w:t>要求</w:t>
      </w:r>
      <w:bookmarkEnd w:id="139"/>
      <w:bookmarkEnd w:id="140"/>
      <w:bookmarkStart w:id="141" w:name="_Toc504561410"/>
      <w:bookmarkEnd w:id="141"/>
      <w:bookmarkStart w:id="142" w:name="_Toc498691868"/>
      <w:bookmarkEnd w:id="142"/>
      <w:bookmarkStart w:id="143" w:name="_Toc498526190"/>
      <w:bookmarkEnd w:id="143"/>
      <w:bookmarkStart w:id="144" w:name="_Toc498932449"/>
      <w:bookmarkEnd w:id="144"/>
      <w:bookmarkStart w:id="145" w:name="_Toc498691870"/>
      <w:bookmarkEnd w:id="145"/>
      <w:bookmarkStart w:id="146" w:name="_Toc504554365"/>
      <w:bookmarkEnd w:id="146"/>
      <w:bookmarkStart w:id="147" w:name="_Toc535358540"/>
      <w:bookmarkEnd w:id="147"/>
      <w:bookmarkStart w:id="148" w:name="_Toc504554256"/>
      <w:bookmarkEnd w:id="148"/>
      <w:bookmarkStart w:id="149" w:name="_Toc498688895"/>
      <w:bookmarkEnd w:id="149"/>
      <w:bookmarkStart w:id="150" w:name="_Toc504554258"/>
      <w:bookmarkEnd w:id="150"/>
      <w:bookmarkStart w:id="151" w:name="_Toc498687536"/>
      <w:bookmarkEnd w:id="151"/>
      <w:bookmarkStart w:id="152" w:name="_Toc504554367"/>
      <w:bookmarkEnd w:id="152"/>
      <w:bookmarkStart w:id="153" w:name="_Toc535358539"/>
      <w:bookmarkEnd w:id="153"/>
      <w:bookmarkStart w:id="154" w:name="_Toc504561408"/>
      <w:bookmarkEnd w:id="154"/>
      <w:bookmarkStart w:id="155" w:name="_Toc535358541"/>
      <w:bookmarkEnd w:id="155"/>
      <w:bookmarkStart w:id="156" w:name="_Toc498932450"/>
      <w:bookmarkEnd w:id="156"/>
      <w:bookmarkStart w:id="157" w:name="_Toc498688896"/>
      <w:bookmarkEnd w:id="157"/>
      <w:bookmarkStart w:id="158" w:name="_Toc504554366"/>
      <w:bookmarkEnd w:id="158"/>
      <w:bookmarkStart w:id="159" w:name="_Toc498687534"/>
      <w:bookmarkEnd w:id="159"/>
      <w:bookmarkStart w:id="160" w:name="_Toc504561409"/>
      <w:bookmarkEnd w:id="160"/>
      <w:bookmarkStart w:id="161" w:name="_Toc498526189"/>
      <w:bookmarkEnd w:id="161"/>
      <w:bookmarkStart w:id="162" w:name="_Toc504554257"/>
      <w:bookmarkEnd w:id="162"/>
      <w:bookmarkStart w:id="163" w:name="_Toc498688897"/>
      <w:bookmarkEnd w:id="163"/>
      <w:bookmarkStart w:id="164" w:name="_Toc498687535"/>
      <w:bookmarkEnd w:id="164"/>
      <w:bookmarkStart w:id="165" w:name="_Toc498691869"/>
      <w:bookmarkEnd w:id="165"/>
      <w:bookmarkStart w:id="166" w:name="_Toc498932451"/>
      <w:bookmarkEnd w:id="166"/>
      <w:bookmarkStart w:id="167" w:name="_Toc498526188"/>
      <w:bookmarkEnd w:id="167"/>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68" w:name="_Toc14521"/>
      <w:bookmarkStart w:id="169" w:name="_Toc18702"/>
      <w:r>
        <w:rPr>
          <w:rFonts w:hint="eastAsia" w:ascii="仿宋_GB2312" w:hAnsi="仿宋_GB2312" w:eastAsia="仿宋_GB2312" w:cs="仿宋_GB2312"/>
          <w:bCs/>
          <w:i w:val="0"/>
          <w:iCs w:val="0"/>
          <w:color w:val="auto"/>
          <w:kern w:val="0"/>
          <w:sz w:val="28"/>
          <w:szCs w:val="28"/>
          <w:lang w:eastAsia="en-US"/>
        </w:rPr>
        <w:t>4.1</w:t>
      </w:r>
      <w:r>
        <w:rPr>
          <w:rFonts w:hint="eastAsia" w:ascii="仿宋_GB2312" w:hAnsi="仿宋_GB2312" w:eastAsia="仿宋_GB2312" w:cs="仿宋_GB2312"/>
          <w:bCs/>
          <w:i w:val="0"/>
          <w:iCs w:val="0"/>
          <w:color w:val="auto"/>
          <w:kern w:val="0"/>
          <w:sz w:val="28"/>
          <w:szCs w:val="28"/>
          <w:lang w:eastAsia="zh-CN"/>
        </w:rPr>
        <w:t>人员岗位职责及</w:t>
      </w:r>
      <w:r>
        <w:rPr>
          <w:rFonts w:hint="eastAsia" w:ascii="仿宋_GB2312" w:hAnsi="仿宋_GB2312" w:eastAsia="仿宋_GB2312" w:cs="仿宋_GB2312"/>
          <w:bCs/>
          <w:i w:val="0"/>
          <w:iCs w:val="0"/>
          <w:color w:val="auto"/>
          <w:kern w:val="0"/>
          <w:sz w:val="28"/>
          <w:szCs w:val="28"/>
          <w:lang w:eastAsia="en-US"/>
        </w:rPr>
        <w:t>要求</w:t>
      </w:r>
      <w:bookmarkEnd w:id="168"/>
      <w:bookmarkEnd w:id="169"/>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2622"/>
        <w:gridCol w:w="5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46" w:type="dxa"/>
            <w:shd w:val="clear" w:color="auto" w:fill="CFCECE" w:themeFill="background2" w:themeFillShade="E5"/>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val="0"/>
                <w:bCs w:val="0"/>
                <w:color w:val="auto"/>
                <w:kern w:val="0"/>
                <w:sz w:val="21"/>
                <w:szCs w:val="21"/>
                <w:lang w:val="en-US" w:eastAsia="zh-CN" w:bidi="ar"/>
              </w:rPr>
            </w:pPr>
            <w:r>
              <w:rPr>
                <w:rFonts w:hint="eastAsia" w:ascii="仿宋_GB2312" w:hAnsi="仿宋_GB2312" w:eastAsia="仿宋_GB2312" w:cs="仿宋_GB2312"/>
                <w:b w:val="0"/>
                <w:bCs w:val="0"/>
                <w:color w:val="auto"/>
                <w:kern w:val="0"/>
                <w:sz w:val="21"/>
                <w:szCs w:val="21"/>
                <w:lang w:val="en-US" w:eastAsia="zh-CN" w:bidi="ar"/>
              </w:rPr>
              <w:t>人员类型</w:t>
            </w:r>
          </w:p>
        </w:tc>
        <w:tc>
          <w:tcPr>
            <w:tcW w:w="2622" w:type="dxa"/>
            <w:shd w:val="clear" w:color="auto" w:fill="CFCECE" w:themeFill="background2" w:themeFillShade="E5"/>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val="0"/>
                <w:bCs w:val="0"/>
                <w:color w:val="auto"/>
                <w:kern w:val="0"/>
                <w:sz w:val="21"/>
                <w:szCs w:val="21"/>
                <w:lang w:val="en-US" w:eastAsia="zh-CN" w:bidi="ar"/>
              </w:rPr>
            </w:pPr>
            <w:r>
              <w:rPr>
                <w:rFonts w:hint="eastAsia" w:ascii="仿宋_GB2312" w:hAnsi="仿宋_GB2312" w:eastAsia="仿宋_GB2312" w:cs="仿宋_GB2312"/>
                <w:b w:val="0"/>
                <w:bCs w:val="0"/>
                <w:color w:val="auto"/>
                <w:kern w:val="0"/>
                <w:sz w:val="21"/>
                <w:szCs w:val="21"/>
                <w:lang w:val="en-US" w:eastAsia="zh-CN" w:bidi="ar"/>
              </w:rPr>
              <w:t>工作内容</w:t>
            </w:r>
          </w:p>
        </w:tc>
        <w:tc>
          <w:tcPr>
            <w:tcW w:w="5711" w:type="dxa"/>
            <w:shd w:val="clear" w:color="auto" w:fill="CFCECE" w:themeFill="background2" w:themeFillShade="E5"/>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b w:val="0"/>
                <w:bCs w:val="0"/>
                <w:color w:val="auto"/>
                <w:kern w:val="0"/>
                <w:sz w:val="21"/>
                <w:szCs w:val="21"/>
                <w:lang w:val="en-US" w:eastAsia="zh-CN" w:bidi="ar"/>
              </w:rPr>
            </w:pPr>
            <w:r>
              <w:rPr>
                <w:rFonts w:hint="eastAsia" w:ascii="仿宋_GB2312" w:hAnsi="仿宋_GB2312" w:eastAsia="仿宋_GB2312" w:cs="仿宋_GB2312"/>
                <w:b w:val="0"/>
                <w:bCs w:val="0"/>
                <w:color w:val="auto"/>
                <w:kern w:val="0"/>
                <w:sz w:val="21"/>
                <w:szCs w:val="21"/>
                <w:lang w:val="en-US" w:eastAsia="zh-CN" w:bidi="ar"/>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114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项目管理人员</w:t>
            </w:r>
          </w:p>
        </w:tc>
        <w:tc>
          <w:tcPr>
            <w:tcW w:w="262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负责日常管理、服务规范化管理以及内外工作协调，按照采购人要求及时调整工作内容及进度，配合做好各项服务内容；负责服务人员日常管理考核，做好现场矛盾化解及投诉处理等工作。</w:t>
            </w:r>
          </w:p>
        </w:tc>
        <w:tc>
          <w:tcPr>
            <w:tcW w:w="571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1.</w:t>
            </w:r>
            <w:r>
              <w:rPr>
                <w:rFonts w:hint="eastAsia" w:ascii="仿宋_GB2312" w:hAnsi="仿宋_GB2312" w:eastAsia="仿宋_GB2312" w:cs="仿宋_GB2312"/>
                <w:color w:val="auto"/>
                <w:kern w:val="0"/>
                <w:sz w:val="21"/>
                <w:szCs w:val="21"/>
                <w:lang w:val="en-US" w:eastAsia="zh-CN" w:bidi="ar"/>
              </w:rPr>
              <w:t>项目管理员须保持24小时电话畅通</w:t>
            </w:r>
            <w:r>
              <w:rPr>
                <w:rFonts w:hint="eastAsia" w:ascii="仿宋_GB2312" w:hAnsi="仿宋_GB2312" w:cs="仿宋_GB2312"/>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因故不能投入工作的，应及时告知采购人并安排临时负责人员管理本项目</w:t>
            </w:r>
            <w:r>
              <w:rPr>
                <w:rFonts w:hint="eastAsia" w:ascii="仿宋_GB2312" w:hAnsi="仿宋_GB2312" w:cs="仿宋_GB2312"/>
                <w:color w:val="auto"/>
                <w:kern w:val="0"/>
                <w:sz w:val="21"/>
                <w:szCs w:val="2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2.</w:t>
            </w:r>
            <w:r>
              <w:rPr>
                <w:rFonts w:hint="eastAsia" w:ascii="仿宋_GB2312" w:hAnsi="仿宋_GB2312" w:eastAsia="仿宋_GB2312" w:cs="仿宋_GB2312"/>
                <w:color w:val="auto"/>
                <w:kern w:val="0"/>
                <w:sz w:val="21"/>
                <w:szCs w:val="21"/>
                <w:lang w:val="en-US" w:eastAsia="zh-CN" w:bidi="ar"/>
              </w:rPr>
              <w:t>项目管理人员应有中级人力资源管理及以上证书、普通话2乙及以上证书；熟练掌握税务相关业务</w:t>
            </w:r>
            <w:r>
              <w:rPr>
                <w:rFonts w:hint="eastAsia" w:ascii="仿宋_GB2312" w:hAnsi="仿宋_GB2312" w:cs="仿宋_GB2312"/>
                <w:color w:val="auto"/>
                <w:kern w:val="0"/>
                <w:sz w:val="21"/>
                <w:szCs w:val="2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3.</w:t>
            </w:r>
            <w:r>
              <w:rPr>
                <w:rFonts w:hint="eastAsia" w:ascii="仿宋_GB2312" w:hAnsi="仿宋_GB2312" w:eastAsia="仿宋_GB2312" w:cs="仿宋_GB2312"/>
                <w:color w:val="auto"/>
                <w:kern w:val="0"/>
                <w:sz w:val="21"/>
                <w:szCs w:val="21"/>
                <w:lang w:val="en-US" w:eastAsia="zh-CN" w:bidi="ar"/>
              </w:rPr>
              <w:t>具有全日制本科及以上学历，</w:t>
            </w:r>
            <w:r>
              <w:rPr>
                <w:rFonts w:hint="eastAsia" w:ascii="仿宋_GB2312" w:hAnsi="仿宋_GB2312" w:eastAsia="仿宋_GB2312" w:cs="仿宋_GB2312"/>
                <w:color w:val="auto"/>
                <w:kern w:val="0"/>
                <w:sz w:val="21"/>
                <w:szCs w:val="21"/>
                <w:highlight w:val="none"/>
                <w:lang w:val="en-US" w:eastAsia="zh-CN" w:bidi="ar"/>
              </w:rPr>
              <w:t>具有2年以上</w:t>
            </w:r>
            <w:r>
              <w:rPr>
                <w:rFonts w:hint="eastAsia" w:ascii="仿宋_GB2312" w:hAnsi="仿宋_GB2312" w:cs="仿宋_GB2312"/>
                <w:color w:val="auto"/>
                <w:kern w:val="0"/>
                <w:sz w:val="21"/>
                <w:szCs w:val="21"/>
                <w:highlight w:val="none"/>
                <w:lang w:val="en-US" w:eastAsia="zh-CN" w:bidi="ar"/>
              </w:rPr>
              <w:t>（不含2年）</w:t>
            </w:r>
            <w:r>
              <w:rPr>
                <w:rFonts w:hint="eastAsia" w:ascii="仿宋_GB2312" w:hAnsi="仿宋_GB2312" w:eastAsia="仿宋_GB2312" w:cs="仿宋_GB2312"/>
                <w:color w:val="auto"/>
                <w:kern w:val="0"/>
                <w:sz w:val="21"/>
                <w:szCs w:val="21"/>
                <w:highlight w:val="none"/>
                <w:lang w:val="en-US" w:eastAsia="zh-CN" w:bidi="ar"/>
              </w:rPr>
              <w:t>的相关项目管理经验</w:t>
            </w:r>
            <w:r>
              <w:rPr>
                <w:rFonts w:hint="eastAsia" w:ascii="仿宋_GB2312" w:hAnsi="仿宋_GB2312" w:cs="仿宋_GB2312"/>
                <w:color w:val="auto"/>
                <w:kern w:val="0"/>
                <w:sz w:val="21"/>
                <w:szCs w:val="2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4.</w:t>
            </w:r>
            <w:r>
              <w:rPr>
                <w:rFonts w:hint="eastAsia" w:ascii="仿宋_GB2312" w:hAnsi="仿宋_GB2312" w:eastAsia="仿宋_GB2312" w:cs="仿宋_GB2312"/>
                <w:color w:val="auto"/>
                <w:kern w:val="0"/>
                <w:sz w:val="21"/>
                <w:szCs w:val="21"/>
                <w:lang w:val="en-US" w:eastAsia="zh-CN" w:bidi="ar"/>
              </w:rPr>
              <w:t>具有团队协作精神、‌组织协调能力和‌表达能力；有一定的综合写作及文字表达能力，财务会计专业优先。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8" w:hRule="atLeast"/>
          <w:jc w:val="center"/>
        </w:trPr>
        <w:tc>
          <w:tcPr>
            <w:tcW w:w="1146"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服务人员</w:t>
            </w:r>
          </w:p>
        </w:tc>
        <w:tc>
          <w:tcPr>
            <w:tcW w:w="2622"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导税服务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税费咨询辅导服务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基础服务</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采购人需要的临时调配等其他相关服务</w:t>
            </w:r>
          </w:p>
        </w:tc>
        <w:tc>
          <w:tcPr>
            <w:tcW w:w="5711"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1.</w:t>
            </w:r>
            <w:r>
              <w:rPr>
                <w:rFonts w:hint="eastAsia" w:ascii="仿宋_GB2312" w:hAnsi="仿宋_GB2312" w:eastAsia="仿宋_GB2312" w:cs="仿宋_GB2312"/>
                <w:color w:val="auto"/>
                <w:kern w:val="0"/>
                <w:sz w:val="21"/>
                <w:szCs w:val="21"/>
                <w:lang w:val="en-US" w:eastAsia="zh-CN" w:bidi="ar"/>
              </w:rPr>
              <w:t>具有全日制大学专科及以上学历，22周岁以上，45周岁以下，有财税相关工作经验者优先。</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2.</w:t>
            </w:r>
            <w:r>
              <w:rPr>
                <w:rFonts w:hint="eastAsia" w:ascii="仿宋_GB2312" w:hAnsi="仿宋_GB2312" w:eastAsia="仿宋_GB2312" w:cs="仿宋_GB2312"/>
                <w:color w:val="auto"/>
                <w:kern w:val="0"/>
                <w:sz w:val="21"/>
                <w:szCs w:val="21"/>
                <w:lang w:val="en-US" w:eastAsia="zh-CN" w:bidi="ar"/>
              </w:rPr>
              <w:t>掌握税收、财务、计算机等相关专业基础知识,具有较强的学习能力，通过学习能够熟悉税费法律法规政策和管理制度，能熟练掌握税务系统相关办公软件，能够熟悉各类税收法律法规及各类报表的填写，准确及时回应纳税人需求。</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cs="仿宋_GB2312"/>
                <w:color w:val="auto"/>
                <w:kern w:val="0"/>
                <w:sz w:val="21"/>
                <w:szCs w:val="21"/>
                <w:lang w:val="en-US" w:eastAsia="zh-CN" w:bidi="ar"/>
              </w:rPr>
              <w:t>3.</w:t>
            </w:r>
            <w:r>
              <w:rPr>
                <w:rFonts w:hint="eastAsia" w:ascii="仿宋_GB2312" w:hAnsi="仿宋_GB2312" w:eastAsia="仿宋_GB2312" w:cs="仿宋_GB2312"/>
                <w:color w:val="auto"/>
                <w:kern w:val="0"/>
                <w:sz w:val="21"/>
                <w:szCs w:val="21"/>
                <w:lang w:val="en-US" w:eastAsia="zh-CN" w:bidi="ar"/>
              </w:rPr>
              <w:t>普通话发音基本标准，有良好的语言表达能力、沟通能力和学习能力。</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kern w:val="0"/>
                <w:sz w:val="21"/>
                <w:szCs w:val="21"/>
                <w:lang w:val="en-US" w:eastAsia="zh-CN" w:bidi="ar"/>
              </w:rPr>
              <w:t>4.</w:t>
            </w:r>
            <w:r>
              <w:rPr>
                <w:rFonts w:hint="eastAsia" w:ascii="仿宋_GB2312" w:hAnsi="仿宋_GB2312" w:eastAsia="仿宋_GB2312" w:cs="仿宋_GB2312"/>
                <w:color w:val="auto"/>
                <w:kern w:val="0"/>
                <w:sz w:val="21"/>
                <w:szCs w:val="21"/>
                <w:lang w:val="en-US" w:eastAsia="zh-CN" w:bidi="ar"/>
              </w:rPr>
              <w:t>统一着装，遵守税务机关对于各岗位着装要求，言行规范，注意仪容仪表、公众形象。</w:t>
            </w:r>
          </w:p>
        </w:tc>
      </w:tr>
    </w:tbl>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eastAsia="en-US"/>
        </w:rPr>
      </w:pPr>
      <w:bookmarkStart w:id="170" w:name="_Toc15514"/>
      <w:bookmarkStart w:id="171" w:name="_Toc9465"/>
      <w:r>
        <w:rPr>
          <w:rFonts w:hint="eastAsia" w:ascii="仿宋_GB2312" w:hAnsi="仿宋_GB2312" w:eastAsia="仿宋_GB2312" w:cs="仿宋_GB2312"/>
          <w:bCs/>
          <w:i w:val="0"/>
          <w:iCs w:val="0"/>
          <w:color w:val="auto"/>
          <w:kern w:val="0"/>
          <w:sz w:val="28"/>
          <w:szCs w:val="28"/>
          <w:lang w:eastAsia="en-US"/>
        </w:rPr>
        <w:t>4.</w:t>
      </w:r>
      <w:r>
        <w:rPr>
          <w:rFonts w:hint="eastAsia" w:ascii="仿宋_GB2312" w:hAnsi="仿宋_GB2312" w:eastAsia="仿宋_GB2312" w:cs="仿宋_GB2312"/>
          <w:bCs/>
          <w:i w:val="0"/>
          <w:iCs w:val="0"/>
          <w:color w:val="auto"/>
          <w:kern w:val="0"/>
          <w:sz w:val="28"/>
          <w:szCs w:val="28"/>
          <w:lang w:val="en-US" w:eastAsia="zh-CN"/>
        </w:rPr>
        <w:t>2</w:t>
      </w:r>
      <w:r>
        <w:rPr>
          <w:rFonts w:hint="eastAsia" w:ascii="仿宋_GB2312" w:hAnsi="仿宋_GB2312" w:eastAsia="仿宋_GB2312" w:cs="仿宋_GB2312"/>
          <w:bCs/>
          <w:i w:val="0"/>
          <w:iCs w:val="0"/>
          <w:color w:val="auto"/>
          <w:kern w:val="0"/>
          <w:sz w:val="28"/>
          <w:szCs w:val="28"/>
          <w:lang w:eastAsia="zh-CN"/>
        </w:rPr>
        <w:t>其他</w:t>
      </w:r>
      <w:r>
        <w:rPr>
          <w:rFonts w:hint="eastAsia" w:ascii="仿宋_GB2312" w:hAnsi="仿宋_GB2312" w:eastAsia="仿宋_GB2312" w:cs="仿宋_GB2312"/>
          <w:bCs/>
          <w:i w:val="0"/>
          <w:iCs w:val="0"/>
          <w:color w:val="auto"/>
          <w:kern w:val="0"/>
          <w:sz w:val="28"/>
          <w:szCs w:val="28"/>
          <w:lang w:eastAsia="en-US"/>
        </w:rPr>
        <w:t>要求</w:t>
      </w:r>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具有中华人民共和国国籍，拥护党的方针政策，热爱祖国，遵纪守法。具有良好的思想品德，作风正派，无违法犯罪记录，需在上岗前向采购人提供无犯罪记录证明（供应商在参与投标时须提供书面承诺函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★（二）身心健康，无传染病，需提供入职前一个月内体检报告。（供应商在参与投标时须提供书面承诺函并加盖单位公章）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（三）岗位的工作时间及休假时间根据国家有关规定和实际工作需要做具体安排。正常工作日</w:t>
      </w:r>
      <w:r>
        <w:rPr>
          <w:rFonts w:hint="eastAsia" w:ascii="仿宋_GB2312" w:hAnsi="仿宋_GB2312" w:cs="仿宋_GB2312"/>
          <w:color w:val="auto"/>
          <w:lang w:val="en-US" w:eastAsia="zh-CN"/>
        </w:rPr>
        <w:t>以采购人所在区政府或实际情况而定，总工作时长8小时</w:t>
      </w:r>
      <w:r>
        <w:rPr>
          <w:rFonts w:hint="eastAsia" w:ascii="仿宋_GB2312" w:hAnsi="仿宋_GB2312" w:eastAsia="仿宋_GB2312" w:cs="仿宋_GB2312"/>
          <w:color w:val="auto"/>
          <w:lang w:val="en-US" w:eastAsia="zh-CN"/>
        </w:rPr>
        <w:t>,不得出现迟到、早退、旷工情况，</w:t>
      </w:r>
      <w:r>
        <w:rPr>
          <w:rFonts w:hint="eastAsia" w:ascii="仿宋_GB2312" w:hAnsi="仿宋_GB2312" w:cs="仿宋_GB2312"/>
          <w:color w:val="auto"/>
          <w:lang w:val="en-US" w:eastAsia="zh-CN"/>
        </w:rPr>
        <w:t>供应商</w:t>
      </w:r>
      <w:r>
        <w:rPr>
          <w:rFonts w:hint="eastAsia" w:ascii="仿宋_GB2312" w:hAnsi="仿宋_GB2312" w:eastAsia="仿宋_GB2312" w:cs="仿宋_GB2312"/>
          <w:color w:val="auto"/>
          <w:lang w:val="en-US" w:eastAsia="zh-CN"/>
        </w:rPr>
        <w:t>应当根据采购人要求安排延时及加班服务，对于延时或加班服务，采购人不额外支付</w:t>
      </w:r>
      <w:r>
        <w:rPr>
          <w:rFonts w:hint="eastAsia" w:ascii="仿宋_GB2312" w:hAnsi="仿宋_GB2312" w:cs="仿宋_GB2312"/>
          <w:color w:val="auto"/>
          <w:lang w:val="en-US" w:eastAsia="zh-CN"/>
        </w:rPr>
        <w:t>服务</w:t>
      </w:r>
      <w:r>
        <w:rPr>
          <w:rFonts w:hint="eastAsia" w:ascii="仿宋_GB2312" w:hAnsi="仿宋_GB2312" w:eastAsia="仿宋_GB2312" w:cs="仿宋_GB2312"/>
          <w:color w:val="auto"/>
          <w:lang w:val="en-US" w:eastAsia="zh-CN"/>
        </w:rPr>
        <w:t>费用。</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val="en-US" w:eastAsia="zh-CN"/>
        </w:rPr>
      </w:pPr>
      <w:bookmarkStart w:id="172" w:name="_Toc29089"/>
      <w:bookmarkStart w:id="173" w:name="_Toc28049"/>
      <w:r>
        <w:rPr>
          <w:rFonts w:hint="eastAsia" w:ascii="仿宋_GB2312" w:hAnsi="仿宋_GB2312" w:eastAsia="仿宋_GB2312" w:cs="仿宋_GB2312"/>
          <w:bCs/>
          <w:i w:val="0"/>
          <w:iCs w:val="0"/>
          <w:color w:val="auto"/>
          <w:kern w:val="0"/>
          <w:sz w:val="28"/>
          <w:szCs w:val="28"/>
          <w:lang w:eastAsia="en-US"/>
        </w:rPr>
        <w:t>4.</w:t>
      </w:r>
      <w:r>
        <w:rPr>
          <w:rFonts w:hint="eastAsia" w:ascii="仿宋_GB2312" w:hAnsi="仿宋_GB2312" w:eastAsia="仿宋_GB2312" w:cs="仿宋_GB2312"/>
          <w:bCs/>
          <w:i w:val="0"/>
          <w:iCs w:val="0"/>
          <w:color w:val="auto"/>
          <w:kern w:val="0"/>
          <w:sz w:val="28"/>
          <w:szCs w:val="28"/>
          <w:lang w:val="en-US" w:eastAsia="zh-CN"/>
        </w:rPr>
        <w:t>3服务质量保障要求</w:t>
      </w:r>
      <w:bookmarkEnd w:id="172"/>
      <w:bookmarkEnd w:id="17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rPr>
        <w:t>★（一）供应商投入本项目的服务人员应当遵守保密要求，保守国家秘密、税收工作秘密和服务对象秘密。供应商应当建立</w:t>
      </w:r>
      <w:r>
        <w:rPr>
          <w:rFonts w:hint="eastAsia" w:ascii="仿宋_GB2312" w:hAnsi="仿宋_GB2312" w:eastAsia="仿宋_GB2312" w:cs="仿宋_GB2312"/>
          <w:b w:val="0"/>
          <w:bCs w:val="0"/>
          <w:color w:val="auto"/>
          <w:lang w:val="en-US" w:eastAsia="zh-CN"/>
        </w:rPr>
        <w:t>保密制度，内容包含但不限于保密制度及警示案例的学</w:t>
      </w:r>
      <w:r>
        <w:rPr>
          <w:rFonts w:hint="eastAsia" w:ascii="仿宋_GB2312" w:hAnsi="仿宋_GB2312" w:eastAsia="仿宋_GB2312" w:cs="仿宋_GB2312"/>
          <w:color w:val="auto"/>
          <w:lang w:val="en-US" w:eastAsia="zh-CN"/>
        </w:rPr>
        <w:t>习、签订保密协议、泄密处理条例等。服务人员在入职前须与供应商及采购人签订三方保密协议（保密协议由采购人提供）若在服务过程中泄露采购人的工作秘密，供应商须承担全部责任。</w:t>
      </w:r>
      <w:r>
        <w:rPr>
          <w:rFonts w:hint="eastAsia" w:ascii="仿宋_GB2312" w:hAnsi="仿宋_GB2312" w:eastAsia="仿宋_GB2312" w:cs="仿宋_GB2312"/>
          <w:color w:val="auto"/>
          <w:highlight w:val="none"/>
          <w:lang w:val="en-US" w:eastAsia="zh-CN"/>
        </w:rPr>
        <w:t>（供应商在参与投标时须提供书面承诺函并加盖单位公章）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本项目使用的电脑、打印机等工作设备由采购人提供，服务人员下班或长时间离岗后须关闭所使用的办公电子设备电源，锁存重要办公用品，非正常原因造成的设备损坏由供应商负责赔偿。供应商应登记资产使用台账并</w:t>
      </w:r>
      <w:r>
        <w:rPr>
          <w:rFonts w:hint="eastAsia" w:ascii="仿宋_GB2312" w:hAnsi="仿宋_GB2312" w:eastAsia="仿宋_GB2312" w:cs="仿宋_GB2312"/>
          <w:b w:val="0"/>
          <w:bCs w:val="0"/>
          <w:color w:val="auto"/>
          <w:lang w:val="en-US" w:eastAsia="zh-CN"/>
        </w:rPr>
        <w:t>建立资产管理制度，内容包括但不限于</w:t>
      </w:r>
      <w:r>
        <w:rPr>
          <w:rFonts w:hint="eastAsia" w:ascii="仿宋_GB2312" w:hAnsi="仿宋_GB2312" w:eastAsia="仿宋_GB2312" w:cs="仿宋_GB2312"/>
          <w:color w:val="auto"/>
          <w:lang w:val="en-US" w:eastAsia="zh-CN"/>
        </w:rPr>
        <w:t>资产领用、交回、盘点、保管、非正常损失赔偿等。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color w:val="auto"/>
          <w:lang w:val="en-US" w:eastAsia="zh-CN"/>
        </w:rPr>
        <w:t>（三）为保障服务质量，供应商所提供的人员须具有稳定性及连续性，不得擅自更换人员，如果有人员更换的情况须提前15日向采</w:t>
      </w:r>
      <w:r>
        <w:rPr>
          <w:rFonts w:hint="eastAsia" w:ascii="仿宋_GB2312" w:hAnsi="仿宋_GB2312" w:eastAsia="仿宋_GB2312" w:cs="仿宋_GB2312"/>
          <w:b w:val="0"/>
          <w:bCs w:val="0"/>
          <w:color w:val="auto"/>
          <w:lang w:val="en-US" w:eastAsia="zh-CN"/>
        </w:rPr>
        <w:t>购人书面说明原因，并及时补充人员，妥善办理交接手续，因人员擅自离岗造成的损失由供应商承担。对不能胜任工作、违反采购人工作制度或出现重大失误的人员，采购人有权要求供应商进行人员更换，供应商须按照采购人的要求在5个工作日内及时予以补充人员并承担退回人员的安置及费用。供应商应提供人员保障方案，内容包括但不限于人员招录及辞退方案、保证人员稳定性的方案、人员补替方案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四）供应商投入本项目的服务人员在服务过程中须按照采购人的要求完成日常工作，服务人员上岗前经过相关培训，培训内容须包含税收政策知识、税务操作系统操作流程、保密及廉政教育、沟通技巧培训等相关内容。供应商应制定岗前培训管理方案，内容包含但不限于：师资力量、培训内容、培训时间安排、培训方式、培训成果考核等，具体实施培训前须将培训内容提前同采购人进行沟通审核，确保培训内容贴合税务机关工作实际。供应商每季度对工作人员进行培训检测，检测结果纳入员工绩效考核，并报采购人，日常培训过程中产生的所有费用包含在投标报价总费用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五）供应商应建立完善的相关服务应急预案方案，内容包含但不限于以下内容：办税服务厅断电应急预案（内容包括但不限于应急措施、人员疏导安抚、舆情追踪、后续事项处理等）、大厅纠纷应急预案（内容包括但不限于预防措施、事件处理流程、责任追究、事后预防等）、服务人员投诉应急预案（内容包括但不限于预防措施、事件处理流程、责任追究、事后预防等）、人员工伤应急响应机制及劳动争议解决方案（内容包括但不限于事前预防、纠纷处理、事后跟踪、后续事项处理）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 xml:space="preserve">（六）供应商应按照采购人的要求，配合采购人对项目进行日常管理和考核工作。供应商须制定考核管理方案对服务人员开展考核，并根据采购人的要求修改考核方案，使考核方案能够保障实际工作的运转，考核内容包括但不限于如下方面：（1）考核组织机构；（2）配合采购人考核措施；（3）员工奖惩考核办法；（4）考核质量保障措施。 </w:t>
      </w:r>
    </w:p>
    <w:p>
      <w:pPr>
        <w:pStyle w:val="4"/>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_GB2312" w:hAnsi="仿宋_GB2312" w:eastAsia="仿宋_GB2312" w:cs="仿宋_GB2312"/>
          <w:color w:val="auto"/>
          <w:kern w:val="0"/>
          <w:sz w:val="28"/>
          <w:szCs w:val="28"/>
          <w:highlight w:val="none"/>
          <w:lang w:val="en-US" w:eastAsia="en-US"/>
        </w:rPr>
      </w:pPr>
      <w:bookmarkStart w:id="174" w:name="_Toc14479"/>
      <w:bookmarkStart w:id="175" w:name="_Toc10179"/>
      <w:bookmarkStart w:id="176" w:name="_Toc17886"/>
      <w:r>
        <w:rPr>
          <w:rFonts w:hint="eastAsia" w:ascii="仿宋_GB2312" w:hAnsi="仿宋_GB2312" w:eastAsia="仿宋_GB2312" w:cs="仿宋_GB2312"/>
          <w:b/>
          <w:bCs/>
          <w:i w:val="0"/>
          <w:iCs w:val="0"/>
          <w:color w:val="auto"/>
          <w:kern w:val="0"/>
          <w:sz w:val="28"/>
          <w:szCs w:val="28"/>
          <w:highlight w:val="none"/>
        </w:rPr>
        <w:t>4.</w:t>
      </w:r>
      <w:r>
        <w:rPr>
          <w:rFonts w:hint="eastAsia" w:ascii="仿宋_GB2312" w:hAnsi="仿宋_GB2312" w:eastAsia="仿宋_GB2312" w:cs="仿宋_GB2312"/>
          <w:b/>
          <w:bCs/>
          <w:i w:val="0"/>
          <w:iCs w:val="0"/>
          <w:color w:val="auto"/>
          <w:kern w:val="0"/>
          <w:sz w:val="28"/>
          <w:szCs w:val="28"/>
          <w:highlight w:val="none"/>
          <w:lang w:val="en-US" w:eastAsia="zh-CN"/>
        </w:rPr>
        <w:t>4</w:t>
      </w:r>
      <w:r>
        <w:rPr>
          <w:rFonts w:hint="eastAsia" w:ascii="仿宋_GB2312" w:hAnsi="仿宋_GB2312" w:eastAsia="仿宋_GB2312" w:cs="仿宋_GB2312"/>
          <w:b/>
          <w:bCs/>
          <w:i w:val="0"/>
          <w:iCs w:val="0"/>
          <w:color w:val="auto"/>
          <w:kern w:val="0"/>
          <w:sz w:val="28"/>
          <w:szCs w:val="28"/>
          <w:highlight w:val="none"/>
        </w:rPr>
        <w:t>优选资质/优选指标</w:t>
      </w:r>
      <w:bookmarkEnd w:id="174"/>
      <w:bookmarkEnd w:id="175"/>
      <w:bookmarkEnd w:id="176"/>
    </w:p>
    <w:tbl>
      <w:tblPr>
        <w:tblStyle w:val="18"/>
        <w:tblW w:w="5143" w:type="pct"/>
        <w:jc w:val="center"/>
        <w:tblLayout w:type="autofit"/>
        <w:tblCellMar>
          <w:top w:w="15" w:type="dxa"/>
          <w:left w:w="15" w:type="dxa"/>
          <w:bottom w:w="15" w:type="dxa"/>
          <w:right w:w="15" w:type="dxa"/>
        </w:tblCellMar>
      </w:tblPr>
      <w:tblGrid>
        <w:gridCol w:w="634"/>
        <w:gridCol w:w="1277"/>
        <w:gridCol w:w="2090"/>
        <w:gridCol w:w="2878"/>
        <w:gridCol w:w="1710"/>
      </w:tblGrid>
      <w:tr>
        <w:tblPrEx>
          <w:tblCellMar>
            <w:top w:w="15" w:type="dxa"/>
            <w:left w:w="15" w:type="dxa"/>
            <w:bottom w:w="15" w:type="dxa"/>
            <w:right w:w="15" w:type="dxa"/>
          </w:tblCellMar>
        </w:tblPrEx>
        <w:trPr>
          <w:jc w:val="center"/>
        </w:trPr>
        <w:tc>
          <w:tcPr>
            <w:tcW w:w="369" w:type="pct"/>
            <w:tcBorders>
              <w:top w:val="single" w:color="000000" w:sz="6" w:space="0"/>
              <w:left w:val="single" w:color="000000" w:sz="6" w:space="0"/>
              <w:bottom w:val="single" w:color="000000" w:sz="6" w:space="0"/>
              <w:right w:val="single" w:color="000000" w:sz="6" w:space="0"/>
            </w:tcBorders>
            <w:shd w:val="clear" w:color="auto" w:fill="CFCECE" w:themeFill="background2" w:themeFillShade="E5"/>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1"/>
                <w:szCs w:val="21"/>
                <w:highlight w:val="none"/>
              </w:rPr>
              <w:t>序号</w:t>
            </w:r>
          </w:p>
        </w:tc>
        <w:tc>
          <w:tcPr>
            <w:tcW w:w="743" w:type="pct"/>
            <w:tcBorders>
              <w:top w:val="single" w:color="000000" w:sz="6" w:space="0"/>
              <w:left w:val="single" w:color="000000" w:sz="6" w:space="0"/>
              <w:bottom w:val="single" w:color="000000" w:sz="6" w:space="0"/>
              <w:right w:val="single" w:color="000000" w:sz="6" w:space="0"/>
            </w:tcBorders>
            <w:shd w:val="clear" w:color="auto" w:fill="CFCECE" w:themeFill="background2" w:themeFillShade="E5"/>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1"/>
                <w:szCs w:val="21"/>
                <w:highlight w:val="none"/>
              </w:rPr>
              <w:t>人员类别</w:t>
            </w:r>
          </w:p>
        </w:tc>
        <w:tc>
          <w:tcPr>
            <w:tcW w:w="1216" w:type="pct"/>
            <w:tcBorders>
              <w:top w:val="single" w:color="000000" w:sz="6" w:space="0"/>
              <w:left w:val="single" w:color="000000" w:sz="6" w:space="0"/>
              <w:bottom w:val="single" w:color="000000" w:sz="6" w:space="0"/>
              <w:right w:val="single" w:color="000000" w:sz="6" w:space="0"/>
            </w:tcBorders>
            <w:shd w:val="clear" w:color="auto" w:fill="CFCECE" w:themeFill="background2" w:themeFillShade="E5"/>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1"/>
                <w:szCs w:val="21"/>
                <w:highlight w:val="none"/>
              </w:rPr>
              <w:t>人员岗位</w:t>
            </w:r>
          </w:p>
        </w:tc>
        <w:tc>
          <w:tcPr>
            <w:tcW w:w="1675" w:type="pct"/>
            <w:tcBorders>
              <w:top w:val="single" w:color="000000" w:sz="6" w:space="0"/>
              <w:left w:val="single" w:color="000000" w:sz="6" w:space="0"/>
              <w:bottom w:val="single" w:color="000000" w:sz="6" w:space="0"/>
              <w:right w:val="single" w:color="000000" w:sz="6" w:space="0"/>
            </w:tcBorders>
            <w:shd w:val="clear" w:color="auto" w:fill="CFCECE" w:themeFill="background2" w:themeFillShade="E5"/>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1"/>
                <w:szCs w:val="21"/>
                <w:highlight w:val="none"/>
              </w:rPr>
              <w:t>人员要求</w:t>
            </w:r>
          </w:p>
        </w:tc>
        <w:tc>
          <w:tcPr>
            <w:tcW w:w="995" w:type="pct"/>
            <w:tcBorders>
              <w:top w:val="single" w:color="000000" w:sz="6" w:space="0"/>
              <w:left w:val="single" w:color="000000" w:sz="6" w:space="0"/>
              <w:bottom w:val="single" w:color="000000" w:sz="6" w:space="0"/>
              <w:right w:val="single" w:color="000000" w:sz="6" w:space="0"/>
            </w:tcBorders>
            <w:shd w:val="clear" w:color="auto" w:fill="CFCECE" w:themeFill="background2" w:themeFillShade="E5"/>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rPr>
            </w:pPr>
            <w:r>
              <w:rPr>
                <w:rFonts w:hint="eastAsia" w:ascii="仿宋_GB2312" w:hAnsi="仿宋_GB2312" w:eastAsia="仿宋_GB2312" w:cs="仿宋_GB2312"/>
                <w:b w:val="0"/>
                <w:bCs w:val="0"/>
                <w:i w:val="0"/>
                <w:iCs w:val="0"/>
                <w:smallCaps w:val="0"/>
                <w:color w:val="auto"/>
                <w:sz w:val="21"/>
                <w:szCs w:val="21"/>
                <w:highlight w:val="none"/>
              </w:rPr>
              <w:t>是否作为加分项</w:t>
            </w:r>
          </w:p>
        </w:tc>
      </w:tr>
      <w:tr>
        <w:tblPrEx>
          <w:tblCellMar>
            <w:top w:w="15" w:type="dxa"/>
            <w:left w:w="15" w:type="dxa"/>
            <w:bottom w:w="15" w:type="dxa"/>
            <w:right w:w="15" w:type="dxa"/>
          </w:tblCellMar>
        </w:tblPrEx>
        <w:trPr>
          <w:jc w:val="center"/>
        </w:trPr>
        <w:tc>
          <w:tcPr>
            <w:tcW w:w="369"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1</w:t>
            </w:r>
          </w:p>
        </w:tc>
        <w:tc>
          <w:tcPr>
            <w:tcW w:w="743"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技术团队</w:t>
            </w:r>
          </w:p>
        </w:tc>
        <w:tc>
          <w:tcPr>
            <w:tcW w:w="121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服务人员</w:t>
            </w:r>
          </w:p>
        </w:tc>
        <w:tc>
          <w:tcPr>
            <w:tcW w:w="167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sz w:val="21"/>
                <w:szCs w:val="21"/>
                <w:highlight w:val="none"/>
                <w:lang w:val="en-US" w:eastAsia="en-US" w:bidi="ar-SA"/>
              </w:rPr>
            </w:pPr>
            <w:r>
              <w:rPr>
                <w:rFonts w:hint="eastAsia" w:ascii="仿宋_GB2312" w:hAnsi="仿宋_GB2312" w:eastAsia="仿宋_GB2312" w:cs="仿宋_GB2312"/>
                <w:b w:val="0"/>
                <w:bCs w:val="0"/>
                <w:i w:val="0"/>
                <w:iCs w:val="0"/>
                <w:smallCaps w:val="0"/>
                <w:color w:val="auto"/>
                <w:sz w:val="21"/>
                <w:szCs w:val="21"/>
                <w:highlight w:val="none"/>
                <w:lang w:eastAsia="zh-CN"/>
              </w:rPr>
              <w:t>承诺服务期限内优先聘用采购人现有服务人员，予以加分（承诺比例越高，加分越多）</w:t>
            </w:r>
          </w:p>
        </w:tc>
        <w:tc>
          <w:tcPr>
            <w:tcW w:w="99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en-US" w:bidi="ar-SA"/>
              </w:rPr>
            </w:pPr>
            <w:r>
              <w:rPr>
                <w:rFonts w:hint="eastAsia" w:ascii="仿宋_GB2312" w:hAnsi="仿宋_GB2312" w:eastAsia="仿宋_GB2312" w:cs="仿宋_GB2312"/>
                <w:b w:val="0"/>
                <w:bCs w:val="0"/>
                <w:i w:val="0"/>
                <w:iCs w:val="0"/>
                <w:smallCaps w:val="0"/>
                <w:color w:val="auto"/>
                <w:sz w:val="21"/>
                <w:szCs w:val="21"/>
                <w:highlight w:val="none"/>
              </w:rPr>
              <w:t>是</w:t>
            </w: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177" w:name="_Toc3896"/>
      <w:bookmarkStart w:id="178" w:name="_Toc29578"/>
      <w:r>
        <w:rPr>
          <w:rFonts w:hint="eastAsia" w:ascii="仿宋_GB2312" w:hAnsi="仿宋_GB2312" w:eastAsia="仿宋_GB2312" w:cs="仿宋_GB2312"/>
          <w:b/>
          <w:bCs/>
          <w:color w:val="auto"/>
          <w:kern w:val="36"/>
          <w:sz w:val="32"/>
          <w:szCs w:val="32"/>
          <w:highlight w:val="none"/>
          <w:lang w:eastAsia="en-US"/>
        </w:rPr>
        <w:t>5风险管控要求</w:t>
      </w:r>
      <w:bookmarkEnd w:id="177"/>
      <w:bookmarkEnd w:id="178"/>
    </w:p>
    <w:p>
      <w:pPr>
        <w:pStyle w:val="2"/>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（一）采购人严格按照时限要求，根据采购文件和中标供应商响应文件的规定分别与中标供应商签订采购合同。</w:t>
      </w:r>
    </w:p>
    <w:p>
      <w:pPr>
        <w:pStyle w:val="3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kern w:val="2"/>
          <w:sz w:val="28"/>
          <w:szCs w:val="24"/>
          <w:lang w:val="en-US" w:eastAsia="zh-CN" w:bidi="ar-SA"/>
        </w:rPr>
        <w:t>（二）供应商须依据《中华人民共和国劳动法》《中华人民共和国劳动合同法》及相关法律法规的规定与投入本项目的服务人员签订劳动合同，并履行对劳动者的法定义务，不得将这些义务转嫁于采购人，采购人与供应商提供服务的劳动者之间不存在劳动合同关系。供应商负责服务人员的人身安全、健康、意外以及劳动争议等所有问题处置，承担所有人事风险责任(包括法律、经济赔偿责任)。(供应商应在响应文件中单独提供承诺函进行响应，格式自拟)</w:t>
      </w:r>
    </w:p>
    <w:p>
      <w:pPr>
        <w:pStyle w:val="3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三）供应商应积极做好服务人员的安全防护教育，按采购人要求做好安全防护。供应商委派的服务人员在工作中受到伤害或遇到其他事故伤害时，所产生的责任及发生的所有费用均由供应商承担和解决，如果采购人因此承担了任何费用或责任，可向供应商全额追偿。</w:t>
      </w:r>
    </w:p>
    <w:p>
      <w:pPr>
        <w:pStyle w:val="3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（四）供应商安排的服务人员应经过供应商的系统培训,并保证符合采购人要求，采购人有权监督考察，供应商应根据评价结果,落实到服务人员绩效考核中。对考核不合格的服务人员,不得再次指派提供服务。</w:t>
      </w:r>
    </w:p>
    <w:p>
      <w:pPr>
        <w:pStyle w:val="3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五）采购人对服务人员进行与服务项目相关的管理,并检查服务人员的工作表现情况,包括上下班记录、服务情况、违规违纪情况、受表扬、被投诉情况等。供应商应指定专门管理人员,负责对服务人员的日常管理,负责与采购人进行协调沟通。</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六）供应商及服务人员不得在采购人提供的工作场所从事与采购人指定工作无关的其他工作；不得利用服务之便,从事税务代理、财务审计等中介活动；不得利用服务之便,为自己或他人谋取私利,从事违法犯罪活动；对采购人造成负面影响或损失的,供应商应承担相关法律责任和经济赔偿。</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（七）供应商应确保</w:t>
      </w:r>
      <w:r>
        <w:rPr>
          <w:rFonts w:hint="eastAsia" w:ascii="仿宋_GB2312" w:hAnsi="仿宋_GB2312" w:cs="仿宋_GB2312"/>
          <w:color w:val="auto"/>
          <w:kern w:val="2"/>
          <w:sz w:val="28"/>
          <w:szCs w:val="24"/>
          <w:lang w:val="en-US" w:eastAsia="zh-CN" w:bidi="ar-SA"/>
        </w:rPr>
        <w:t>服务人员</w:t>
      </w:r>
      <w:r>
        <w:rPr>
          <w:rFonts w:hint="eastAsia" w:ascii="仿宋_GB2312" w:hAnsi="仿宋_GB2312" w:eastAsia="仿宋_GB2312" w:cs="仿宋_GB2312"/>
          <w:color w:val="auto"/>
          <w:kern w:val="2"/>
          <w:sz w:val="28"/>
          <w:szCs w:val="24"/>
          <w:lang w:val="en-US" w:eastAsia="zh-CN" w:bidi="ar-SA"/>
        </w:rPr>
        <w:t>工作技能能够达到采购人的服务需求，根据工作实际需求进行</w:t>
      </w:r>
      <w:r>
        <w:rPr>
          <w:rFonts w:hint="eastAsia" w:ascii="仿宋_GB2312" w:hAnsi="仿宋_GB2312" w:cs="仿宋_GB2312"/>
          <w:color w:val="auto"/>
          <w:kern w:val="2"/>
          <w:sz w:val="28"/>
          <w:szCs w:val="24"/>
          <w:lang w:val="en-US" w:eastAsia="zh-CN" w:bidi="ar-SA"/>
        </w:rPr>
        <w:t>服务人员</w:t>
      </w:r>
      <w:r>
        <w:rPr>
          <w:rFonts w:hint="eastAsia" w:ascii="仿宋_GB2312" w:hAnsi="仿宋_GB2312" w:eastAsia="仿宋_GB2312" w:cs="仿宋_GB2312"/>
          <w:color w:val="auto"/>
          <w:kern w:val="2"/>
          <w:sz w:val="28"/>
          <w:szCs w:val="24"/>
          <w:lang w:val="en-US" w:eastAsia="zh-CN" w:bidi="ar-SA"/>
        </w:rPr>
        <w:t>岗位安排，对不能胜任工作或出现重大过错的人员，应按照采购人的要求及时调整。</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（八）在合同履行期内，供应商若发生政治事件、重大舆情及涉黑涉恶等事件，</w:t>
      </w:r>
      <w:r>
        <w:rPr>
          <w:rFonts w:hint="eastAsia" w:ascii="仿宋_GB2312" w:hAnsi="仿宋_GB2312" w:cs="仿宋_GB2312"/>
          <w:color w:val="auto"/>
          <w:kern w:val="2"/>
          <w:sz w:val="28"/>
          <w:szCs w:val="24"/>
          <w:lang w:val="en-US" w:eastAsia="zh-CN" w:bidi="ar-SA"/>
        </w:rPr>
        <w:t>服务人员</w:t>
      </w:r>
      <w:r>
        <w:rPr>
          <w:rFonts w:hint="eastAsia" w:ascii="仿宋_GB2312" w:hAnsi="仿宋_GB2312" w:eastAsia="仿宋_GB2312" w:cs="仿宋_GB2312"/>
          <w:color w:val="auto"/>
          <w:kern w:val="2"/>
          <w:sz w:val="28"/>
          <w:szCs w:val="24"/>
          <w:lang w:val="en-US" w:eastAsia="zh-CN" w:bidi="ar-SA"/>
        </w:rPr>
        <w:t>发生严重泄密事件等，采购人有权终止合同， 由供应商承担相应法律责任。</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kern w:val="2"/>
          <w:sz w:val="28"/>
          <w:szCs w:val="24"/>
          <w:lang w:val="en-US" w:eastAsia="zh-CN" w:bidi="ar-SA"/>
        </w:rPr>
        <w:t>（九）供应商服务人员在服务过程中造成第三人伤亡的，责任由供应商承担(供应商应在响应文件中单独提供承诺函进行响应，格式自拟)。</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lang w:val="en-US" w:eastAsia="zh-CN" w:bidi="ar-SA"/>
        </w:rPr>
      </w:pPr>
      <w:r>
        <w:rPr>
          <w:rFonts w:hint="eastAsia" w:ascii="仿宋_GB2312" w:hAnsi="仿宋_GB2312" w:eastAsia="仿宋_GB2312" w:cs="仿宋_GB2312"/>
          <w:color w:val="auto"/>
          <w:kern w:val="2"/>
          <w:sz w:val="28"/>
          <w:szCs w:val="24"/>
          <w:lang w:val="en-US" w:eastAsia="zh-CN" w:bidi="ar-SA"/>
        </w:rPr>
        <w:t>（十）采购人因政策、机构调整等原因导致不能继续履行合同的，有权单方面终止本合同，供应商负责做好</w:t>
      </w:r>
      <w:r>
        <w:rPr>
          <w:rFonts w:hint="eastAsia" w:ascii="仿宋_GB2312" w:hAnsi="仿宋_GB2312" w:cs="仿宋_GB2312"/>
          <w:color w:val="auto"/>
          <w:kern w:val="2"/>
          <w:sz w:val="28"/>
          <w:szCs w:val="24"/>
          <w:lang w:val="en-US" w:eastAsia="zh-CN" w:bidi="ar-SA"/>
        </w:rPr>
        <w:t>服务人员</w:t>
      </w:r>
      <w:r>
        <w:rPr>
          <w:rFonts w:hint="eastAsia" w:ascii="仿宋_GB2312" w:hAnsi="仿宋_GB2312" w:eastAsia="仿宋_GB2312" w:cs="仿宋_GB2312"/>
          <w:color w:val="auto"/>
          <w:kern w:val="2"/>
          <w:sz w:val="28"/>
          <w:szCs w:val="24"/>
          <w:lang w:val="en-US" w:eastAsia="zh-CN" w:bidi="ar-SA"/>
        </w:rPr>
        <w:t xml:space="preserve">的善后工作。  </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eastAsia="en-US"/>
        </w:rPr>
      </w:pPr>
      <w:bookmarkStart w:id="179" w:name="_Toc9204"/>
      <w:bookmarkStart w:id="180" w:name="_Toc17130"/>
      <w:r>
        <w:rPr>
          <w:rFonts w:hint="eastAsia" w:ascii="仿宋_GB2312" w:hAnsi="仿宋_GB2312" w:eastAsia="仿宋_GB2312" w:cs="仿宋_GB2312"/>
          <w:b/>
          <w:bCs/>
          <w:color w:val="auto"/>
          <w:kern w:val="36"/>
          <w:sz w:val="32"/>
          <w:szCs w:val="32"/>
          <w:lang w:eastAsia="en-US"/>
        </w:rPr>
        <w:t>6项目验收要求</w:t>
      </w:r>
      <w:bookmarkEnd w:id="179"/>
      <w:bookmarkEnd w:id="180"/>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val="zh-CN" w:eastAsia="en-US"/>
        </w:rPr>
      </w:pPr>
      <w:bookmarkStart w:id="181" w:name="_Toc4803"/>
      <w:bookmarkStart w:id="182" w:name="_Toc25830"/>
      <w:r>
        <w:rPr>
          <w:rFonts w:hint="eastAsia" w:ascii="仿宋_GB2312" w:hAnsi="仿宋_GB2312" w:eastAsia="仿宋_GB2312" w:cs="仿宋_GB2312"/>
          <w:bCs/>
          <w:i w:val="0"/>
          <w:iCs w:val="0"/>
          <w:color w:val="auto"/>
          <w:kern w:val="0"/>
          <w:sz w:val="28"/>
          <w:szCs w:val="28"/>
          <w:lang w:val="zh-CN" w:eastAsia="en-US"/>
        </w:rPr>
        <w:t>6.1总体要求</w:t>
      </w:r>
      <w:bookmarkEnd w:id="181"/>
      <w:bookmarkEnd w:id="182"/>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zh-CN"/>
        </w:rPr>
      </w:pP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根据招标文件、供应商投标文件的服务内容及国家和行业的相关标准对供应商完成工作的服务质量、技术指标、服务成果进行验收。</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val="en-US" w:eastAsia="zh-CN"/>
        </w:rPr>
      </w:pPr>
      <w:bookmarkStart w:id="183" w:name="_Toc21469"/>
      <w:bookmarkStart w:id="184" w:name="_Toc22533"/>
      <w:r>
        <w:rPr>
          <w:rFonts w:hint="eastAsia" w:ascii="仿宋_GB2312" w:hAnsi="仿宋_GB2312" w:eastAsia="仿宋_GB2312" w:cs="仿宋_GB2312"/>
          <w:bCs/>
          <w:i w:val="0"/>
          <w:iCs w:val="0"/>
          <w:color w:val="auto"/>
          <w:kern w:val="0"/>
          <w:sz w:val="28"/>
          <w:szCs w:val="28"/>
          <w:lang w:val="en-US" w:eastAsia="zh-CN"/>
        </w:rPr>
        <w:t>6.2基本要求</w:t>
      </w:r>
      <w:bookmarkEnd w:id="183"/>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（一）供应商于上个月度服务期满后，次月提请付款之前发起验收申请、汇报服务情况，结算时提请出具签字确认的评分表。</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（二）</w:t>
      </w: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验收小组根据考核要求逐项评分，结合验收方案进行验收，验收共计12次。验收小组需查验工作周期内服务记录、投诉举报记录、工作会议及业务培训记录；按岗位查验工作开展情况、工作过程相关文档的整理归档情况；听取服务对象的反馈等；供应商需配合提供相关记录、文档。</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1"/>
        <w:rPr>
          <w:rFonts w:hint="eastAsia" w:ascii="仿宋_GB2312" w:hAnsi="仿宋_GB2312" w:eastAsia="仿宋_GB2312" w:cs="仿宋_GB2312"/>
          <w:bCs/>
          <w:i w:val="0"/>
          <w:iCs w:val="0"/>
          <w:color w:val="auto"/>
          <w:kern w:val="0"/>
          <w:sz w:val="28"/>
          <w:szCs w:val="28"/>
          <w:lang w:val="en-US" w:eastAsia="zh-CN"/>
        </w:rPr>
      </w:pPr>
      <w:bookmarkStart w:id="185" w:name="_Toc27210"/>
      <w:r>
        <w:rPr>
          <w:rFonts w:hint="eastAsia" w:ascii="仿宋_GB2312" w:hAnsi="仿宋_GB2312" w:eastAsia="仿宋_GB2312" w:cs="仿宋_GB2312"/>
          <w:bCs/>
          <w:i w:val="0"/>
          <w:iCs w:val="0"/>
          <w:color w:val="auto"/>
          <w:kern w:val="0"/>
          <w:sz w:val="28"/>
          <w:szCs w:val="28"/>
          <w:lang w:val="en-US" w:eastAsia="zh-CN"/>
        </w:rPr>
        <w:t>6.3其他要求</w:t>
      </w:r>
      <w:bookmarkEnd w:id="185"/>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在合同履行期间，采购人有权根据实际情况适当调整验收办法，供应商应按照采购人调整后的验收办法进行验收。</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val="zh-CN" w:eastAsia="en-US"/>
        </w:rPr>
      </w:pPr>
      <w:bookmarkStart w:id="186" w:name="_Toc5828"/>
      <w:r>
        <w:rPr>
          <w:rFonts w:hint="eastAsia" w:ascii="仿宋_GB2312" w:hAnsi="仿宋_GB2312" w:eastAsia="仿宋_GB2312" w:cs="仿宋_GB2312"/>
          <w:bCs/>
          <w:i w:val="0"/>
          <w:iCs w:val="0"/>
          <w:color w:val="auto"/>
          <w:kern w:val="0"/>
          <w:sz w:val="28"/>
          <w:szCs w:val="28"/>
          <w:lang w:val="zh-CN" w:eastAsia="en-US"/>
        </w:rPr>
        <w:t>6.</w:t>
      </w:r>
      <w:r>
        <w:rPr>
          <w:rFonts w:hint="eastAsia" w:ascii="仿宋_GB2312" w:hAnsi="仿宋_GB2312" w:eastAsia="仿宋_GB2312" w:cs="仿宋_GB2312"/>
          <w:bCs/>
          <w:i w:val="0"/>
          <w:iCs w:val="0"/>
          <w:color w:val="auto"/>
          <w:kern w:val="0"/>
          <w:sz w:val="28"/>
          <w:szCs w:val="28"/>
          <w:lang w:val="en-US" w:eastAsia="zh-CN"/>
        </w:rPr>
        <w:t>4</w:t>
      </w:r>
      <w:r>
        <w:rPr>
          <w:rFonts w:hint="eastAsia" w:ascii="仿宋_GB2312" w:hAnsi="仿宋_GB2312" w:eastAsia="仿宋_GB2312" w:cs="仿宋_GB2312"/>
          <w:bCs/>
          <w:i w:val="0"/>
          <w:iCs w:val="0"/>
          <w:color w:val="auto"/>
          <w:kern w:val="0"/>
          <w:sz w:val="28"/>
          <w:szCs w:val="28"/>
          <w:lang w:val="zh-CN" w:eastAsia="en-US"/>
        </w:rPr>
        <w:t>验收考核标准</w:t>
      </w:r>
      <w:bookmarkEnd w:id="184"/>
      <w:bookmarkEnd w:id="186"/>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验收由</w:t>
      </w: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根据合同约定自行与供应商开展验收工作。</w:t>
      </w: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需成立验收小组，验收小组成员须≥</w:t>
      </w:r>
      <w:r>
        <w:rPr>
          <w:rFonts w:hint="eastAsia" w:ascii="仿宋_GB2312" w:hAnsi="仿宋_GB2312" w:eastAsia="仿宋_GB2312" w:cs="仿宋_GB2312"/>
          <w:color w:val="auto"/>
          <w:lang w:val="en-US" w:eastAsia="zh-CN"/>
        </w:rPr>
        <w:t>3人</w:t>
      </w:r>
      <w:r>
        <w:rPr>
          <w:rFonts w:hint="eastAsia" w:ascii="仿宋_GB2312" w:hAnsi="仿宋_GB2312" w:eastAsia="仿宋_GB2312" w:cs="仿宋_GB2312"/>
          <w:color w:val="auto"/>
          <w:lang w:val="zh-CN" w:eastAsia="zh-CN"/>
        </w:rPr>
        <w:t>。</w:t>
      </w: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相关部门在每月</w:t>
      </w:r>
      <w:r>
        <w:rPr>
          <w:rFonts w:hint="eastAsia" w:ascii="仿宋_GB2312" w:hAnsi="仿宋_GB2312" w:eastAsia="仿宋_GB2312" w:cs="仿宋_GB2312"/>
          <w:color w:val="auto"/>
          <w:lang w:val="en-US" w:eastAsia="zh-CN"/>
        </w:rPr>
        <w:t>最后一周</w:t>
      </w:r>
      <w:r>
        <w:rPr>
          <w:rFonts w:hint="eastAsia" w:ascii="仿宋_GB2312" w:hAnsi="仿宋_GB2312" w:eastAsia="仿宋_GB2312" w:cs="仿宋_GB2312"/>
          <w:color w:val="auto"/>
          <w:lang w:val="zh-CN" w:eastAsia="zh-CN"/>
        </w:rPr>
        <w:t>对供应商当月服务情况进行考核（结合日常监督情况），考核为百分制。考核得分≥90分，全额拨付当月服务费用；90分＞考核得分≥80分，只拨付当月服务费用的95%；80分＞考核得分≥70分，只拨付当月服务费用的90%；70分＞考核得分≥60分的，只拨付当月服务费用的85%；考核得分＜60分，只拨付当月服务费用的80%。</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zh-CN" w:eastAsia="zh-CN"/>
        </w:rPr>
        <w:t>供应商一季度内连续两次或一年内累计四次月考核得分＜60分的视为供应商违约,</w:t>
      </w:r>
      <w:r>
        <w:rPr>
          <w:rFonts w:hint="eastAsia" w:ascii="仿宋_GB2312" w:hAnsi="仿宋_GB2312" w:cs="仿宋_GB2312"/>
          <w:color w:val="auto"/>
          <w:lang w:val="zh-CN" w:eastAsia="zh-CN"/>
        </w:rPr>
        <w:t>采购人</w:t>
      </w:r>
      <w:r>
        <w:rPr>
          <w:rFonts w:hint="eastAsia" w:ascii="仿宋_GB2312" w:hAnsi="仿宋_GB2312" w:eastAsia="仿宋_GB2312" w:cs="仿宋_GB2312"/>
          <w:color w:val="auto"/>
          <w:lang w:val="zh-CN" w:eastAsia="zh-CN"/>
        </w:rPr>
        <w:t>有权解除合同并追究供应商违约责任。</w:t>
      </w:r>
      <w:r>
        <w:rPr>
          <w:rFonts w:hint="eastAsia" w:ascii="仿宋_GB2312" w:hAnsi="仿宋_GB2312" w:eastAsia="仿宋_GB2312" w:cs="仿宋_GB2312"/>
          <w:color w:val="auto"/>
          <w:lang w:val="en-US" w:eastAsia="zh-CN"/>
        </w:rPr>
        <w:t>管理团队、服务团队需填报《考核评分表》，并提供相关证明材料，经双方确认后执行。（以下提供的《非执法类辅助服务考核评分表》（仅供参考），中标后由</w:t>
      </w:r>
      <w:r>
        <w:rPr>
          <w:rFonts w:hint="eastAsia" w:ascii="仿宋_GB2312" w:hAnsi="仿宋_GB2312" w:cs="仿宋_GB2312"/>
          <w:color w:val="auto"/>
          <w:lang w:val="en-US" w:eastAsia="zh-CN"/>
        </w:rPr>
        <w:t>采购人</w:t>
      </w:r>
      <w:r>
        <w:rPr>
          <w:rFonts w:hint="eastAsia" w:ascii="仿宋_GB2312" w:hAnsi="仿宋_GB2312" w:eastAsia="仿宋_GB2312" w:cs="仿宋_GB2312"/>
          <w:color w:val="auto"/>
          <w:lang w:val="en-US" w:eastAsia="zh-CN"/>
        </w:rPr>
        <w:t>与供应商按实际情况共同制定。</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bCs/>
          <w:color w:val="auto"/>
          <w:lang w:val="en-US" w:eastAsia="zh-CN"/>
        </w:rPr>
      </w:pPr>
      <w:bookmarkStart w:id="187" w:name="_Toc17769"/>
      <w:bookmarkStart w:id="188" w:name="_Toc32111"/>
      <w:bookmarkStart w:id="189" w:name="_Toc22162"/>
      <w:bookmarkStart w:id="190" w:name="_Toc1611"/>
      <w:bookmarkStart w:id="191" w:name="_Toc24497"/>
      <w:bookmarkStart w:id="192" w:name="_Toc14907"/>
      <w:bookmarkStart w:id="193" w:name="_Toc6470"/>
      <w:r>
        <w:rPr>
          <w:rFonts w:hint="eastAsia" w:ascii="仿宋_GB2312" w:hAnsi="仿宋_GB2312" w:eastAsia="仿宋_GB2312" w:cs="仿宋_GB2312"/>
          <w:b/>
          <w:bCs/>
          <w:color w:val="auto"/>
          <w:lang w:val="en-US" w:eastAsia="zh-CN"/>
        </w:rPr>
        <w:t>非执法类辅助服务考核评分表</w:t>
      </w:r>
      <w:r>
        <w:rPr>
          <w:rFonts w:hint="eastAsia" w:ascii="仿宋_GB2312" w:hAnsi="仿宋_GB2312" w:cs="仿宋_GB2312"/>
          <w:b/>
          <w:bCs/>
          <w:color w:val="auto"/>
          <w:lang w:val="en-US" w:eastAsia="zh-CN"/>
        </w:rPr>
        <w:t>XXXX年XX月XX日</w:t>
      </w:r>
      <w:r>
        <w:rPr>
          <w:rFonts w:hint="eastAsia" w:ascii="仿宋_GB2312" w:hAnsi="仿宋_GB2312" w:eastAsia="仿宋_GB2312" w:cs="仿宋_GB2312"/>
          <w:b/>
          <w:bCs/>
          <w:color w:val="auto"/>
          <w:lang w:val="en-US" w:eastAsia="zh-CN"/>
        </w:rPr>
        <w:t>（仅供参考）</w:t>
      </w:r>
      <w:bookmarkEnd w:id="187"/>
      <w:bookmarkEnd w:id="188"/>
      <w:bookmarkEnd w:id="189"/>
      <w:bookmarkEnd w:id="190"/>
      <w:bookmarkEnd w:id="191"/>
      <w:bookmarkEnd w:id="192"/>
      <w:bookmarkEnd w:id="19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71"/>
        <w:gridCol w:w="4671"/>
        <w:gridCol w:w="95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shd w:val="clear" w:color="auto" w:fill="D7D7D7" w:themeFill="background1" w:themeFillShade="D8"/>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序号</w:t>
            </w:r>
          </w:p>
        </w:tc>
        <w:tc>
          <w:tcPr>
            <w:tcW w:w="1071" w:type="dxa"/>
            <w:shd w:val="clear" w:color="auto" w:fill="D7D7D7" w:themeFill="background1" w:themeFillShade="D8"/>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考核项目</w:t>
            </w:r>
          </w:p>
        </w:tc>
        <w:tc>
          <w:tcPr>
            <w:tcW w:w="4671" w:type="dxa"/>
            <w:shd w:val="clear" w:color="auto" w:fill="D7D7D7" w:themeFill="background1" w:themeFillShade="D8"/>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考核标准</w:t>
            </w:r>
          </w:p>
        </w:tc>
        <w:tc>
          <w:tcPr>
            <w:tcW w:w="958" w:type="dxa"/>
            <w:shd w:val="clear" w:color="auto" w:fill="D7D7D7" w:themeFill="background1" w:themeFillShade="D8"/>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标准分</w:t>
            </w:r>
          </w:p>
        </w:tc>
        <w:tc>
          <w:tcPr>
            <w:tcW w:w="1153" w:type="dxa"/>
            <w:shd w:val="clear" w:color="auto" w:fill="D7D7D7" w:themeFill="background1" w:themeFillShade="D8"/>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w:t>
            </w:r>
          </w:p>
        </w:tc>
        <w:tc>
          <w:tcPr>
            <w:tcW w:w="1071" w:type="dxa"/>
            <w:vMerge w:val="restart"/>
            <w:vAlign w:val="center"/>
          </w:tcPr>
          <w:p>
            <w:pPr>
              <w:pStyle w:val="2"/>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综合管理方面</w:t>
            </w:r>
          </w:p>
        </w:tc>
        <w:tc>
          <w:tcPr>
            <w:tcW w:w="4671" w:type="dxa"/>
            <w:vAlign w:val="center"/>
          </w:tcPr>
          <w:p>
            <w:pPr>
              <w:pStyle w:val="2"/>
              <w:spacing w:line="360" w:lineRule="auto"/>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全面承接服务各项工作，做到分配到人，责任到人。</w:t>
            </w:r>
          </w:p>
        </w:tc>
        <w:tc>
          <w:tcPr>
            <w:tcW w:w="958" w:type="dxa"/>
            <w:vMerge w:val="restart"/>
            <w:vAlign w:val="center"/>
          </w:tcPr>
          <w:p>
            <w:pPr>
              <w:pStyle w:val="2"/>
              <w:spacing w:line="36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31</w:t>
            </w: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cs="仿宋_GB2312"/>
                <w:b w:val="0"/>
                <w:bCs w:val="0"/>
                <w:i w:val="0"/>
                <w:iCs w:val="0"/>
                <w:smallCaps w:val="0"/>
                <w:color w:val="auto"/>
                <w:sz w:val="21"/>
                <w:szCs w:val="21"/>
                <w:highlight w:val="none"/>
                <w:lang w:val="en-US" w:eastAsia="zh-CN"/>
              </w:rPr>
              <w:t>4</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2</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pStyle w:val="2"/>
              <w:spacing w:line="360" w:lineRule="auto"/>
              <w:ind w:left="0" w:leftChars="0" w:firstLine="0" w:firstLineChars="0"/>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保证服务人员的数量,保证足够的管理和技术力量以顺利完成本合同约定的服务。</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cs="仿宋_GB2312"/>
                <w:b w:val="0"/>
                <w:bCs w:val="0"/>
                <w:i w:val="0"/>
                <w:iCs w:val="0"/>
                <w:smallCaps w:val="0"/>
                <w:color w:val="auto"/>
                <w:sz w:val="21"/>
                <w:szCs w:val="21"/>
                <w:highlight w:val="none"/>
                <w:lang w:val="en-US" w:eastAsia="zh-CN"/>
              </w:rPr>
              <w:t>4</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3</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pStyle w:val="2"/>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根据人员流动实际，及时做好招聘、人员入职引导，并在规定期限内办理员工劳动合同签订、续订、变更、终止、解除工作。</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cs="仿宋_GB2312"/>
                <w:b w:val="0"/>
                <w:bCs w:val="0"/>
                <w:i w:val="0"/>
                <w:iCs w:val="0"/>
                <w:smallCaps w:val="0"/>
                <w:color w:val="auto"/>
                <w:sz w:val="21"/>
                <w:szCs w:val="21"/>
                <w:highlight w:val="none"/>
                <w:lang w:val="en-US" w:eastAsia="zh-CN"/>
              </w:rPr>
              <w:t>4</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4</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pStyle w:val="2"/>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按时召开</w:t>
            </w:r>
            <w:r>
              <w:rPr>
                <w:rFonts w:hint="eastAsia" w:ascii="仿宋_GB2312" w:hAnsi="仿宋_GB2312" w:eastAsia="仿宋_GB2312" w:cs="仿宋_GB2312"/>
                <w:b w:val="0"/>
                <w:bCs w:val="0"/>
                <w:i w:val="0"/>
                <w:iCs w:val="0"/>
                <w:smallCaps w:val="0"/>
                <w:color w:val="auto"/>
                <w:sz w:val="21"/>
                <w:szCs w:val="21"/>
                <w:highlight w:val="none"/>
                <w:lang w:val="en-US" w:eastAsia="zh-CN"/>
              </w:rPr>
              <w:t>月</w:t>
            </w:r>
            <w:r>
              <w:rPr>
                <w:rFonts w:hint="eastAsia" w:ascii="仿宋_GB2312" w:hAnsi="仿宋_GB2312" w:eastAsia="仿宋_GB2312" w:cs="仿宋_GB2312"/>
                <w:b w:val="0"/>
                <w:bCs w:val="0"/>
                <w:i w:val="0"/>
                <w:iCs w:val="0"/>
                <w:smallCaps w:val="0"/>
                <w:color w:val="auto"/>
                <w:sz w:val="21"/>
                <w:szCs w:val="21"/>
                <w:highlight w:val="none"/>
                <w:lang w:eastAsia="zh-CN"/>
              </w:rPr>
              <w:t>例会，做好会议记录。</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cs="仿宋_GB2312"/>
                <w:b w:val="0"/>
                <w:bCs w:val="0"/>
                <w:i w:val="0"/>
                <w:iCs w:val="0"/>
                <w:smallCaps w:val="0"/>
                <w:color w:val="auto"/>
                <w:sz w:val="21"/>
                <w:szCs w:val="21"/>
                <w:highlight w:val="none"/>
                <w:lang w:val="en-US" w:eastAsia="zh-CN"/>
              </w:rPr>
              <w:t>4</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5</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按管理目标，组织人员实施创优工作并达标。</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6</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针对操作标准、服务规范、服务质量等考核结果,对服务内容和措施及时进行整改并反馈。</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7</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对无法完成考核要求的服务人员，及时通知辞退并更换符合任职条件的服务人员。</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8</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供应商及服务人员不得在采购方提供的工作场所从事与采购方指定工作无关的其他工作；不得利用服务之便,从事税务代理、财务审计等中介活动；不得利用服务之便,为自己或他人谋取私利,从事违法犯罪活动。</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9</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严格执行保密和安全管理等制度,对服务人员进行严格要求,对工作中知悉的税收及纳税人的信息资料应严格保密。</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10</w:t>
            </w:r>
          </w:p>
        </w:tc>
        <w:tc>
          <w:tcPr>
            <w:tcW w:w="1071"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人员管理方面</w:t>
            </w: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所有人员必须严守制度和行为准则，不得有违法、违纪、违规现象。</w:t>
            </w:r>
          </w:p>
        </w:tc>
        <w:tc>
          <w:tcPr>
            <w:tcW w:w="958" w:type="dxa"/>
            <w:vMerge w:val="restart"/>
            <w:vAlign w:val="center"/>
          </w:tcPr>
          <w:p>
            <w:pPr>
              <w:pStyle w:val="2"/>
              <w:spacing w:line="36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11</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所有工作人员按规定着装，注重仪容仪表，做到服装整洁。</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12</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员工具有强烈的工作责任心，严禁人浮于事或弄虚作假。</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13</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按排班表确保相应人员在岗在位。</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14</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员工必须服从合理的工作分配。</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15</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按时上报人员考勤表及排班表。</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16</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按规定进行人事管理，人员变动及时上报。</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17</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确保队伍稳定，有序做好人员更替，减少人员流动。</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18</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服务人员因考核或个人原因被替换、辞退，产生的劳动纠纷问题由供应商负责。</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19</w:t>
            </w:r>
          </w:p>
        </w:tc>
        <w:tc>
          <w:tcPr>
            <w:tcW w:w="1071" w:type="dxa"/>
            <w:vMerge w:val="restart"/>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服务质量方面</w:t>
            </w: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服务质量符合服务方案列明的各项要求。</w:t>
            </w:r>
          </w:p>
        </w:tc>
        <w:tc>
          <w:tcPr>
            <w:tcW w:w="958" w:type="dxa"/>
            <w:vMerge w:val="restart"/>
            <w:vAlign w:val="center"/>
          </w:tcPr>
          <w:p>
            <w:pPr>
              <w:pStyle w:val="2"/>
              <w:spacing w:line="36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20</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服务过程严格按照《纳税服务规范》的规定，倡导文明用语、杜绝服务忌语。</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21</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服务期间，严禁玩手机等做与工作无关的事。</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22</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服务期间不得拒绝为纳税人办理业务或互相推诿的。</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23</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服务过程中不得与纳税人发生争执。</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24</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服务过程中受到纳税人投诉。</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25</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服务质量的外部评价，不能出现投诉、举报等事项，主要依据纳税人评价、12366投诉、12345投诉、纪委暗访、省市县局检查等信息。</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26</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维持办公场所秩序，及时疏导纳税人，不造成拥挤矛盾。</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27</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收集、整理纳税人、缴费人的意见、建议。</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28</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遇到故障及紧急状况需及时上报。</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29</w:t>
            </w:r>
          </w:p>
        </w:tc>
        <w:tc>
          <w:tcPr>
            <w:tcW w:w="1071" w:type="dxa"/>
            <w:vMerge w:val="restart"/>
            <w:vAlign w:val="center"/>
          </w:tcPr>
          <w:p>
            <w:pPr>
              <w:pStyle w:val="2"/>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业务培训方面</w:t>
            </w: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组织服务人员每月不定期参加线上线下业务培训。</w:t>
            </w:r>
          </w:p>
        </w:tc>
        <w:tc>
          <w:tcPr>
            <w:tcW w:w="958" w:type="dxa"/>
            <w:vMerge w:val="restart"/>
            <w:vAlign w:val="center"/>
          </w:tcPr>
          <w:p>
            <w:pPr>
              <w:pStyle w:val="2"/>
              <w:spacing w:line="360" w:lineRule="auto"/>
              <w:ind w:left="0" w:leftChars="0" w:firstLine="0" w:firstLineChars="0"/>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30</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指导服务人员熟练掌握培训内容，运用到实际服务中。</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val="en-US" w:eastAsia="zh-CN"/>
              </w:rPr>
              <w:t>31</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组织服务人员每月参加办税服务厅业务测试，内容包括涉税事项办理流程及所需资料、纳税服务规范、最新纳税服务政策等。</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val="en-US" w:eastAsia="zh-CN"/>
              </w:rPr>
            </w:pPr>
            <w:r>
              <w:rPr>
                <w:rFonts w:hint="eastAsia" w:ascii="仿宋_GB2312" w:hAnsi="仿宋_GB2312" w:eastAsia="仿宋_GB2312" w:cs="仿宋_GB2312"/>
                <w:b w:val="0"/>
                <w:bCs w:val="0"/>
                <w:i w:val="0"/>
                <w:iCs w:val="0"/>
                <w:smallCaps w:val="0"/>
                <w:color w:val="auto"/>
                <w:sz w:val="21"/>
                <w:szCs w:val="21"/>
                <w:highlight w:val="none"/>
                <w:lang w:val="en-US" w:eastAsia="zh-CN"/>
              </w:rPr>
              <w:t>32</w:t>
            </w:r>
          </w:p>
        </w:tc>
        <w:tc>
          <w:tcPr>
            <w:tcW w:w="1071"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4671"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rPr>
                <w:rFonts w:hint="eastAsia" w:ascii="仿宋_GB2312" w:hAnsi="仿宋_GB2312" w:eastAsia="仿宋_GB2312" w:cs="仿宋_GB2312"/>
                <w:b w:val="0"/>
                <w:bCs w:val="0"/>
                <w:i w:val="0"/>
                <w:iCs w:val="0"/>
                <w:smallCaps w:val="0"/>
                <w:color w:val="auto"/>
                <w:kern w:val="2"/>
                <w:sz w:val="21"/>
                <w:szCs w:val="21"/>
                <w:highlight w:val="none"/>
                <w:lang w:val="en-US" w:eastAsia="zh-CN" w:bidi="ar-SA"/>
              </w:rPr>
            </w:pPr>
            <w:r>
              <w:rPr>
                <w:rFonts w:hint="eastAsia" w:ascii="仿宋_GB2312" w:hAnsi="仿宋_GB2312" w:eastAsia="仿宋_GB2312" w:cs="仿宋_GB2312"/>
                <w:b w:val="0"/>
                <w:bCs w:val="0"/>
                <w:i w:val="0"/>
                <w:iCs w:val="0"/>
                <w:smallCaps w:val="0"/>
                <w:color w:val="auto"/>
                <w:sz w:val="21"/>
                <w:szCs w:val="21"/>
                <w:highlight w:val="none"/>
                <w:lang w:eastAsia="zh-CN"/>
              </w:rPr>
              <w:t>统计服务过程中的疑难问题，上报有关科室解答，做好疑难问题学习指导。</w:t>
            </w:r>
          </w:p>
        </w:tc>
        <w:tc>
          <w:tcPr>
            <w:tcW w:w="958" w:type="dxa"/>
            <w:vMerge w:val="continue"/>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i w:val="0"/>
                <w:iCs w:val="0"/>
                <w:smallCaps w:val="0"/>
                <w:color w:val="auto"/>
                <w:sz w:val="21"/>
                <w:szCs w:val="21"/>
                <w:highlight w:val="none"/>
                <w:lang w:eastAsia="zh-CN"/>
              </w:rPr>
              <w:t>不达标1项扣</w:t>
            </w:r>
            <w:r>
              <w:rPr>
                <w:rFonts w:hint="eastAsia" w:ascii="仿宋_GB2312" w:hAnsi="仿宋_GB2312" w:eastAsia="仿宋_GB2312" w:cs="仿宋_GB2312"/>
                <w:b w:val="0"/>
                <w:bCs w:val="0"/>
                <w:i w:val="0"/>
                <w:iCs w:val="0"/>
                <w:smallCaps w:val="0"/>
                <w:color w:val="auto"/>
                <w:sz w:val="21"/>
                <w:szCs w:val="21"/>
                <w:highlight w:val="none"/>
                <w:lang w:val="en-US" w:eastAsia="zh-CN"/>
              </w:rPr>
              <w:t>3</w:t>
            </w:r>
            <w:r>
              <w:rPr>
                <w:rFonts w:hint="eastAsia" w:ascii="仿宋_GB2312" w:hAnsi="仿宋_GB2312" w:eastAsia="仿宋_GB2312" w:cs="仿宋_GB2312"/>
                <w:b w:val="0"/>
                <w:bCs w:val="0"/>
                <w:i w:val="0"/>
                <w:iCs w:val="0"/>
                <w:smallCaps w:val="0"/>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1" w:type="dxa"/>
            <w:gridSpan w:val="3"/>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r>
              <w:rPr>
                <w:rFonts w:hint="eastAsia" w:ascii="仿宋_GB2312" w:hAnsi="仿宋_GB2312" w:eastAsia="仿宋_GB2312" w:cs="仿宋_GB2312"/>
                <w:b w:val="0"/>
                <w:bCs w:val="0"/>
                <w:i w:val="0"/>
                <w:iCs w:val="0"/>
                <w:smallCaps w:val="0"/>
                <w:color w:val="auto"/>
                <w:sz w:val="21"/>
                <w:szCs w:val="21"/>
                <w:highlight w:val="none"/>
                <w:lang w:eastAsia="zh-CN"/>
              </w:rPr>
              <w:t>扣分合计：</w:t>
            </w:r>
          </w:p>
        </w:tc>
        <w:tc>
          <w:tcPr>
            <w:tcW w:w="958" w:type="dxa"/>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1" w:type="dxa"/>
            <w:gridSpan w:val="3"/>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r>
              <w:rPr>
                <w:rFonts w:hint="eastAsia" w:ascii="仿宋_GB2312" w:hAnsi="仿宋_GB2312" w:eastAsia="仿宋_GB2312" w:cs="仿宋_GB2312"/>
                <w:b w:val="0"/>
                <w:bCs w:val="0"/>
                <w:i w:val="0"/>
                <w:iCs w:val="0"/>
                <w:smallCaps w:val="0"/>
                <w:color w:val="auto"/>
                <w:sz w:val="21"/>
                <w:szCs w:val="21"/>
                <w:highlight w:val="none"/>
                <w:lang w:eastAsia="zh-CN"/>
              </w:rPr>
              <w:t>得分合计：</w:t>
            </w:r>
          </w:p>
        </w:tc>
        <w:tc>
          <w:tcPr>
            <w:tcW w:w="958" w:type="dxa"/>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1" w:type="dxa"/>
            <w:gridSpan w:val="3"/>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r>
              <w:rPr>
                <w:rFonts w:hint="eastAsia" w:ascii="仿宋_GB2312" w:hAnsi="仿宋_GB2312" w:eastAsia="仿宋_GB2312" w:cs="仿宋_GB2312"/>
                <w:b w:val="0"/>
                <w:bCs w:val="0"/>
                <w:i w:val="0"/>
                <w:iCs w:val="0"/>
                <w:smallCaps w:val="0"/>
                <w:color w:val="auto"/>
                <w:sz w:val="21"/>
                <w:szCs w:val="21"/>
                <w:highlight w:val="none"/>
                <w:lang w:eastAsia="zh-CN"/>
              </w:rPr>
              <w:t>采购人考核人员（签字）：</w:t>
            </w:r>
          </w:p>
        </w:tc>
        <w:tc>
          <w:tcPr>
            <w:tcW w:w="958" w:type="dxa"/>
            <w:vAlign w:val="center"/>
          </w:tcPr>
          <w:p>
            <w:pPr>
              <w:pStyle w:val="2"/>
              <w:spacing w:line="360" w:lineRule="auto"/>
              <w:jc w:val="center"/>
              <w:rPr>
                <w:rFonts w:hint="eastAsia" w:ascii="仿宋_GB2312" w:hAnsi="仿宋_GB2312" w:eastAsia="仿宋_GB2312" w:cs="仿宋_GB2312"/>
                <w:color w:val="auto"/>
                <w:sz w:val="21"/>
                <w:szCs w:val="21"/>
                <w:vertAlign w:val="baseline"/>
                <w:lang w:val="en-US" w:eastAsia="zh-CN"/>
              </w:rPr>
            </w:pPr>
          </w:p>
        </w:tc>
        <w:tc>
          <w:tcPr>
            <w:tcW w:w="115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仿宋_GB2312" w:eastAsia="仿宋_GB2312" w:cs="仿宋_GB2312"/>
                <w:b w:val="0"/>
                <w:bCs w:val="0"/>
                <w:i w:val="0"/>
                <w:iCs w:val="0"/>
                <w:smallCaps w:val="0"/>
                <w:color w:val="auto"/>
                <w:sz w:val="21"/>
                <w:szCs w:val="21"/>
                <w:highlight w:val="none"/>
                <w:lang w:eastAsia="zh-CN"/>
              </w:rPr>
            </w:pPr>
          </w:p>
        </w:tc>
      </w:tr>
    </w:tbl>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outlineLvl w:val="0"/>
        <w:rPr>
          <w:rFonts w:hint="eastAsia" w:ascii="仿宋_GB2312" w:hAnsi="仿宋_GB2312" w:eastAsia="仿宋_GB2312" w:cs="仿宋_GB2312"/>
          <w:b/>
          <w:bCs/>
          <w:color w:val="auto"/>
          <w:kern w:val="36"/>
          <w:sz w:val="32"/>
          <w:szCs w:val="32"/>
          <w:lang w:val="zh-CN" w:eastAsia="en-US"/>
        </w:rPr>
      </w:pPr>
      <w:bookmarkStart w:id="194" w:name="_Toc2885"/>
      <w:bookmarkStart w:id="195" w:name="_Toc11871"/>
      <w:r>
        <w:rPr>
          <w:rFonts w:hint="eastAsia" w:ascii="仿宋_GB2312" w:hAnsi="仿宋_GB2312" w:eastAsia="仿宋_GB2312" w:cs="仿宋_GB2312"/>
          <w:b/>
          <w:bCs/>
          <w:color w:val="auto"/>
          <w:kern w:val="36"/>
          <w:sz w:val="32"/>
          <w:szCs w:val="32"/>
          <w:lang w:val="zh-CN" w:eastAsia="en-US"/>
        </w:rPr>
        <w:t>7其他要求</w:t>
      </w:r>
      <w:bookmarkEnd w:id="194"/>
      <w:bookmarkEnd w:id="195"/>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val="zh-CN" w:eastAsia="en-US"/>
        </w:rPr>
      </w:pPr>
      <w:bookmarkStart w:id="196" w:name="_Toc16795"/>
      <w:bookmarkStart w:id="197" w:name="_Toc9317"/>
      <w:r>
        <w:rPr>
          <w:rFonts w:hint="eastAsia" w:ascii="仿宋_GB2312" w:hAnsi="仿宋_GB2312" w:eastAsia="仿宋_GB2312" w:cs="仿宋_GB2312"/>
          <w:bCs/>
          <w:i w:val="0"/>
          <w:iCs w:val="0"/>
          <w:color w:val="auto"/>
          <w:kern w:val="0"/>
          <w:sz w:val="28"/>
          <w:szCs w:val="28"/>
          <w:lang w:val="zh-CN" w:eastAsia="en-US"/>
        </w:rPr>
        <w:t>7.1必备要求</w:t>
      </w:r>
      <w:bookmarkEnd w:id="196"/>
      <w:bookmarkEnd w:id="197"/>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en-US"/>
        </w:rPr>
      </w:pPr>
      <w:r>
        <w:rPr>
          <w:rFonts w:hint="eastAsia" w:ascii="仿宋_GB2312" w:hAnsi="仿宋_GB2312" w:eastAsia="仿宋_GB2312" w:cs="仿宋_GB2312"/>
          <w:color w:val="auto"/>
          <w:lang w:val="zh-CN" w:eastAsia="en-US"/>
        </w:rPr>
        <w:t xml:space="preserve">（一）本项目中如涉及商品包装和快递包装的，其包装需求标准应不低于《关于印发&lt;商品包装政府采购需求标准（试行）&gt;、&lt;快递包装政府采购需求标准（试行）&gt;的通知》（财办库〔2020〕123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en-US"/>
        </w:rPr>
      </w:pPr>
      <w:r>
        <w:rPr>
          <w:rFonts w:hint="eastAsia" w:ascii="仿宋_GB2312" w:hAnsi="仿宋_GB2312" w:eastAsia="仿宋_GB2312" w:cs="仿宋_GB2312"/>
          <w:color w:val="auto"/>
          <w:lang w:val="zh-CN" w:eastAsia="en-US"/>
        </w:rPr>
        <w:t xml:space="preserve">（二）本项目中如涉及网络关键设备或网络安全专用产品的，应严格执行国家互联网信息办公室、工业和信息化部、公安部、财政部和国家认证认可监督管理委员会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en-US"/>
        </w:rPr>
      </w:pPr>
      <w:r>
        <w:rPr>
          <w:rFonts w:hint="eastAsia" w:ascii="仿宋_GB2312" w:hAnsi="仿宋_GB2312" w:eastAsia="仿宋_GB2312" w:cs="仿宋_GB2312"/>
          <w:color w:val="auto"/>
          <w:lang w:val="zh-CN" w:eastAsia="en-US"/>
        </w:rPr>
        <w:t xml:space="preserve">（三）本项目中如涉及国家强制性产品认证证书（CCC 认证证书）、电信设备进网许可证、无线电发射设备核准证等市场准入类资质的，应严格执行国家相关法律法规的要求。 </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lang w:val="zh-CN" w:eastAsia="en-US"/>
        </w:rPr>
      </w:pPr>
      <w:r>
        <w:rPr>
          <w:rFonts w:hint="eastAsia" w:ascii="仿宋_GB2312" w:hAnsi="仿宋_GB2312" w:eastAsia="仿宋_GB2312" w:cs="仿宋_GB2312"/>
          <w:color w:val="auto"/>
          <w:lang w:val="zh-CN" w:eastAsia="en-US"/>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4"/>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outlineLvl w:val="0"/>
        <w:rPr>
          <w:rFonts w:hint="eastAsia" w:ascii="仿宋_GB2312" w:hAnsi="仿宋_GB2312" w:eastAsia="仿宋_GB2312" w:cs="仿宋_GB2312"/>
          <w:bCs/>
          <w:i w:val="0"/>
          <w:iCs w:val="0"/>
          <w:color w:val="auto"/>
          <w:kern w:val="0"/>
          <w:sz w:val="28"/>
          <w:szCs w:val="28"/>
          <w:lang w:val="en-US" w:eastAsia="zh-CN"/>
        </w:rPr>
      </w:pPr>
      <w:bookmarkStart w:id="198" w:name="_Toc1991"/>
      <w:bookmarkStart w:id="199" w:name="_Toc25410"/>
      <w:r>
        <w:rPr>
          <w:rFonts w:hint="eastAsia" w:ascii="仿宋_GB2312" w:hAnsi="仿宋_GB2312" w:eastAsia="仿宋_GB2312" w:cs="仿宋_GB2312"/>
          <w:bCs/>
          <w:i w:val="0"/>
          <w:iCs w:val="0"/>
          <w:color w:val="auto"/>
          <w:kern w:val="0"/>
          <w:sz w:val="28"/>
          <w:szCs w:val="28"/>
          <w:lang w:val="zh-CN" w:eastAsia="en-US"/>
        </w:rPr>
        <w:t>7.</w:t>
      </w:r>
      <w:r>
        <w:rPr>
          <w:rFonts w:hint="eastAsia" w:ascii="仿宋_GB2312" w:hAnsi="仿宋_GB2312" w:eastAsia="仿宋_GB2312" w:cs="仿宋_GB2312"/>
          <w:bCs/>
          <w:i w:val="0"/>
          <w:iCs w:val="0"/>
          <w:color w:val="auto"/>
          <w:kern w:val="0"/>
          <w:sz w:val="28"/>
          <w:szCs w:val="28"/>
          <w:lang w:val="en-US" w:eastAsia="zh-CN"/>
        </w:rPr>
        <w:t>2付款安排</w:t>
      </w:r>
      <w:bookmarkEnd w:id="198"/>
    </w:p>
    <w:bookmarkEnd w:id="199"/>
    <w:p>
      <w:pPr>
        <w:pStyle w:val="22"/>
        <w:keepNext w:val="0"/>
        <w:keepLines w:val="0"/>
        <w:pageBreakBefore w:val="0"/>
        <w:widowControl w:val="0"/>
        <w:kinsoku/>
        <w:wordWrap/>
        <w:overflowPunct/>
        <w:topLinePunct w:val="0"/>
        <w:bidi w:val="0"/>
        <w:snapToGrid/>
        <w:spacing w:line="560" w:lineRule="exact"/>
        <w:ind w:left="0" w:firstLine="560" w:firstLineChars="200"/>
        <w:jc w:val="left"/>
        <w:textAlignment w:val="auto"/>
        <w:rPr>
          <w:rFonts w:hint="eastAsia" w:ascii="仿宋_GB2312" w:hAnsi="仿宋_GB2312" w:eastAsia="仿宋_GB2312" w:cs="仿宋_GB2312"/>
          <w:color w:val="auto"/>
          <w:kern w:val="2"/>
          <w:sz w:val="28"/>
          <w:szCs w:val="24"/>
          <w:highlight w:val="none"/>
          <w:lang w:val="zh-CN" w:eastAsia="zh-CN" w:bidi="ar-SA"/>
        </w:rPr>
      </w:pPr>
      <w:bookmarkStart w:id="200" w:name="_Toc22863"/>
      <w:bookmarkStart w:id="201" w:name="_Toc5156"/>
      <w:r>
        <w:rPr>
          <w:rFonts w:hint="eastAsia" w:ascii="仿宋_GB2312" w:hAnsi="仿宋_GB2312" w:eastAsia="仿宋_GB2312" w:cs="仿宋_GB2312"/>
          <w:color w:val="auto"/>
          <w:kern w:val="2"/>
          <w:sz w:val="28"/>
          <w:szCs w:val="24"/>
          <w:highlight w:val="none"/>
          <w:lang w:val="en-US" w:eastAsia="zh-CN" w:bidi="ar-SA"/>
        </w:rPr>
        <w:t>供应商依据服务费用结算金额于每月15日前向</w:t>
      </w:r>
      <w:r>
        <w:rPr>
          <w:rFonts w:hint="eastAsia" w:ascii="仿宋_GB2312" w:hAnsi="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zh-CN" w:bidi="ar-SA"/>
        </w:rPr>
        <w:t>提供上月服务发票及相关资料，交</w:t>
      </w:r>
      <w:r>
        <w:rPr>
          <w:rFonts w:hint="eastAsia" w:ascii="仿宋_GB2312" w:hAnsi="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zh-CN" w:bidi="ar-SA"/>
        </w:rPr>
        <w:t>审核通过后7个工作日内支付服务费（节假日顺延）。</w:t>
      </w:r>
      <w:r>
        <w:rPr>
          <w:rFonts w:hint="eastAsia" w:ascii="仿宋_GB2312" w:hAnsi="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zh-CN" w:bidi="ar-SA"/>
        </w:rPr>
        <w:t>因预算资金未到位暂不能按时支付的，根据预算资金到位情况及时支付，不视为违约。</w:t>
      </w:r>
    </w:p>
    <w:p>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outlineLvl w:val="0"/>
        <w:rPr>
          <w:rFonts w:hint="eastAsia" w:ascii="仿宋_GB2312" w:hAnsi="仿宋_GB2312" w:eastAsia="仿宋_GB2312" w:cs="仿宋_GB2312"/>
          <w:i w:val="0"/>
          <w:iCs w:val="0"/>
          <w:color w:val="auto"/>
          <w:highlight w:val="none"/>
        </w:rPr>
      </w:pPr>
      <w:r>
        <w:rPr>
          <w:rFonts w:hint="eastAsia" w:ascii="仿宋_GB2312" w:hAnsi="仿宋_GB2312" w:eastAsia="仿宋_GB2312" w:cs="仿宋_GB2312"/>
          <w:i w:val="0"/>
          <w:iCs w:val="0"/>
          <w:color w:val="auto"/>
          <w:highlight w:val="none"/>
          <w:lang w:val="en-US" w:eastAsia="zh-CN"/>
        </w:rPr>
        <w:t>7</w:t>
      </w:r>
      <w:r>
        <w:rPr>
          <w:rFonts w:hint="eastAsia" w:ascii="仿宋_GB2312" w:hAnsi="仿宋_GB2312" w:eastAsia="仿宋_GB2312" w:cs="仿宋_GB2312"/>
          <w:i w:val="0"/>
          <w:iCs w:val="0"/>
          <w:color w:val="auto"/>
          <w:highlight w:val="none"/>
        </w:rPr>
        <w:t>.</w:t>
      </w:r>
      <w:bookmarkStart w:id="202" w:name="_Toc256000037"/>
      <w:bookmarkStart w:id="203" w:name="_Toc15735"/>
      <w:bookmarkStart w:id="204" w:name="_Toc7979"/>
      <w:bookmarkStart w:id="205" w:name="_Toc14432"/>
      <w:r>
        <w:rPr>
          <w:rFonts w:hint="eastAsia" w:ascii="仿宋_GB2312" w:hAnsi="仿宋_GB2312" w:eastAsia="仿宋_GB2312" w:cs="仿宋_GB2312"/>
          <w:i w:val="0"/>
          <w:iCs w:val="0"/>
          <w:color w:val="auto"/>
          <w:highlight w:val="none"/>
          <w:lang w:val="en-US" w:eastAsia="zh-CN"/>
        </w:rPr>
        <w:t>3</w:t>
      </w:r>
      <w:r>
        <w:rPr>
          <w:rFonts w:hint="eastAsia" w:ascii="仿宋_GB2312" w:hAnsi="仿宋_GB2312" w:eastAsia="仿宋_GB2312" w:cs="仿宋_GB2312"/>
          <w:i w:val="0"/>
          <w:iCs w:val="0"/>
          <w:color w:val="auto"/>
          <w:highlight w:val="none"/>
        </w:rPr>
        <w:t>保密要求</w:t>
      </w:r>
      <w:bookmarkEnd w:id="200"/>
      <w:bookmarkEnd w:id="201"/>
      <w:bookmarkEnd w:id="202"/>
      <w:bookmarkEnd w:id="203"/>
      <w:bookmarkEnd w:id="204"/>
      <w:bookmarkEnd w:id="205"/>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en-US" w:bidi="ar-SA"/>
        </w:rPr>
      </w:pPr>
      <w:r>
        <w:rPr>
          <w:rFonts w:hint="eastAsia" w:ascii="仿宋_GB2312" w:hAnsi="仿宋_GB2312" w:eastAsia="仿宋_GB2312" w:cs="仿宋_GB2312"/>
          <w:color w:val="auto"/>
          <w:kern w:val="2"/>
          <w:sz w:val="28"/>
          <w:szCs w:val="24"/>
          <w:highlight w:val="none"/>
          <w:lang w:val="en-US" w:eastAsia="zh-CN" w:bidi="ar-SA"/>
        </w:rPr>
        <w:t>（一）采购人和供应商</w:t>
      </w:r>
      <w:r>
        <w:rPr>
          <w:rFonts w:hint="eastAsia" w:ascii="仿宋_GB2312" w:hAnsi="仿宋_GB2312" w:eastAsia="仿宋_GB2312" w:cs="仿宋_GB2312"/>
          <w:color w:val="auto"/>
          <w:kern w:val="2"/>
          <w:sz w:val="28"/>
          <w:szCs w:val="24"/>
          <w:highlight w:val="none"/>
          <w:lang w:val="en-US" w:eastAsia="en-US" w:bidi="ar-SA"/>
        </w:rPr>
        <w:t>应对在本合同签订或履行过程中所接触的对方信息，包括但不限于知识产权、技术资料、技术诀窍、内部管理及其他相关信息，负有保密义务。</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en-US" w:bidi="ar-SA"/>
        </w:rPr>
      </w:pPr>
      <w:r>
        <w:rPr>
          <w:rFonts w:hint="eastAsia" w:ascii="仿宋_GB2312" w:hAnsi="仿宋_GB2312" w:eastAsia="仿宋_GB2312" w:cs="仿宋_GB2312"/>
          <w:color w:val="auto"/>
          <w:kern w:val="2"/>
          <w:sz w:val="28"/>
          <w:szCs w:val="24"/>
          <w:highlight w:val="none"/>
          <w:lang w:val="en-US" w:eastAsia="zh-CN" w:bidi="ar-SA"/>
        </w:rPr>
        <w:t>（二）供应商</w:t>
      </w:r>
      <w:r>
        <w:rPr>
          <w:rFonts w:hint="eastAsia" w:ascii="仿宋_GB2312" w:hAnsi="仿宋_GB2312" w:eastAsia="仿宋_GB2312" w:cs="仿宋_GB2312"/>
          <w:color w:val="auto"/>
          <w:kern w:val="2"/>
          <w:sz w:val="28"/>
          <w:szCs w:val="24"/>
          <w:highlight w:val="none"/>
          <w:lang w:val="en-US" w:eastAsia="en-US" w:bidi="ar-SA"/>
        </w:rPr>
        <w:t>在使用</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为其工作人员提供的数据、程序、用户名、口令、资料及</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相关的业务和技术文档，包括税收政策、方案设计细节、程序文件、数据结构，以及相关业务系统的软硬件、文档、测试和测试产生的数据时，应遵循以下规定：</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1.</w:t>
      </w:r>
      <w:r>
        <w:rPr>
          <w:rFonts w:hint="eastAsia" w:ascii="仿宋_GB2312" w:hAnsi="仿宋_GB2312" w:eastAsia="仿宋_GB2312" w:cs="仿宋_GB2312"/>
          <w:color w:val="auto"/>
          <w:kern w:val="2"/>
          <w:sz w:val="28"/>
          <w:szCs w:val="24"/>
          <w:highlight w:val="none"/>
          <w:lang w:val="en-US" w:eastAsia="en-US" w:bidi="ar-SA"/>
        </w:rPr>
        <w:t>应以审慎态度避免泄漏、公开或传播</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的信息</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2.</w:t>
      </w:r>
      <w:r>
        <w:rPr>
          <w:rFonts w:hint="eastAsia" w:ascii="仿宋_GB2312" w:hAnsi="仿宋_GB2312" w:eastAsia="仿宋_GB2312" w:cs="仿宋_GB2312"/>
          <w:color w:val="auto"/>
          <w:kern w:val="2"/>
          <w:sz w:val="28"/>
          <w:szCs w:val="24"/>
          <w:highlight w:val="none"/>
          <w:lang w:val="en-US" w:eastAsia="en-US" w:bidi="ar-SA"/>
        </w:rPr>
        <w:t>在开发过程中对数据的处理方式应事先得到</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的许可</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3.</w:t>
      </w:r>
      <w:r>
        <w:rPr>
          <w:rFonts w:hint="eastAsia" w:ascii="仿宋_GB2312" w:hAnsi="仿宋_GB2312" w:eastAsia="仿宋_GB2312" w:cs="仿宋_GB2312"/>
          <w:color w:val="auto"/>
          <w:kern w:val="2"/>
          <w:sz w:val="28"/>
          <w:szCs w:val="24"/>
          <w:highlight w:val="none"/>
          <w:lang w:val="en-US" w:eastAsia="en-US" w:bidi="ar-SA"/>
        </w:rPr>
        <w:t>未经</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书面许可，不得对有关信息进行修改、补充、复制</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4.</w:t>
      </w:r>
      <w:r>
        <w:rPr>
          <w:rFonts w:hint="eastAsia" w:ascii="仿宋_GB2312" w:hAnsi="仿宋_GB2312" w:eastAsia="仿宋_GB2312" w:cs="仿宋_GB2312"/>
          <w:color w:val="auto"/>
          <w:kern w:val="2"/>
          <w:sz w:val="28"/>
          <w:szCs w:val="24"/>
          <w:highlight w:val="none"/>
          <w:lang w:val="en-US" w:eastAsia="en-US" w:bidi="ar-SA"/>
        </w:rPr>
        <w:t>未经</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书面许可，不得将信息以任何方式（如E-mail）携带出</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场所</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5.</w:t>
      </w:r>
      <w:r>
        <w:rPr>
          <w:rFonts w:hint="eastAsia" w:ascii="仿宋_GB2312" w:hAnsi="仿宋_GB2312" w:eastAsia="仿宋_GB2312" w:cs="仿宋_GB2312"/>
          <w:color w:val="auto"/>
          <w:kern w:val="2"/>
          <w:sz w:val="28"/>
          <w:szCs w:val="24"/>
          <w:highlight w:val="none"/>
          <w:lang w:val="en-US" w:eastAsia="en-US" w:bidi="ar-SA"/>
        </w:rPr>
        <w:t>未经</w:t>
      </w:r>
      <w:r>
        <w:rPr>
          <w:rFonts w:hint="eastAsia" w:ascii="仿宋_GB2312" w:hAnsi="仿宋_GB2312" w:eastAsia="仿宋_GB2312" w:cs="仿宋_GB2312"/>
          <w:color w:val="auto"/>
          <w:kern w:val="2"/>
          <w:sz w:val="28"/>
          <w:szCs w:val="24"/>
          <w:highlight w:val="none"/>
          <w:lang w:val="en-US" w:eastAsia="zh-CN" w:bidi="ar-SA"/>
        </w:rPr>
        <w:t>采购人</w:t>
      </w:r>
      <w:r>
        <w:rPr>
          <w:rFonts w:hint="eastAsia" w:ascii="仿宋_GB2312" w:hAnsi="仿宋_GB2312" w:eastAsia="仿宋_GB2312" w:cs="仿宋_GB2312"/>
          <w:color w:val="auto"/>
          <w:kern w:val="2"/>
          <w:sz w:val="28"/>
          <w:szCs w:val="24"/>
          <w:highlight w:val="none"/>
          <w:lang w:val="en-US" w:eastAsia="en-US" w:bidi="ar-SA"/>
        </w:rPr>
        <w:t>书面许可，不得将信息透露给任何其他人</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6.</w:t>
      </w:r>
      <w:r>
        <w:rPr>
          <w:rFonts w:hint="eastAsia" w:ascii="仿宋_GB2312" w:hAnsi="仿宋_GB2312" w:eastAsia="仿宋_GB2312" w:cs="仿宋_GB2312"/>
          <w:color w:val="auto"/>
          <w:kern w:val="2"/>
          <w:sz w:val="28"/>
          <w:szCs w:val="24"/>
          <w:highlight w:val="none"/>
          <w:lang w:val="en-US" w:eastAsia="en-US" w:bidi="ar-SA"/>
        </w:rPr>
        <w:t>严禁在提交的软件产品中设置远程维护接口和后门程序</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7.</w:t>
      </w:r>
      <w:r>
        <w:rPr>
          <w:rFonts w:hint="eastAsia" w:ascii="仿宋_GB2312" w:hAnsi="仿宋_GB2312" w:eastAsia="仿宋_GB2312" w:cs="仿宋_GB2312"/>
          <w:color w:val="auto"/>
          <w:kern w:val="2"/>
          <w:sz w:val="28"/>
          <w:szCs w:val="24"/>
          <w:highlight w:val="none"/>
          <w:lang w:val="en-US" w:eastAsia="en-US" w:bidi="ar-SA"/>
        </w:rPr>
        <w:t>不得进行系统软硬件设备的远程维护</w:t>
      </w:r>
      <w:r>
        <w:rPr>
          <w:rFonts w:hint="eastAsia" w:ascii="仿宋_GB2312" w:hAnsi="仿宋_GB2312" w:eastAsia="仿宋_GB2312" w:cs="仿宋_GB2312"/>
          <w:color w:val="auto"/>
          <w:kern w:val="2"/>
          <w:sz w:val="28"/>
          <w:szCs w:val="24"/>
          <w:highlight w:val="none"/>
          <w:lang w:val="en-US" w:eastAsia="zh-CN" w:bidi="ar-SA"/>
        </w:rPr>
        <w:t>。</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en-US" w:bidi="ar-SA"/>
        </w:rPr>
      </w:pPr>
      <w:r>
        <w:rPr>
          <w:rFonts w:hint="eastAsia" w:ascii="仿宋_GB2312" w:hAnsi="仿宋_GB2312" w:eastAsia="仿宋_GB2312" w:cs="仿宋_GB2312"/>
          <w:color w:val="auto"/>
          <w:kern w:val="2"/>
          <w:sz w:val="28"/>
          <w:szCs w:val="24"/>
          <w:highlight w:val="none"/>
          <w:lang w:val="en-US" w:eastAsia="zh-CN" w:bidi="ar-SA"/>
        </w:rPr>
        <w:t>8.采购人</w:t>
      </w:r>
      <w:r>
        <w:rPr>
          <w:rFonts w:hint="eastAsia" w:ascii="仿宋_GB2312" w:hAnsi="仿宋_GB2312" w:eastAsia="仿宋_GB2312" w:cs="仿宋_GB2312"/>
          <w:color w:val="auto"/>
          <w:kern w:val="2"/>
          <w:sz w:val="28"/>
          <w:szCs w:val="24"/>
          <w:highlight w:val="none"/>
          <w:lang w:val="en-US" w:eastAsia="en-US" w:bidi="ar-SA"/>
        </w:rPr>
        <w:t>以书面形式提出的其他保密措施。</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en-US" w:bidi="ar-SA"/>
        </w:rPr>
      </w:pPr>
      <w:r>
        <w:rPr>
          <w:rFonts w:hint="eastAsia" w:ascii="仿宋_GB2312" w:hAnsi="仿宋_GB2312" w:eastAsia="仿宋_GB2312" w:cs="仿宋_GB2312"/>
          <w:color w:val="auto"/>
          <w:kern w:val="2"/>
          <w:sz w:val="28"/>
          <w:szCs w:val="24"/>
          <w:highlight w:val="none"/>
          <w:lang w:val="en-US" w:eastAsia="zh-CN" w:bidi="ar-SA"/>
        </w:rPr>
        <w:t>（三）</w:t>
      </w:r>
      <w:r>
        <w:rPr>
          <w:rFonts w:hint="eastAsia" w:ascii="仿宋_GB2312" w:hAnsi="仿宋_GB2312" w:eastAsia="仿宋_GB2312" w:cs="仿宋_GB2312"/>
          <w:color w:val="auto"/>
          <w:kern w:val="2"/>
          <w:sz w:val="28"/>
          <w:szCs w:val="24"/>
          <w:highlight w:val="none"/>
          <w:lang w:val="en-US" w:eastAsia="en-US" w:bidi="ar-SA"/>
        </w:rPr>
        <w:t>保密期限不受合同有效期的限制，在合同有效期结束后，信息接受方仍应承担保密义务，直至该等信息成为公开信息。</w:t>
      </w:r>
    </w:p>
    <w:p>
      <w:pPr>
        <w:pStyle w:val="23"/>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（四）采购人和供应商</w:t>
      </w:r>
      <w:r>
        <w:rPr>
          <w:rFonts w:hint="eastAsia" w:ascii="仿宋_GB2312" w:hAnsi="仿宋_GB2312" w:eastAsia="仿宋_GB2312" w:cs="仿宋_GB2312"/>
          <w:color w:val="auto"/>
          <w:kern w:val="2"/>
          <w:sz w:val="28"/>
          <w:szCs w:val="24"/>
          <w:highlight w:val="none"/>
          <w:lang w:val="en-US" w:eastAsia="en-US" w:bidi="ar-SA"/>
        </w:rPr>
        <w:t>如出现泄密行为，泄密方应承担相关的法律责任，包括但不限于对由此给对方造成的经济损失进行赔偿。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color w:val="auto"/>
          <w:kern w:val="2"/>
          <w:sz w:val="28"/>
          <w:szCs w:val="24"/>
          <w:highlight w:val="red"/>
          <w:lang w:val="en-US" w:eastAsia="zh-CN" w:bidi="ar-SA"/>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B1FAA"/>
    <w:multiLevelType w:val="singleLevel"/>
    <w:tmpl w:val="678B1FAA"/>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25F"/>
    <w:rsid w:val="005175ED"/>
    <w:rsid w:val="00903FDB"/>
    <w:rsid w:val="0091584B"/>
    <w:rsid w:val="009B1D31"/>
    <w:rsid w:val="00B707C1"/>
    <w:rsid w:val="00BB6BB6"/>
    <w:rsid w:val="00F27143"/>
    <w:rsid w:val="00F43E68"/>
    <w:rsid w:val="01770CCA"/>
    <w:rsid w:val="01E43E35"/>
    <w:rsid w:val="032F0EC5"/>
    <w:rsid w:val="03657D01"/>
    <w:rsid w:val="03677F4E"/>
    <w:rsid w:val="03AE5934"/>
    <w:rsid w:val="03F92894"/>
    <w:rsid w:val="047A5783"/>
    <w:rsid w:val="05A76FD0"/>
    <w:rsid w:val="05B42C44"/>
    <w:rsid w:val="06671591"/>
    <w:rsid w:val="06BF2AC0"/>
    <w:rsid w:val="06EF23B9"/>
    <w:rsid w:val="06EF4EFE"/>
    <w:rsid w:val="074C4371"/>
    <w:rsid w:val="07554039"/>
    <w:rsid w:val="07662956"/>
    <w:rsid w:val="08056F43"/>
    <w:rsid w:val="083B7095"/>
    <w:rsid w:val="08702576"/>
    <w:rsid w:val="08E449F4"/>
    <w:rsid w:val="095A7C54"/>
    <w:rsid w:val="0970184A"/>
    <w:rsid w:val="099D341C"/>
    <w:rsid w:val="0A6A5006"/>
    <w:rsid w:val="0A967061"/>
    <w:rsid w:val="0AAE3694"/>
    <w:rsid w:val="0B203F80"/>
    <w:rsid w:val="0B760594"/>
    <w:rsid w:val="0C6859F9"/>
    <w:rsid w:val="0CD8573D"/>
    <w:rsid w:val="0CFA5F1D"/>
    <w:rsid w:val="0D20192F"/>
    <w:rsid w:val="0D744366"/>
    <w:rsid w:val="0DE5605C"/>
    <w:rsid w:val="0EE06B2A"/>
    <w:rsid w:val="0EE7713B"/>
    <w:rsid w:val="0F024CF3"/>
    <w:rsid w:val="0F0542A3"/>
    <w:rsid w:val="0F0E3FC0"/>
    <w:rsid w:val="0F5942C9"/>
    <w:rsid w:val="0FC271F5"/>
    <w:rsid w:val="0FC9572A"/>
    <w:rsid w:val="0FFD1A77"/>
    <w:rsid w:val="109104DB"/>
    <w:rsid w:val="10D95A06"/>
    <w:rsid w:val="120B75C1"/>
    <w:rsid w:val="124F46F3"/>
    <w:rsid w:val="125A7B4D"/>
    <w:rsid w:val="132F5C1A"/>
    <w:rsid w:val="136C640C"/>
    <w:rsid w:val="13E97575"/>
    <w:rsid w:val="14591AD8"/>
    <w:rsid w:val="14714CAE"/>
    <w:rsid w:val="149C7F62"/>
    <w:rsid w:val="1563086B"/>
    <w:rsid w:val="15C279F0"/>
    <w:rsid w:val="15EA69D5"/>
    <w:rsid w:val="16421E79"/>
    <w:rsid w:val="16912175"/>
    <w:rsid w:val="16F32596"/>
    <w:rsid w:val="17861433"/>
    <w:rsid w:val="1819022D"/>
    <w:rsid w:val="185052D5"/>
    <w:rsid w:val="187622AE"/>
    <w:rsid w:val="18EB2D44"/>
    <w:rsid w:val="190C3198"/>
    <w:rsid w:val="191D609B"/>
    <w:rsid w:val="19A74E14"/>
    <w:rsid w:val="1A074B4B"/>
    <w:rsid w:val="1A896385"/>
    <w:rsid w:val="1AB25BF7"/>
    <w:rsid w:val="1AE42F77"/>
    <w:rsid w:val="1B19346F"/>
    <w:rsid w:val="1B2C14D9"/>
    <w:rsid w:val="1B975DEF"/>
    <w:rsid w:val="1C5936DA"/>
    <w:rsid w:val="1C5C1EFD"/>
    <w:rsid w:val="1CB27D00"/>
    <w:rsid w:val="1CDA46B0"/>
    <w:rsid w:val="1D3E78BB"/>
    <w:rsid w:val="1DCD0BC2"/>
    <w:rsid w:val="1DCE1BF5"/>
    <w:rsid w:val="1E3E01F3"/>
    <w:rsid w:val="20F052F3"/>
    <w:rsid w:val="20FD287E"/>
    <w:rsid w:val="22446C9D"/>
    <w:rsid w:val="22E06CA1"/>
    <w:rsid w:val="239A19E6"/>
    <w:rsid w:val="23B940E1"/>
    <w:rsid w:val="23EA5D93"/>
    <w:rsid w:val="245C67FB"/>
    <w:rsid w:val="24B852E5"/>
    <w:rsid w:val="24C63FAB"/>
    <w:rsid w:val="251A374B"/>
    <w:rsid w:val="253E3ECD"/>
    <w:rsid w:val="25766C91"/>
    <w:rsid w:val="262A2C61"/>
    <w:rsid w:val="26865DB2"/>
    <w:rsid w:val="26B960FC"/>
    <w:rsid w:val="26F14BF7"/>
    <w:rsid w:val="271433BD"/>
    <w:rsid w:val="27FF7BCA"/>
    <w:rsid w:val="28ED2118"/>
    <w:rsid w:val="290E620C"/>
    <w:rsid w:val="2916472F"/>
    <w:rsid w:val="2A0541D6"/>
    <w:rsid w:val="2A9F41BC"/>
    <w:rsid w:val="2C461459"/>
    <w:rsid w:val="2CB90C8F"/>
    <w:rsid w:val="2D281971"/>
    <w:rsid w:val="2D316926"/>
    <w:rsid w:val="2DB72CF5"/>
    <w:rsid w:val="2E3B5B90"/>
    <w:rsid w:val="2E681EA4"/>
    <w:rsid w:val="2F5D0DDC"/>
    <w:rsid w:val="2F650C5A"/>
    <w:rsid w:val="2FFEADBC"/>
    <w:rsid w:val="302B6C1C"/>
    <w:rsid w:val="30645BE5"/>
    <w:rsid w:val="31085B96"/>
    <w:rsid w:val="31313904"/>
    <w:rsid w:val="31AA6DF8"/>
    <w:rsid w:val="31D22635"/>
    <w:rsid w:val="326F1618"/>
    <w:rsid w:val="327078CB"/>
    <w:rsid w:val="32927C80"/>
    <w:rsid w:val="32AB049E"/>
    <w:rsid w:val="33024737"/>
    <w:rsid w:val="33EC4F1E"/>
    <w:rsid w:val="35696215"/>
    <w:rsid w:val="35AC183C"/>
    <w:rsid w:val="36080591"/>
    <w:rsid w:val="362D624A"/>
    <w:rsid w:val="37C64260"/>
    <w:rsid w:val="383D2C28"/>
    <w:rsid w:val="38661C52"/>
    <w:rsid w:val="38B0483C"/>
    <w:rsid w:val="3912125F"/>
    <w:rsid w:val="39B878D6"/>
    <w:rsid w:val="39C44EB3"/>
    <w:rsid w:val="3A221F10"/>
    <w:rsid w:val="3B1252FA"/>
    <w:rsid w:val="3BB71CF3"/>
    <w:rsid w:val="3CC80B32"/>
    <w:rsid w:val="3CDD087E"/>
    <w:rsid w:val="3DF817CE"/>
    <w:rsid w:val="3FA96941"/>
    <w:rsid w:val="3FBF2B8A"/>
    <w:rsid w:val="3FCC7F58"/>
    <w:rsid w:val="3FE55894"/>
    <w:rsid w:val="40363F4D"/>
    <w:rsid w:val="40970353"/>
    <w:rsid w:val="41E828A9"/>
    <w:rsid w:val="427719FA"/>
    <w:rsid w:val="42E666AE"/>
    <w:rsid w:val="43182033"/>
    <w:rsid w:val="43212C92"/>
    <w:rsid w:val="449D34F7"/>
    <w:rsid w:val="44E4674D"/>
    <w:rsid w:val="45060392"/>
    <w:rsid w:val="458435C2"/>
    <w:rsid w:val="45B86D96"/>
    <w:rsid w:val="45F07ADE"/>
    <w:rsid w:val="46C35EA4"/>
    <w:rsid w:val="46D752E7"/>
    <w:rsid w:val="48506A71"/>
    <w:rsid w:val="48717A75"/>
    <w:rsid w:val="4A6C7A99"/>
    <w:rsid w:val="4B19237E"/>
    <w:rsid w:val="4B70258E"/>
    <w:rsid w:val="4B850A18"/>
    <w:rsid w:val="4BA67F44"/>
    <w:rsid w:val="4D0171EB"/>
    <w:rsid w:val="4D673998"/>
    <w:rsid w:val="4D6A7DE8"/>
    <w:rsid w:val="4DBF205D"/>
    <w:rsid w:val="4E313BB7"/>
    <w:rsid w:val="4EA95E09"/>
    <w:rsid w:val="4EF74FEF"/>
    <w:rsid w:val="4FC74BC1"/>
    <w:rsid w:val="50163710"/>
    <w:rsid w:val="50853DF6"/>
    <w:rsid w:val="511A090C"/>
    <w:rsid w:val="536B098E"/>
    <w:rsid w:val="53AE3AC2"/>
    <w:rsid w:val="53F92D58"/>
    <w:rsid w:val="5407713D"/>
    <w:rsid w:val="54CB64AF"/>
    <w:rsid w:val="56440858"/>
    <w:rsid w:val="569B01FA"/>
    <w:rsid w:val="575D74DB"/>
    <w:rsid w:val="581B2184"/>
    <w:rsid w:val="58501B93"/>
    <w:rsid w:val="587C7F7B"/>
    <w:rsid w:val="58A67A6A"/>
    <w:rsid w:val="59535E47"/>
    <w:rsid w:val="59F7158D"/>
    <w:rsid w:val="59F9038D"/>
    <w:rsid w:val="5AA87846"/>
    <w:rsid w:val="5AB767C6"/>
    <w:rsid w:val="5ABF4E13"/>
    <w:rsid w:val="5AFE6E46"/>
    <w:rsid w:val="5B146978"/>
    <w:rsid w:val="5B5B5A21"/>
    <w:rsid w:val="5B65228D"/>
    <w:rsid w:val="5B687259"/>
    <w:rsid w:val="5C5900AF"/>
    <w:rsid w:val="5D4C2F93"/>
    <w:rsid w:val="5D916330"/>
    <w:rsid w:val="5D972077"/>
    <w:rsid w:val="5F046567"/>
    <w:rsid w:val="5F7F63D7"/>
    <w:rsid w:val="5F96036A"/>
    <w:rsid w:val="5FAA7F42"/>
    <w:rsid w:val="5FAB2D81"/>
    <w:rsid w:val="6010192E"/>
    <w:rsid w:val="601C6864"/>
    <w:rsid w:val="609B3147"/>
    <w:rsid w:val="612B03AF"/>
    <w:rsid w:val="612F1801"/>
    <w:rsid w:val="61CE54AE"/>
    <w:rsid w:val="620C68BA"/>
    <w:rsid w:val="62204EA2"/>
    <w:rsid w:val="62505910"/>
    <w:rsid w:val="62892719"/>
    <w:rsid w:val="62BD5E1C"/>
    <w:rsid w:val="637A6385"/>
    <w:rsid w:val="64104384"/>
    <w:rsid w:val="65441544"/>
    <w:rsid w:val="66C0619B"/>
    <w:rsid w:val="66D32621"/>
    <w:rsid w:val="67204E8B"/>
    <w:rsid w:val="67380427"/>
    <w:rsid w:val="678618DD"/>
    <w:rsid w:val="67A50A9D"/>
    <w:rsid w:val="67F6D5D9"/>
    <w:rsid w:val="67FA182E"/>
    <w:rsid w:val="696D23DF"/>
    <w:rsid w:val="69AC3181"/>
    <w:rsid w:val="6A4E61B3"/>
    <w:rsid w:val="6A9A6E2D"/>
    <w:rsid w:val="6ABE764D"/>
    <w:rsid w:val="6C1E6C25"/>
    <w:rsid w:val="6C43273B"/>
    <w:rsid w:val="6C772D5A"/>
    <w:rsid w:val="6D1534FD"/>
    <w:rsid w:val="6D6308B1"/>
    <w:rsid w:val="6E0032A4"/>
    <w:rsid w:val="6EC90670"/>
    <w:rsid w:val="6F3E60C7"/>
    <w:rsid w:val="6F6F2618"/>
    <w:rsid w:val="6FBE74E3"/>
    <w:rsid w:val="704F26E7"/>
    <w:rsid w:val="7090137D"/>
    <w:rsid w:val="709B01E2"/>
    <w:rsid w:val="70C62947"/>
    <w:rsid w:val="719E73ED"/>
    <w:rsid w:val="72004199"/>
    <w:rsid w:val="72052C2D"/>
    <w:rsid w:val="727E074E"/>
    <w:rsid w:val="7294672D"/>
    <w:rsid w:val="73CF1E84"/>
    <w:rsid w:val="747E3573"/>
    <w:rsid w:val="75714BC5"/>
    <w:rsid w:val="75BD4177"/>
    <w:rsid w:val="75E55C1E"/>
    <w:rsid w:val="76C23183"/>
    <w:rsid w:val="770968D2"/>
    <w:rsid w:val="77DF044B"/>
    <w:rsid w:val="786563B3"/>
    <w:rsid w:val="78BA4AF1"/>
    <w:rsid w:val="79E50229"/>
    <w:rsid w:val="7A0B2F89"/>
    <w:rsid w:val="7A685DE8"/>
    <w:rsid w:val="7AAA1685"/>
    <w:rsid w:val="7BE40725"/>
    <w:rsid w:val="7C9F2E39"/>
    <w:rsid w:val="7D503A3A"/>
    <w:rsid w:val="7D850590"/>
    <w:rsid w:val="7DA13A08"/>
    <w:rsid w:val="7E07438F"/>
    <w:rsid w:val="7E1B2C1F"/>
    <w:rsid w:val="7E1F5030"/>
    <w:rsid w:val="7E2D63B4"/>
    <w:rsid w:val="7E8E6339"/>
    <w:rsid w:val="7E8E66C3"/>
    <w:rsid w:val="7F4B3A2A"/>
    <w:rsid w:val="7F7FC715"/>
    <w:rsid w:val="7FD8594F"/>
    <w:rsid w:val="7FF6CF85"/>
    <w:rsid w:val="B9FBD5F5"/>
    <w:rsid w:val="F795B5C7"/>
    <w:rsid w:val="FEDFFD70"/>
    <w:rsid w:val="FFBEBAAF"/>
    <w:rsid w:val="FFFCFA58"/>
    <w:rsid w:val="FFFF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left"/>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9"/>
    <w:pPr>
      <w:keepNext/>
      <w:spacing w:line="560" w:lineRule="exact"/>
      <w:ind w:firstLine="0" w:firstLineChars="0"/>
      <w:jc w:val="center"/>
      <w:outlineLvl w:val="0"/>
    </w:pPr>
    <w:rPr>
      <w:rFonts w:ascii="Cambria" w:hAnsi="Cambria" w:eastAsia="仿宋_GB2312"/>
      <w:b/>
      <w:bCs/>
      <w:kern w:val="32"/>
      <w:sz w:val="32"/>
      <w:szCs w:val="32"/>
    </w:rPr>
  </w:style>
  <w:style w:type="paragraph" w:styleId="4">
    <w:name w:val="heading 2"/>
    <w:basedOn w:val="1"/>
    <w:next w:val="1"/>
    <w:qFormat/>
    <w:uiPriority w:val="0"/>
    <w:pPr>
      <w:keepNext/>
      <w:keepLines/>
      <w:spacing w:line="560" w:lineRule="exact"/>
      <w:ind w:firstLine="0" w:firstLineChars="0"/>
      <w:jc w:val="both"/>
      <w:outlineLvl w:val="1"/>
    </w:pPr>
    <w:rPr>
      <w:rFonts w:ascii="Arial" w:hAnsi="Arial"/>
      <w:b/>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next w:val="1"/>
    <w:qFormat/>
    <w:uiPriority w:val="0"/>
    <w:pPr>
      <w:spacing w:line="660" w:lineRule="exact"/>
      <w:ind w:firstLine="720"/>
    </w:pPr>
    <w:rPr>
      <w:rFonts w:eastAsia="楷体_GB2312"/>
      <w:sz w:val="36"/>
      <w:szCs w:val="36"/>
    </w:rPr>
  </w:style>
  <w:style w:type="paragraph" w:styleId="7">
    <w:name w:val="table of authorities"/>
    <w:basedOn w:val="1"/>
    <w:next w:val="1"/>
    <w:qFormat/>
    <w:uiPriority w:val="0"/>
    <w:pPr>
      <w:ind w:left="420" w:leftChars="200"/>
    </w:pPr>
  </w:style>
  <w:style w:type="paragraph" w:styleId="8">
    <w:name w:val="Body Text"/>
    <w:basedOn w:val="1"/>
    <w:qFormat/>
    <w:uiPriority w:val="0"/>
    <w:pPr>
      <w:spacing w:after="120"/>
    </w:pPr>
  </w:style>
  <w:style w:type="paragraph" w:styleId="9">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10">
    <w:name w:val="toc 3"/>
    <w:basedOn w:val="1"/>
    <w:next w:val="1"/>
    <w:qFormat/>
    <w:uiPriority w:val="0"/>
    <w:pPr>
      <w:ind w:left="840" w:leftChars="400"/>
    </w:pPr>
  </w:style>
  <w:style w:type="paragraph" w:styleId="11">
    <w:name w:val="Plain Text"/>
    <w:basedOn w:val="1"/>
    <w:next w:val="12"/>
    <w:qFormat/>
    <w:uiPriority w:val="99"/>
    <w:rPr>
      <w:rFonts w:ascii="宋体" w:hAnsi="Courier New"/>
      <w:sz w:val="11"/>
      <w:szCs w:val="20"/>
    </w:rPr>
  </w:style>
  <w:style w:type="paragraph" w:styleId="12">
    <w:name w:val="List Number 5"/>
    <w:basedOn w:val="1"/>
    <w:qFormat/>
    <w:uiPriority w:val="0"/>
    <w:pPr>
      <w:numPr>
        <w:ilvl w:val="0"/>
        <w:numId w:val="1"/>
      </w:numPr>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First Indent 2"/>
    <w:basedOn w:val="9"/>
    <w:qFormat/>
    <w:uiPriority w:val="0"/>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styleId="22">
    <w:name w:val="List Paragraph"/>
    <w:basedOn w:val="1"/>
    <w:qFormat/>
    <w:uiPriority w:val="34"/>
    <w:pPr>
      <w:ind w:left="720"/>
      <w:contextualSpacing/>
    </w:pPr>
  </w:style>
  <w:style w:type="paragraph" w:customStyle="1" w:styleId="23">
    <w:name w:val="MsoNormal"/>
    <w:basedOn w:val="1"/>
    <w:qFormat/>
    <w:uiPriority w:val="0"/>
    <w:pPr>
      <w:widowControl/>
      <w:spacing w:line="240" w:lineRule="auto"/>
      <w:ind w:firstLine="0" w:firstLineChars="0"/>
      <w:jc w:val="left"/>
    </w:pPr>
    <w:rPr>
      <w:rFonts w:ascii="Times New Roman" w:hAnsi="Times New Roman" w:eastAsia="Times New Roman"/>
      <w:kern w:val="0"/>
      <w:sz w:val="24"/>
      <w:lang w:eastAsia="en-US"/>
    </w:rPr>
  </w:style>
  <w:style w:type="paragraph" w:customStyle="1" w:styleId="24">
    <w:name w:val="Heading 2_0"/>
    <w:basedOn w:val="1"/>
    <w:next w:val="1"/>
    <w:qFormat/>
    <w:uiPriority w:val="0"/>
    <w:pPr>
      <w:keepNext/>
      <w:widowControl/>
      <w:spacing w:before="240" w:after="60" w:line="240" w:lineRule="auto"/>
      <w:ind w:firstLine="0" w:firstLineChars="0"/>
      <w:jc w:val="left"/>
      <w:outlineLvl w:val="1"/>
    </w:pPr>
    <w:rPr>
      <w:rFonts w:ascii="Arial" w:hAnsi="Arial" w:eastAsia="Times New Roman" w:cs="Arial"/>
      <w:b/>
      <w:bCs/>
      <w:i/>
      <w:iCs/>
      <w:kern w:val="0"/>
      <w:sz w:val="28"/>
      <w:szCs w:val="28"/>
      <w:lang w:eastAsia="en-US"/>
    </w:rPr>
  </w:style>
  <w:style w:type="paragraph" w:customStyle="1" w:styleId="25">
    <w:name w:val="MsoNormal0"/>
    <w:basedOn w:val="1"/>
    <w:qFormat/>
    <w:uiPriority w:val="0"/>
    <w:pPr>
      <w:widowControl/>
      <w:spacing w:line="240" w:lineRule="auto"/>
      <w:ind w:firstLine="0" w:firstLineChars="0"/>
      <w:jc w:val="left"/>
    </w:pPr>
    <w:rPr>
      <w:rFonts w:ascii="Times New Roman" w:hAnsi="Times New Roman" w:eastAsia="Times New Roman"/>
      <w:kern w:val="0"/>
      <w:sz w:val="24"/>
      <w:lang w:eastAsia="en-US"/>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7">
    <w:name w:val="font01"/>
    <w:basedOn w:val="20"/>
    <w:qFormat/>
    <w:uiPriority w:val="0"/>
    <w:rPr>
      <w:rFonts w:hint="eastAsia" w:ascii="宋体" w:hAnsi="宋体" w:eastAsia="宋体" w:cs="宋体"/>
      <w:color w:val="000000"/>
      <w:sz w:val="24"/>
      <w:szCs w:val="24"/>
      <w:u w:val="none"/>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font11"/>
    <w:basedOn w:val="20"/>
    <w:qFormat/>
    <w:uiPriority w:val="0"/>
    <w:rPr>
      <w:rFonts w:hint="eastAsia" w:ascii="宋体" w:hAnsi="宋体" w:eastAsia="宋体" w:cs="宋体"/>
      <w:color w:val="000000"/>
      <w:sz w:val="20"/>
      <w:szCs w:val="20"/>
      <w:u w:val="none"/>
    </w:rPr>
  </w:style>
  <w:style w:type="paragraph" w:customStyle="1" w:styleId="30">
    <w:name w:val="Table Paragraph"/>
    <w:basedOn w:val="1"/>
    <w:qFormat/>
    <w:uiPriority w:val="1"/>
    <w:rPr>
      <w:rFonts w:ascii="楷体" w:hAnsi="楷体" w:eastAsia="楷体" w:cs="楷体"/>
      <w:lang w:val="zh-CN" w:bidi="zh-CN"/>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15"/>
    <w:basedOn w:val="1"/>
    <w:qFormat/>
    <w:uiPriority w:val="0"/>
  </w:style>
  <w:style w:type="paragraph" w:customStyle="1" w:styleId="34">
    <w:name w:val="WPSOffice手动目录 3"/>
    <w:qFormat/>
    <w:uiPriority w:val="0"/>
    <w:pPr>
      <w:ind w:leftChars="400"/>
    </w:pPr>
    <w:rPr>
      <w:rFonts w:asciiTheme="minorHAnsi" w:hAnsiTheme="minorHAnsi" w:eastAsiaTheme="minorEastAsia" w:cstheme="minorBidi"/>
      <w:sz w:val="20"/>
      <w:szCs w:val="20"/>
    </w:rPr>
  </w:style>
  <w:style w:type="paragraph" w:customStyle="1" w:styleId="35">
    <w:name w:val="Normal_0"/>
    <w:next w:val="36"/>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6">
    <w:name w:val="Fließtext"/>
    <w:basedOn w:val="1"/>
    <w:qFormat/>
    <w:uiPriority w:val="99"/>
    <w:pPr>
      <w:overflowPunct w:val="0"/>
      <w:autoSpaceDE w:val="0"/>
      <w:autoSpaceDN w:val="0"/>
      <w:adjustRightInd w:val="0"/>
      <w:spacing w:after="160" w:line="360" w:lineRule="atLeast"/>
      <w:jc w:val="left"/>
      <w:textAlignment w:val="baseline"/>
    </w:pPr>
    <w:rPr>
      <w:rFonts w:ascii="Calibri" w:hAnsi="Calibri"/>
      <w:kern w:val="28"/>
      <w:szCs w:val="22"/>
    </w:rPr>
  </w:style>
  <w:style w:type="table" w:customStyle="1" w:styleId="37">
    <w:name w:val="16 Table"/>
    <w:basedOn w:val="18"/>
    <w:qFormat/>
    <w:uiPriority w:val="0"/>
    <w:rPr>
      <w:rFonts w:eastAsia="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1843</Words>
  <Characters>10511</Characters>
  <Lines>87</Lines>
  <Paragraphs>24</Paragraphs>
  <TotalTime>10</TotalTime>
  <ScaleCrop>false</ScaleCrop>
  <LinksUpToDate>false</LinksUpToDate>
  <CharactersWithSpaces>12330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2025-07-26T00:10:00Z</dcterms:created>
  <dc:creator>.</dc:creator>
  <cp:lastModifiedBy>王寒梅</cp:lastModifiedBy>
  <cp:lastPrinted>2025-09-29T02:13:00Z</cp:lastPrinted>
  <dcterms:modified xsi:type="dcterms:W3CDTF">2025-09-29T04:20:34Z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BC1BFCB3DE2F498089AA6E533FECFDE7_11</vt:lpwstr>
  </property>
  <property fmtid="{D5CDD505-2E9C-101B-9397-08002B2CF9AE}" pid="4" name="KSOTemplateDocerSaveRecord">
    <vt:lpwstr>eyJoZGlkIjoiMTUyNWYyMjFhOWRjNGRiNjZkNWIxYWMyYjhjZWRlZGUifQ==</vt:lpwstr>
  </property>
</Properties>
</file>