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both"/>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附件</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both"/>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国家税务总局阿勒泰地区税务局稽查局</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2022年本级第二批稽查对象随机</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lang w:val="en-US" w:eastAsia="zh-CN" w:bidi="ar"/>
        </w:rPr>
        <w:t>抽查事项清单</w:t>
      </w:r>
    </w:p>
    <w:tbl>
      <w:tblPr>
        <w:tblStyle w:val="6"/>
        <w:tblW w:w="10734" w:type="dxa"/>
        <w:tblInd w:w="-9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39"/>
        <w:gridCol w:w="702"/>
        <w:gridCol w:w="1878"/>
        <w:gridCol w:w="1501"/>
        <w:gridCol w:w="2459"/>
        <w:gridCol w:w="2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15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公示事项</w:t>
            </w:r>
          </w:p>
        </w:tc>
        <w:tc>
          <w:tcPr>
            <w:tcW w:w="91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公示内容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15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随机抽查事项</w:t>
            </w:r>
          </w:p>
        </w:tc>
        <w:tc>
          <w:tcPr>
            <w:tcW w:w="91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税务稽查随机抽查（2022年本级第二批稽查对象随机抽查）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5" w:hRule="atLeast"/>
        </w:trPr>
        <w:tc>
          <w:tcPr>
            <w:tcW w:w="15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随机抽查依据</w:t>
            </w:r>
          </w:p>
        </w:tc>
        <w:tc>
          <w:tcPr>
            <w:tcW w:w="2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left"/>
              <w:textAlignment w:val="top"/>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《中华人民共和国税收征收管理法》第五十四条、第五十七条、第五十八条</w:t>
            </w: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left"/>
              <w:textAlignment w:val="top"/>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《国务院办公厅关于推广随机抽查规范事中事后监管的通知》（国办发〔2015〕58号）</w:t>
            </w:r>
          </w:p>
        </w:tc>
        <w:tc>
          <w:tcPr>
            <w:tcW w:w="2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left"/>
              <w:textAlignment w:val="top"/>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国家税务总局关于印发《推进税务稽查随机抽查实施方案的通知》（税总发〔2015〕104号）</w:t>
            </w: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left"/>
              <w:textAlignment w:val="top"/>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《新疆维吾尔自治区人民政府办公厅关于印发推广随机抽查规范事中事后监管实施方案的通知》（新政办发〔2016〕17号）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15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随机抽查主体</w:t>
            </w:r>
          </w:p>
        </w:tc>
        <w:tc>
          <w:tcPr>
            <w:tcW w:w="91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国家税务总局阿勒泰地区税务局稽查局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15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随机抽查对象</w:t>
            </w:r>
          </w:p>
        </w:tc>
        <w:tc>
          <w:tcPr>
            <w:tcW w:w="91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采取定向抽取方式，从“税务稽查双随机工作平台—市级重点稽查对象名录库”中，随机抽取抽查对象。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15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随机抽查对象</w:t>
            </w:r>
          </w:p>
        </w:tc>
        <w:tc>
          <w:tcPr>
            <w:tcW w:w="91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left"/>
              <w:textAlignment w:val="top"/>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纳税人、扣缴义务人和其他涉税当事人履行纳税义务、扣缴税款义务情况及其他税法遵从情况。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0" w:hRule="atLeast"/>
        </w:trPr>
        <w:tc>
          <w:tcPr>
            <w:tcW w:w="15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随机抽查内容</w:t>
            </w:r>
          </w:p>
        </w:tc>
        <w:tc>
          <w:tcPr>
            <w:tcW w:w="91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left"/>
              <w:textAlignment w:val="top"/>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是否有不缴或者少缴税款行为，是否有不缴或者少缴已扣、已收税款行为，是否有逃避追缴欠税行为，是否有违规取得国家出口退税款、骗取国家出口退税款行为，是否有应扣未扣、应收而不收税款行为，是否有虚开发票行为，是否有其他不遵从税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15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检查所属期间</w:t>
            </w:r>
          </w:p>
        </w:tc>
        <w:tc>
          <w:tcPr>
            <w:tcW w:w="91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left"/>
              <w:textAlignment w:val="top"/>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2019年1月1日-2021年12月31日（如检查发现此期间以外明显的税收违法嫌疑或线索不受此限）。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90" w:hRule="atLeast"/>
        </w:trPr>
        <w:tc>
          <w:tcPr>
            <w:tcW w:w="153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检查手段</w:t>
            </w:r>
          </w:p>
        </w:tc>
        <w:tc>
          <w:tcPr>
            <w:tcW w:w="9195" w:type="dxa"/>
            <w:gridSpan w:val="5"/>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left"/>
              <w:textAlignment w:val="top"/>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检查纳税人的账簿、记账凭证、报表和有关资料，检查扣缴义务人代扣代缴、代收代缴税款账簿、记账凭证和有关资料。</w:t>
            </w:r>
            <w:r>
              <w:rPr>
                <w:rFonts w:hint="eastAsia" w:ascii="仿宋_GB2312" w:hAnsi="仿宋_GB2312" w:eastAsia="仿宋_GB2312" w:cs="仿宋_GB2312"/>
                <w:i w:val="0"/>
                <w:color w:val="000000"/>
                <w:kern w:val="0"/>
                <w:sz w:val="32"/>
                <w:szCs w:val="32"/>
                <w:u w:val="none"/>
                <w:lang w:val="en-US" w:eastAsia="zh-CN" w:bidi="ar"/>
              </w:rPr>
              <w:br w:type="textWrapping"/>
            </w:r>
            <w:r>
              <w:rPr>
                <w:rFonts w:hint="eastAsia" w:ascii="仿宋_GB2312" w:hAnsi="仿宋_GB2312" w:eastAsia="仿宋_GB2312" w:cs="仿宋_GB2312"/>
                <w:i w:val="0"/>
                <w:color w:val="000000"/>
                <w:kern w:val="0"/>
                <w:sz w:val="32"/>
                <w:szCs w:val="32"/>
                <w:u w:val="none"/>
                <w:lang w:val="en-US" w:eastAsia="zh-CN" w:bidi="ar"/>
              </w:rPr>
              <w:t xml:space="preserve">    到纳税人的生产、经营场所和货物存放地检查纳税人应纳税的商品、货物或者其他财产，检查扣缴义务人与代扣代缴、代收代缴税款有关的经营情况。</w:t>
            </w:r>
            <w:r>
              <w:rPr>
                <w:rFonts w:hint="eastAsia" w:ascii="仿宋_GB2312" w:hAnsi="仿宋_GB2312" w:eastAsia="仿宋_GB2312" w:cs="仿宋_GB2312"/>
                <w:i w:val="0"/>
                <w:color w:val="000000"/>
                <w:kern w:val="0"/>
                <w:sz w:val="32"/>
                <w:szCs w:val="32"/>
                <w:u w:val="none"/>
                <w:lang w:val="en-US" w:eastAsia="zh-CN" w:bidi="ar"/>
              </w:rPr>
              <w:br w:type="textWrapping"/>
            </w:r>
            <w:r>
              <w:rPr>
                <w:rFonts w:hint="eastAsia" w:ascii="仿宋_GB2312" w:hAnsi="仿宋_GB2312" w:eastAsia="仿宋_GB2312" w:cs="仿宋_GB2312"/>
                <w:i w:val="0"/>
                <w:color w:val="000000"/>
                <w:kern w:val="0"/>
                <w:sz w:val="32"/>
                <w:szCs w:val="32"/>
                <w:u w:val="none"/>
                <w:lang w:val="en-US" w:eastAsia="zh-CN" w:bidi="ar"/>
              </w:rPr>
              <w:t>责成纳税人、扣缴义务人提供与纳税或者代扣代缴、代收代缴税款有关的文件、证明材料和有关资料;</w:t>
            </w:r>
            <w:r>
              <w:rPr>
                <w:rFonts w:hint="eastAsia" w:ascii="仿宋_GB2312" w:hAnsi="仿宋_GB2312" w:eastAsia="仿宋_GB2312" w:cs="仿宋_GB2312"/>
                <w:i w:val="0"/>
                <w:color w:val="000000"/>
                <w:kern w:val="0"/>
                <w:sz w:val="32"/>
                <w:szCs w:val="32"/>
                <w:u w:val="none"/>
                <w:lang w:val="en-US" w:eastAsia="zh-CN" w:bidi="ar"/>
              </w:rPr>
              <w:br w:type="textWrapping"/>
            </w:r>
            <w:r>
              <w:rPr>
                <w:rFonts w:hint="eastAsia" w:ascii="仿宋_GB2312" w:hAnsi="仿宋_GB2312" w:eastAsia="仿宋_GB2312" w:cs="仿宋_GB2312"/>
                <w:i w:val="0"/>
                <w:color w:val="000000"/>
                <w:kern w:val="0"/>
                <w:sz w:val="32"/>
                <w:szCs w:val="32"/>
                <w:u w:val="none"/>
                <w:lang w:val="en-US" w:eastAsia="zh-CN" w:bidi="ar"/>
              </w:rPr>
              <w:t xml:space="preserve">    询问纳税人、扣缴义务人与纳税或者代扣代缴、代收代缴税款有关的问题和情况。</w:t>
            </w:r>
            <w:r>
              <w:rPr>
                <w:rFonts w:hint="eastAsia" w:ascii="仿宋_GB2312" w:hAnsi="仿宋_GB2312" w:eastAsia="仿宋_GB2312" w:cs="仿宋_GB2312"/>
                <w:i w:val="0"/>
                <w:color w:val="000000"/>
                <w:kern w:val="0"/>
                <w:sz w:val="32"/>
                <w:szCs w:val="32"/>
                <w:u w:val="none"/>
                <w:lang w:val="en-US" w:eastAsia="zh-CN" w:bidi="ar"/>
              </w:rPr>
              <w:br w:type="textWrapping"/>
            </w:r>
            <w:r>
              <w:rPr>
                <w:rFonts w:hint="eastAsia" w:ascii="仿宋_GB2312" w:hAnsi="仿宋_GB2312" w:eastAsia="仿宋_GB2312" w:cs="仿宋_GB2312"/>
                <w:i w:val="0"/>
                <w:color w:val="000000"/>
                <w:kern w:val="0"/>
                <w:sz w:val="32"/>
                <w:szCs w:val="32"/>
                <w:u w:val="none"/>
                <w:lang w:val="en-US" w:eastAsia="zh-CN" w:bidi="ar"/>
              </w:rPr>
              <w:t>到车站、码头、机场、邮政企业及其分支机构检查纳税人托运、邮寄应纳税商品、货物或者其他财产的有关单据、凭证和有关资料。</w:t>
            </w:r>
            <w:r>
              <w:rPr>
                <w:rFonts w:hint="eastAsia" w:ascii="仿宋_GB2312" w:hAnsi="仿宋_GB2312" w:eastAsia="仿宋_GB2312" w:cs="仿宋_GB2312"/>
                <w:i w:val="0"/>
                <w:color w:val="000000"/>
                <w:kern w:val="0"/>
                <w:sz w:val="32"/>
                <w:szCs w:val="32"/>
                <w:u w:val="none"/>
                <w:lang w:val="en-US" w:eastAsia="zh-CN" w:bidi="ar"/>
              </w:rPr>
              <w:br w:type="textWrapping"/>
            </w:r>
            <w:r>
              <w:rPr>
                <w:rFonts w:hint="eastAsia" w:ascii="仿宋_GB2312" w:hAnsi="仿宋_GB2312" w:eastAsia="仿宋_GB2312" w:cs="仿宋_GB2312"/>
                <w:i w:val="0"/>
                <w:color w:val="000000"/>
                <w:kern w:val="0"/>
                <w:sz w:val="32"/>
                <w:szCs w:val="32"/>
                <w:u w:val="none"/>
                <w:lang w:val="en-US" w:eastAsia="zh-CN" w:bidi="ar"/>
              </w:rPr>
              <w:t xml:space="preserve">    经</w:t>
            </w:r>
            <w:r>
              <w:rPr>
                <w:rFonts w:hint="eastAsia" w:ascii="仿宋_GB2312" w:hAnsi="仿宋_GB2312" w:cs="仿宋_GB2312"/>
                <w:i w:val="0"/>
                <w:color w:val="000000"/>
                <w:kern w:val="0"/>
                <w:sz w:val="32"/>
                <w:szCs w:val="32"/>
                <w:u w:val="none"/>
                <w:lang w:val="en-US" w:eastAsia="zh-CN" w:bidi="ar"/>
              </w:rPr>
              <w:t>县级</w:t>
            </w:r>
            <w:bookmarkStart w:id="0" w:name="_GoBack"/>
            <w:bookmarkEnd w:id="0"/>
            <w:r>
              <w:rPr>
                <w:rFonts w:hint="eastAsia" w:ascii="仿宋_GB2312" w:hAnsi="仿宋_GB2312" w:eastAsia="仿宋_GB2312" w:cs="仿宋_GB2312"/>
                <w:i w:val="0"/>
                <w:color w:val="000000"/>
                <w:kern w:val="0"/>
                <w:sz w:val="32"/>
                <w:szCs w:val="32"/>
                <w:u w:val="none"/>
                <w:lang w:val="en-US" w:eastAsia="zh-CN" w:bidi="ar"/>
              </w:rPr>
              <w:t>以上税务局(分局)局长批准，凭全国统一格式的检查存款账户许可证明，查询从事生产、经营的纳税人、扣缴义务人在银行或者其他金融机构的存款账户。税务机关在调查税收违法案件时，经设区的市、自治州以上税务局(分局)局长批准，可以查询案件涉嫌人员的储蓄存款。税务机关查询所获得的资料，不得用于税收以外的用途。</w:t>
            </w:r>
            <w:r>
              <w:rPr>
                <w:rFonts w:hint="eastAsia" w:ascii="仿宋_GB2312" w:hAnsi="仿宋_GB2312" w:eastAsia="仿宋_GB2312" w:cs="仿宋_GB2312"/>
                <w:i w:val="0"/>
                <w:color w:val="000000"/>
                <w:kern w:val="0"/>
                <w:sz w:val="32"/>
                <w:szCs w:val="32"/>
                <w:u w:val="none"/>
                <w:lang w:val="en-US" w:eastAsia="zh-CN" w:bidi="ar"/>
              </w:rPr>
              <w:br w:type="textWrapping"/>
            </w:r>
            <w:r>
              <w:rPr>
                <w:rFonts w:hint="eastAsia" w:ascii="仿宋_GB2312" w:hAnsi="仿宋_GB2312" w:eastAsia="仿宋_GB2312" w:cs="仿宋_GB2312"/>
                <w:i w:val="0"/>
                <w:color w:val="000000"/>
                <w:kern w:val="0"/>
                <w:sz w:val="32"/>
                <w:szCs w:val="32"/>
                <w:u w:val="none"/>
                <w:lang w:val="en-US" w:eastAsia="zh-CN" w:bidi="ar"/>
              </w:rPr>
              <w:t xml:space="preserve">    税务机关依法进行税务检查时，有权向有关单位和个人调查纳税人、扣缴义务人和其他当事人与纳税或者代扣代缴、代收代缴税款有关的情况，有关单位和个人有义务向税务机关如实提供有关资料及证明材料。</w:t>
            </w:r>
            <w:r>
              <w:rPr>
                <w:rFonts w:hint="eastAsia" w:ascii="仿宋_GB2312" w:hAnsi="仿宋_GB2312" w:eastAsia="仿宋_GB2312" w:cs="仿宋_GB2312"/>
                <w:i w:val="0"/>
                <w:color w:val="000000"/>
                <w:kern w:val="0"/>
                <w:sz w:val="32"/>
                <w:szCs w:val="32"/>
                <w:u w:val="none"/>
                <w:lang w:val="en-US" w:eastAsia="zh-CN" w:bidi="ar"/>
              </w:rPr>
              <w:br w:type="textWrapping"/>
            </w:r>
            <w:r>
              <w:rPr>
                <w:rFonts w:hint="eastAsia" w:ascii="仿宋_GB2312" w:hAnsi="仿宋_GB2312" w:eastAsia="仿宋_GB2312" w:cs="仿宋_GB2312"/>
                <w:i w:val="0"/>
                <w:color w:val="000000"/>
                <w:kern w:val="0"/>
                <w:sz w:val="32"/>
                <w:szCs w:val="32"/>
                <w:u w:val="none"/>
                <w:lang w:val="en-US" w:eastAsia="zh-CN" w:bidi="ar"/>
              </w:rPr>
              <w:t xml:space="preserve">    税务机关调查税务违法案件时，对与案件有关的情况和资料，可以记录、录音、录像、照相和复制。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1539" w:type="dxa"/>
            <w:vMerge w:val="restart"/>
            <w:tcBorders>
              <w:top w:val="single" w:color="auto" w:sz="4" w:space="0"/>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随机抽查结果</w:t>
            </w:r>
          </w:p>
        </w:tc>
        <w:tc>
          <w:tcPr>
            <w:tcW w:w="702"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序号</w:t>
            </w:r>
          </w:p>
        </w:tc>
        <w:tc>
          <w:tcPr>
            <w:tcW w:w="3379" w:type="dxa"/>
            <w:gridSpan w:val="2"/>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纳税人识别号</w:t>
            </w:r>
          </w:p>
        </w:tc>
        <w:tc>
          <w:tcPr>
            <w:tcW w:w="5114" w:type="dxa"/>
            <w:gridSpan w:val="2"/>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纳税人名称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1539"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i w:val="0"/>
                <w:color w:val="000000"/>
                <w:sz w:val="32"/>
                <w:szCs w:val="32"/>
                <w:u w:val="none"/>
              </w:rPr>
            </w:pPr>
          </w:p>
        </w:tc>
        <w:tc>
          <w:tcPr>
            <w:tcW w:w="702" w:type="dxa"/>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w:t>
            </w:r>
          </w:p>
        </w:tc>
        <w:tc>
          <w:tcPr>
            <w:tcW w:w="3379" w:type="dxa"/>
            <w:gridSpan w:val="2"/>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kern w:val="2"/>
                <w:sz w:val="32"/>
                <w:szCs w:val="32"/>
                <w:u w:val="none"/>
                <w:lang w:val="en-US" w:eastAsia="zh-CN" w:bidi="ar-SA"/>
              </w:rPr>
            </w:pPr>
            <w:r>
              <w:rPr>
                <w:rFonts w:hint="eastAsia" w:ascii="仿宋_GB2312" w:hAnsi="仿宋_GB2312" w:eastAsia="仿宋_GB2312" w:cs="仿宋_GB2312"/>
                <w:i w:val="0"/>
                <w:color w:val="000000"/>
                <w:kern w:val="2"/>
                <w:sz w:val="32"/>
                <w:szCs w:val="32"/>
                <w:u w:val="none"/>
                <w:lang w:val="en-US" w:eastAsia="zh-CN"/>
              </w:rPr>
              <w:t>91654301333130698Q</w:t>
            </w:r>
          </w:p>
        </w:tc>
        <w:tc>
          <w:tcPr>
            <w:tcW w:w="5114"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kern w:val="2"/>
                <w:sz w:val="32"/>
                <w:szCs w:val="32"/>
                <w:u w:val="none"/>
                <w:lang w:val="en-US" w:eastAsia="zh-CN" w:bidi="ar-SA"/>
              </w:rPr>
            </w:pPr>
            <w:r>
              <w:rPr>
                <w:rFonts w:hint="eastAsia" w:ascii="仿宋_GB2312" w:hAnsi="仿宋_GB2312" w:eastAsia="仿宋_GB2312" w:cs="仿宋_GB2312"/>
                <w:i w:val="0"/>
                <w:color w:val="000000"/>
                <w:sz w:val="32"/>
                <w:szCs w:val="32"/>
                <w:u w:val="none"/>
                <w:lang w:val="en-US" w:eastAsia="zh-CN"/>
              </w:rPr>
              <w:t>阿勒泰大洋医疗器械有限公司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1539"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i w:val="0"/>
                <w:color w:val="000000"/>
                <w:sz w:val="32"/>
                <w:szCs w:val="32"/>
                <w:u w:val="none"/>
              </w:rPr>
            </w:pPr>
          </w:p>
        </w:tc>
        <w:tc>
          <w:tcPr>
            <w:tcW w:w="70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i w:val="0"/>
                <w:color w:val="000000"/>
                <w:sz w:val="32"/>
                <w:szCs w:val="32"/>
                <w:u w:val="none"/>
                <w:lang w:val="en-US" w:eastAsia="zh-CN"/>
              </w:rPr>
              <w:t>2</w:t>
            </w:r>
          </w:p>
        </w:tc>
        <w:tc>
          <w:tcPr>
            <w:tcW w:w="3379"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kern w:val="2"/>
                <w:sz w:val="32"/>
                <w:szCs w:val="32"/>
                <w:u w:val="none"/>
                <w:lang w:val="en-US" w:eastAsia="zh-CN" w:bidi="ar-SA"/>
              </w:rPr>
            </w:pPr>
            <w:r>
              <w:rPr>
                <w:rFonts w:hint="eastAsia" w:ascii="仿宋_GB2312" w:hAnsi="仿宋_GB2312" w:eastAsia="仿宋_GB2312" w:cs="仿宋_GB2312"/>
                <w:i w:val="0"/>
                <w:color w:val="000000"/>
                <w:kern w:val="2"/>
                <w:sz w:val="32"/>
                <w:szCs w:val="32"/>
                <w:u w:val="none"/>
                <w:lang w:val="en-US" w:eastAsia="zh-CN"/>
              </w:rPr>
              <w:fldChar w:fldCharType="begin"/>
            </w:r>
            <w:r>
              <w:rPr>
                <w:rFonts w:hint="eastAsia" w:ascii="仿宋_GB2312" w:hAnsi="仿宋_GB2312" w:eastAsia="仿宋_GB2312" w:cs="仿宋_GB2312"/>
                <w:i w:val="0"/>
                <w:color w:val="000000"/>
                <w:kern w:val="2"/>
                <w:sz w:val="32"/>
                <w:szCs w:val="32"/>
                <w:u w:val="none"/>
                <w:lang w:val="en-US" w:eastAsia="zh-CN"/>
              </w:rPr>
              <w:instrText xml:space="preserve"> HYPERLINK "http://tycx.xjsw.tax.cn/javascript:opendrillurl(" \o "http://tycx.xjsw.tax.cn/javascript:opendrillurl(" </w:instrText>
            </w:r>
            <w:r>
              <w:rPr>
                <w:rFonts w:hint="eastAsia" w:ascii="仿宋_GB2312" w:hAnsi="仿宋_GB2312" w:eastAsia="仿宋_GB2312" w:cs="仿宋_GB2312"/>
                <w:i w:val="0"/>
                <w:color w:val="000000"/>
                <w:kern w:val="2"/>
                <w:sz w:val="32"/>
                <w:szCs w:val="32"/>
                <w:u w:val="none"/>
                <w:lang w:val="en-US" w:eastAsia="zh-CN"/>
              </w:rPr>
              <w:fldChar w:fldCharType="separate"/>
            </w:r>
            <w:r>
              <w:rPr>
                <w:rFonts w:hint="eastAsia" w:ascii="仿宋_GB2312" w:hAnsi="仿宋_GB2312" w:eastAsia="仿宋_GB2312" w:cs="仿宋_GB2312"/>
                <w:i w:val="0"/>
                <w:color w:val="000000"/>
                <w:kern w:val="2"/>
                <w:sz w:val="32"/>
                <w:szCs w:val="32"/>
                <w:u w:val="none"/>
              </w:rPr>
              <w:t>916543016978468061</w:t>
            </w:r>
            <w:r>
              <w:rPr>
                <w:rFonts w:hint="eastAsia" w:ascii="仿宋_GB2312" w:hAnsi="仿宋_GB2312" w:eastAsia="仿宋_GB2312" w:cs="仿宋_GB2312"/>
                <w:i w:val="0"/>
                <w:color w:val="000000"/>
                <w:kern w:val="2"/>
                <w:sz w:val="32"/>
                <w:szCs w:val="32"/>
                <w:u w:val="none"/>
                <w:lang w:val="en-US" w:eastAsia="zh-CN"/>
              </w:rPr>
              <w:fldChar w:fldCharType="end"/>
            </w:r>
          </w:p>
        </w:tc>
        <w:tc>
          <w:tcPr>
            <w:tcW w:w="51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kern w:val="2"/>
                <w:sz w:val="32"/>
                <w:szCs w:val="32"/>
                <w:u w:val="none"/>
                <w:lang w:val="en-US" w:eastAsia="zh-CN" w:bidi="ar-SA"/>
              </w:rPr>
            </w:pPr>
            <w:r>
              <w:rPr>
                <w:rFonts w:hint="eastAsia" w:ascii="仿宋_GB2312" w:hAnsi="仿宋_GB2312" w:eastAsia="仿宋_GB2312" w:cs="仿宋_GB2312"/>
                <w:i w:val="0"/>
                <w:color w:val="000000"/>
                <w:sz w:val="32"/>
                <w:szCs w:val="32"/>
                <w:u w:val="none"/>
                <w:lang w:val="en-US" w:eastAsia="zh-CN"/>
              </w:rPr>
              <w:t>阿勒泰地区新康医疗器械有限公司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1539"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i w:val="0"/>
                <w:color w:val="000000"/>
                <w:sz w:val="32"/>
                <w:szCs w:val="32"/>
                <w:u w:val="none"/>
              </w:rPr>
            </w:pPr>
          </w:p>
        </w:tc>
        <w:tc>
          <w:tcPr>
            <w:tcW w:w="70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i w:val="0"/>
                <w:color w:val="000000"/>
                <w:sz w:val="32"/>
                <w:szCs w:val="32"/>
                <w:u w:val="none"/>
                <w:lang w:val="en-US" w:eastAsia="zh-CN"/>
              </w:rPr>
              <w:t>3</w:t>
            </w:r>
          </w:p>
        </w:tc>
        <w:tc>
          <w:tcPr>
            <w:tcW w:w="3379"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kern w:val="2"/>
                <w:sz w:val="32"/>
                <w:szCs w:val="32"/>
                <w:u w:val="none"/>
                <w:lang w:val="en-US" w:eastAsia="zh-CN" w:bidi="ar-SA"/>
              </w:rPr>
            </w:pPr>
            <w:r>
              <w:rPr>
                <w:rFonts w:hint="eastAsia" w:ascii="仿宋_GB2312" w:hAnsi="仿宋_GB2312" w:eastAsia="仿宋_GB2312" w:cs="仿宋_GB2312"/>
                <w:i w:val="0"/>
                <w:color w:val="000000"/>
                <w:kern w:val="2"/>
                <w:sz w:val="32"/>
                <w:szCs w:val="32"/>
                <w:u w:val="none"/>
                <w:lang w:val="en-US" w:eastAsia="zh-CN"/>
              </w:rPr>
              <w:t>91654301556457954G</w:t>
            </w:r>
          </w:p>
        </w:tc>
        <w:tc>
          <w:tcPr>
            <w:tcW w:w="51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kern w:val="2"/>
                <w:sz w:val="32"/>
                <w:szCs w:val="32"/>
                <w:u w:val="none"/>
                <w:lang w:val="en-US" w:eastAsia="zh-CN" w:bidi="ar-SA"/>
              </w:rPr>
            </w:pPr>
            <w:r>
              <w:rPr>
                <w:rFonts w:hint="eastAsia" w:ascii="仿宋_GB2312" w:hAnsi="仿宋_GB2312" w:eastAsia="仿宋_GB2312" w:cs="仿宋_GB2312"/>
                <w:i w:val="0"/>
                <w:color w:val="000000"/>
                <w:sz w:val="32"/>
                <w:szCs w:val="32"/>
                <w:u w:val="none"/>
                <w:lang w:val="en-US" w:eastAsia="zh-CN"/>
              </w:rPr>
              <w:t>阿勒泰地区精艺企业策划有限公司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1539"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i w:val="0"/>
                <w:color w:val="000000"/>
                <w:sz w:val="32"/>
                <w:szCs w:val="32"/>
                <w:u w:val="none"/>
              </w:rPr>
            </w:pPr>
          </w:p>
        </w:tc>
        <w:tc>
          <w:tcPr>
            <w:tcW w:w="70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i w:val="0"/>
                <w:color w:val="000000"/>
                <w:sz w:val="32"/>
                <w:szCs w:val="32"/>
                <w:u w:val="none"/>
                <w:lang w:val="en-US" w:eastAsia="zh-CN"/>
              </w:rPr>
              <w:t>4</w:t>
            </w:r>
          </w:p>
        </w:tc>
        <w:tc>
          <w:tcPr>
            <w:tcW w:w="3379"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kern w:val="2"/>
                <w:sz w:val="32"/>
                <w:szCs w:val="32"/>
                <w:u w:val="none"/>
                <w:lang w:val="en-US" w:eastAsia="zh-CN" w:bidi="ar-SA"/>
              </w:rPr>
            </w:pPr>
            <w:r>
              <w:rPr>
                <w:rFonts w:hint="eastAsia" w:ascii="仿宋_GB2312" w:hAnsi="仿宋_GB2312" w:eastAsia="仿宋_GB2312" w:cs="仿宋_GB2312"/>
                <w:i w:val="0"/>
                <w:color w:val="000000"/>
                <w:kern w:val="2"/>
                <w:sz w:val="32"/>
                <w:szCs w:val="32"/>
                <w:u w:val="none"/>
                <w:lang w:val="en-US" w:eastAsia="zh-CN"/>
              </w:rPr>
              <w:t>91654301057700438A</w:t>
            </w:r>
          </w:p>
        </w:tc>
        <w:tc>
          <w:tcPr>
            <w:tcW w:w="51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kern w:val="2"/>
                <w:sz w:val="32"/>
                <w:szCs w:val="32"/>
                <w:u w:val="none"/>
                <w:lang w:val="en-US" w:eastAsia="zh-CN" w:bidi="ar-SA"/>
              </w:rPr>
            </w:pPr>
            <w:r>
              <w:rPr>
                <w:rFonts w:hint="eastAsia" w:ascii="仿宋_GB2312" w:hAnsi="仿宋_GB2312" w:eastAsia="仿宋_GB2312" w:cs="仿宋_GB2312"/>
                <w:i w:val="0"/>
                <w:color w:val="000000"/>
                <w:sz w:val="32"/>
                <w:szCs w:val="32"/>
                <w:u w:val="none"/>
                <w:lang w:val="en-US" w:eastAsia="zh-CN"/>
              </w:rPr>
              <w:t>北屯陈济堂医药有限公司第十七大药房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1539"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i w:val="0"/>
                <w:color w:val="000000"/>
                <w:sz w:val="32"/>
                <w:szCs w:val="32"/>
                <w:u w:val="none"/>
              </w:rPr>
            </w:pPr>
          </w:p>
        </w:tc>
        <w:tc>
          <w:tcPr>
            <w:tcW w:w="70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i w:val="0"/>
                <w:color w:val="000000"/>
                <w:sz w:val="32"/>
                <w:szCs w:val="32"/>
                <w:u w:val="none"/>
                <w:lang w:val="en-US" w:eastAsia="zh-CN"/>
              </w:rPr>
              <w:t>5</w:t>
            </w:r>
          </w:p>
        </w:tc>
        <w:tc>
          <w:tcPr>
            <w:tcW w:w="3379"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kern w:val="2"/>
                <w:sz w:val="32"/>
                <w:szCs w:val="32"/>
                <w:u w:val="none"/>
                <w:lang w:val="en-US" w:eastAsia="zh-CN" w:bidi="ar-SA"/>
              </w:rPr>
            </w:pPr>
            <w:r>
              <w:rPr>
                <w:rFonts w:hint="eastAsia" w:ascii="仿宋_GB2312" w:hAnsi="仿宋_GB2312" w:eastAsia="仿宋_GB2312" w:cs="仿宋_GB2312"/>
                <w:i w:val="0"/>
                <w:color w:val="000000"/>
                <w:kern w:val="2"/>
                <w:sz w:val="32"/>
                <w:szCs w:val="32"/>
                <w:u w:val="none"/>
                <w:lang w:val="en-US" w:eastAsia="zh-CN"/>
              </w:rPr>
              <w:t>91654301MA776U1M73</w:t>
            </w:r>
          </w:p>
        </w:tc>
        <w:tc>
          <w:tcPr>
            <w:tcW w:w="51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kern w:val="2"/>
                <w:sz w:val="32"/>
                <w:szCs w:val="32"/>
                <w:u w:val="none"/>
                <w:lang w:val="en-US" w:eastAsia="zh-CN" w:bidi="ar-SA"/>
              </w:rPr>
            </w:pPr>
            <w:r>
              <w:rPr>
                <w:rFonts w:hint="eastAsia" w:ascii="仿宋_GB2312" w:hAnsi="仿宋_GB2312" w:eastAsia="仿宋_GB2312" w:cs="仿宋_GB2312"/>
                <w:i w:val="0"/>
                <w:color w:val="000000"/>
                <w:sz w:val="32"/>
                <w:szCs w:val="32"/>
                <w:u w:val="none"/>
                <w:lang w:val="en-US" w:eastAsia="zh-CN"/>
              </w:rPr>
              <w:t>阿勒泰天颐堂药业有限公司阿勒泰市一道巷药店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1539"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i w:val="0"/>
                <w:color w:val="000000"/>
                <w:sz w:val="32"/>
                <w:szCs w:val="32"/>
                <w:u w:val="none"/>
              </w:rPr>
            </w:pPr>
          </w:p>
        </w:tc>
        <w:tc>
          <w:tcPr>
            <w:tcW w:w="70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i w:val="0"/>
                <w:color w:val="000000"/>
                <w:sz w:val="32"/>
                <w:szCs w:val="32"/>
                <w:u w:val="none"/>
                <w:lang w:val="en-US" w:eastAsia="zh-CN"/>
              </w:rPr>
              <w:t>6</w:t>
            </w:r>
          </w:p>
        </w:tc>
        <w:tc>
          <w:tcPr>
            <w:tcW w:w="3379"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kern w:val="2"/>
                <w:sz w:val="32"/>
                <w:szCs w:val="32"/>
                <w:u w:val="none"/>
                <w:lang w:val="en-US" w:eastAsia="zh-CN" w:bidi="ar-SA"/>
              </w:rPr>
            </w:pPr>
            <w:r>
              <w:rPr>
                <w:rFonts w:hint="eastAsia" w:ascii="仿宋_GB2312" w:hAnsi="仿宋_GB2312" w:eastAsia="仿宋_GB2312" w:cs="仿宋_GB2312"/>
                <w:i w:val="0"/>
                <w:color w:val="000000"/>
                <w:kern w:val="2"/>
                <w:sz w:val="32"/>
                <w:szCs w:val="32"/>
                <w:u w:val="none"/>
                <w:lang w:val="en-US" w:eastAsia="zh-CN"/>
              </w:rPr>
              <w:t>91654301MA77QC2463</w:t>
            </w:r>
          </w:p>
        </w:tc>
        <w:tc>
          <w:tcPr>
            <w:tcW w:w="51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kern w:val="2"/>
                <w:sz w:val="32"/>
                <w:szCs w:val="32"/>
                <w:u w:val="none"/>
                <w:lang w:val="en-US" w:eastAsia="zh-CN" w:bidi="ar-SA"/>
              </w:rPr>
            </w:pPr>
            <w:r>
              <w:rPr>
                <w:rFonts w:hint="eastAsia" w:ascii="仿宋_GB2312" w:hAnsi="仿宋_GB2312" w:eastAsia="仿宋_GB2312" w:cs="仿宋_GB2312"/>
                <w:i w:val="0"/>
                <w:color w:val="000000"/>
                <w:sz w:val="32"/>
                <w:szCs w:val="32"/>
                <w:u w:val="none"/>
                <w:lang w:val="en-US" w:eastAsia="zh-CN"/>
              </w:rPr>
              <w:t>新疆万佳康医药连锁有限公司阿勒泰市二十五店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1539"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i w:val="0"/>
                <w:color w:val="000000"/>
                <w:sz w:val="32"/>
                <w:szCs w:val="32"/>
                <w:u w:val="none"/>
              </w:rPr>
            </w:pPr>
          </w:p>
        </w:tc>
        <w:tc>
          <w:tcPr>
            <w:tcW w:w="70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i w:val="0"/>
                <w:color w:val="000000"/>
                <w:sz w:val="32"/>
                <w:szCs w:val="32"/>
                <w:u w:val="none"/>
                <w:lang w:val="en-US" w:eastAsia="zh-CN"/>
              </w:rPr>
              <w:t>7</w:t>
            </w:r>
          </w:p>
        </w:tc>
        <w:tc>
          <w:tcPr>
            <w:tcW w:w="3379"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kern w:val="2"/>
                <w:sz w:val="32"/>
                <w:szCs w:val="32"/>
                <w:u w:val="none"/>
                <w:lang w:val="en-US" w:eastAsia="zh-CN" w:bidi="ar-SA"/>
              </w:rPr>
            </w:pPr>
            <w:r>
              <w:rPr>
                <w:rFonts w:hint="eastAsia" w:ascii="仿宋_GB2312" w:hAnsi="仿宋_GB2312" w:eastAsia="仿宋_GB2312" w:cs="仿宋_GB2312"/>
                <w:i w:val="0"/>
                <w:color w:val="000000"/>
                <w:kern w:val="2"/>
                <w:sz w:val="32"/>
                <w:szCs w:val="32"/>
                <w:u w:val="none"/>
                <w:lang w:val="en-US" w:eastAsia="zh-CN"/>
              </w:rPr>
              <w:t>916543017545809454</w:t>
            </w:r>
          </w:p>
        </w:tc>
        <w:tc>
          <w:tcPr>
            <w:tcW w:w="51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kern w:val="2"/>
                <w:sz w:val="32"/>
                <w:szCs w:val="32"/>
                <w:u w:val="none"/>
                <w:lang w:val="en-US" w:eastAsia="zh-CN" w:bidi="ar-SA"/>
              </w:rPr>
            </w:pPr>
            <w:r>
              <w:rPr>
                <w:rFonts w:hint="eastAsia" w:ascii="仿宋_GB2312" w:hAnsi="仿宋_GB2312" w:eastAsia="仿宋_GB2312" w:cs="仿宋_GB2312"/>
                <w:i w:val="0"/>
                <w:color w:val="000000"/>
                <w:sz w:val="32"/>
                <w:szCs w:val="32"/>
                <w:u w:val="none"/>
                <w:lang w:val="en-US" w:eastAsia="zh-CN"/>
              </w:rPr>
              <w:t>阿勒泰市好家园超市有限公司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1539"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i w:val="0"/>
                <w:color w:val="000000"/>
                <w:sz w:val="32"/>
                <w:szCs w:val="32"/>
                <w:u w:val="none"/>
              </w:rPr>
            </w:pPr>
          </w:p>
        </w:tc>
        <w:tc>
          <w:tcPr>
            <w:tcW w:w="70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i w:val="0"/>
                <w:color w:val="000000"/>
                <w:sz w:val="32"/>
                <w:szCs w:val="32"/>
                <w:u w:val="none"/>
                <w:lang w:val="en-US" w:eastAsia="zh-CN"/>
              </w:rPr>
              <w:t>8</w:t>
            </w:r>
          </w:p>
        </w:tc>
        <w:tc>
          <w:tcPr>
            <w:tcW w:w="3379"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kern w:val="2"/>
                <w:sz w:val="32"/>
                <w:szCs w:val="32"/>
                <w:u w:val="none"/>
                <w:lang w:val="en-US" w:eastAsia="zh-CN" w:bidi="ar-SA"/>
              </w:rPr>
            </w:pPr>
            <w:r>
              <w:rPr>
                <w:rFonts w:hint="eastAsia" w:ascii="仿宋_GB2312" w:hAnsi="仿宋_GB2312" w:eastAsia="仿宋_GB2312" w:cs="仿宋_GB2312"/>
                <w:i w:val="0"/>
                <w:color w:val="000000"/>
                <w:kern w:val="2"/>
                <w:sz w:val="32"/>
                <w:szCs w:val="32"/>
                <w:u w:val="none"/>
                <w:lang w:val="en-US" w:eastAsia="zh-CN"/>
              </w:rPr>
              <w:t>91654301MA77704T7X</w:t>
            </w:r>
          </w:p>
        </w:tc>
        <w:tc>
          <w:tcPr>
            <w:tcW w:w="51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kern w:val="2"/>
                <w:sz w:val="32"/>
                <w:szCs w:val="32"/>
                <w:u w:val="none"/>
                <w:lang w:val="en-US" w:eastAsia="zh-CN" w:bidi="ar-SA"/>
              </w:rPr>
            </w:pPr>
            <w:r>
              <w:rPr>
                <w:rFonts w:hint="eastAsia" w:ascii="仿宋_GB2312" w:hAnsi="仿宋_GB2312" w:eastAsia="仿宋_GB2312" w:cs="仿宋_GB2312"/>
                <w:i w:val="0"/>
                <w:color w:val="000000"/>
                <w:sz w:val="32"/>
                <w:szCs w:val="32"/>
                <w:u w:val="none"/>
                <w:lang w:val="en-US" w:eastAsia="zh-CN"/>
              </w:rPr>
              <w:t>阿勒泰海纳影视广告有限公司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1539"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i w:val="0"/>
                <w:color w:val="000000"/>
                <w:sz w:val="32"/>
                <w:szCs w:val="32"/>
                <w:u w:val="none"/>
              </w:rPr>
            </w:pPr>
          </w:p>
        </w:tc>
        <w:tc>
          <w:tcPr>
            <w:tcW w:w="70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i w:val="0"/>
                <w:color w:val="000000"/>
                <w:sz w:val="32"/>
                <w:szCs w:val="32"/>
                <w:u w:val="none"/>
                <w:lang w:val="en-US" w:eastAsia="zh-CN"/>
              </w:rPr>
              <w:t>9</w:t>
            </w:r>
          </w:p>
        </w:tc>
        <w:tc>
          <w:tcPr>
            <w:tcW w:w="3379"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kern w:val="2"/>
                <w:sz w:val="32"/>
                <w:szCs w:val="32"/>
                <w:u w:val="none"/>
                <w:lang w:val="en-US" w:eastAsia="zh-CN" w:bidi="ar-SA"/>
              </w:rPr>
            </w:pPr>
            <w:r>
              <w:rPr>
                <w:rFonts w:hint="eastAsia" w:ascii="仿宋_GB2312" w:hAnsi="仿宋_GB2312" w:eastAsia="仿宋_GB2312" w:cs="仿宋_GB2312"/>
                <w:i w:val="0"/>
                <w:color w:val="000000"/>
                <w:kern w:val="2"/>
                <w:sz w:val="32"/>
                <w:szCs w:val="32"/>
                <w:u w:val="none"/>
                <w:lang w:val="en-US" w:eastAsia="zh-CN"/>
              </w:rPr>
              <w:t>91654301MA77Q9QX8A</w:t>
            </w:r>
          </w:p>
        </w:tc>
        <w:tc>
          <w:tcPr>
            <w:tcW w:w="51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kern w:val="2"/>
                <w:sz w:val="32"/>
                <w:szCs w:val="32"/>
                <w:u w:val="none"/>
                <w:lang w:val="en-US" w:eastAsia="zh-CN" w:bidi="ar-SA"/>
              </w:rPr>
            </w:pPr>
            <w:r>
              <w:rPr>
                <w:rFonts w:hint="eastAsia" w:ascii="仿宋_GB2312" w:hAnsi="仿宋_GB2312" w:eastAsia="仿宋_GB2312" w:cs="仿宋_GB2312"/>
                <w:i w:val="0"/>
                <w:color w:val="000000"/>
                <w:sz w:val="32"/>
                <w:szCs w:val="32"/>
                <w:u w:val="none"/>
                <w:lang w:val="en-US" w:eastAsia="zh-CN"/>
              </w:rPr>
              <w:t>阿勒泰市金龙眼镜商贸有限公司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1539"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i w:val="0"/>
                <w:color w:val="000000"/>
                <w:sz w:val="32"/>
                <w:szCs w:val="32"/>
                <w:u w:val="none"/>
              </w:rPr>
            </w:pPr>
          </w:p>
        </w:tc>
        <w:tc>
          <w:tcPr>
            <w:tcW w:w="70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i w:val="0"/>
                <w:color w:val="000000"/>
                <w:sz w:val="32"/>
                <w:szCs w:val="32"/>
                <w:u w:val="none"/>
                <w:lang w:val="en-US" w:eastAsia="zh-CN"/>
              </w:rPr>
              <w:t>10</w:t>
            </w:r>
          </w:p>
        </w:tc>
        <w:tc>
          <w:tcPr>
            <w:tcW w:w="3379"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kern w:val="2"/>
                <w:sz w:val="32"/>
                <w:szCs w:val="32"/>
                <w:u w:val="none"/>
                <w:lang w:val="en-US" w:eastAsia="zh-CN" w:bidi="ar-SA"/>
              </w:rPr>
            </w:pPr>
            <w:r>
              <w:rPr>
                <w:rFonts w:hint="eastAsia" w:ascii="仿宋_GB2312" w:hAnsi="仿宋_GB2312" w:eastAsia="仿宋_GB2312" w:cs="仿宋_GB2312"/>
                <w:i w:val="0"/>
                <w:color w:val="000000"/>
                <w:kern w:val="2"/>
                <w:sz w:val="32"/>
                <w:szCs w:val="32"/>
                <w:u w:val="none"/>
                <w:lang w:val="en-US" w:eastAsia="zh-CN"/>
              </w:rPr>
              <w:fldChar w:fldCharType="begin"/>
            </w:r>
            <w:r>
              <w:rPr>
                <w:rFonts w:hint="eastAsia" w:ascii="仿宋_GB2312" w:hAnsi="仿宋_GB2312" w:eastAsia="仿宋_GB2312" w:cs="仿宋_GB2312"/>
                <w:i w:val="0"/>
                <w:color w:val="000000"/>
                <w:kern w:val="2"/>
                <w:sz w:val="32"/>
                <w:szCs w:val="32"/>
                <w:u w:val="none"/>
                <w:lang w:val="en-US" w:eastAsia="zh-CN"/>
              </w:rPr>
              <w:instrText xml:space="preserve"> HYPERLINK "http://tycx.xjsw.tax.cn/javascript:opendrillurl(" \o "http://tycx.xjsw.tax.cn/javascript:opendrillurl(" </w:instrText>
            </w:r>
            <w:r>
              <w:rPr>
                <w:rFonts w:hint="eastAsia" w:ascii="仿宋_GB2312" w:hAnsi="仿宋_GB2312" w:eastAsia="仿宋_GB2312" w:cs="仿宋_GB2312"/>
                <w:i w:val="0"/>
                <w:color w:val="000000"/>
                <w:kern w:val="2"/>
                <w:sz w:val="32"/>
                <w:szCs w:val="32"/>
                <w:u w:val="none"/>
                <w:lang w:val="en-US" w:eastAsia="zh-CN"/>
              </w:rPr>
              <w:fldChar w:fldCharType="separate"/>
            </w:r>
            <w:r>
              <w:rPr>
                <w:rFonts w:hint="eastAsia" w:ascii="仿宋_GB2312" w:hAnsi="仿宋_GB2312" w:eastAsia="仿宋_GB2312" w:cs="仿宋_GB2312"/>
                <w:i w:val="0"/>
                <w:color w:val="000000"/>
                <w:kern w:val="2"/>
                <w:sz w:val="32"/>
                <w:szCs w:val="32"/>
                <w:u w:val="none"/>
              </w:rPr>
              <w:t>91654301057714231X</w:t>
            </w:r>
            <w:r>
              <w:rPr>
                <w:rFonts w:hint="eastAsia" w:ascii="仿宋_GB2312" w:hAnsi="仿宋_GB2312" w:eastAsia="仿宋_GB2312" w:cs="仿宋_GB2312"/>
                <w:i w:val="0"/>
                <w:color w:val="000000"/>
                <w:kern w:val="2"/>
                <w:sz w:val="32"/>
                <w:szCs w:val="32"/>
                <w:u w:val="none"/>
                <w:lang w:val="en-US" w:eastAsia="zh-CN"/>
              </w:rPr>
              <w:fldChar w:fldCharType="end"/>
            </w:r>
          </w:p>
        </w:tc>
        <w:tc>
          <w:tcPr>
            <w:tcW w:w="51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kern w:val="2"/>
                <w:sz w:val="32"/>
                <w:szCs w:val="32"/>
                <w:u w:val="none"/>
                <w:lang w:val="en-US" w:eastAsia="zh-CN" w:bidi="ar-SA"/>
              </w:rPr>
            </w:pPr>
            <w:r>
              <w:rPr>
                <w:rFonts w:hint="eastAsia" w:ascii="仿宋_GB2312" w:hAnsi="仿宋_GB2312" w:eastAsia="仿宋_GB2312" w:cs="仿宋_GB2312"/>
                <w:i w:val="0"/>
                <w:color w:val="000000"/>
                <w:sz w:val="32"/>
                <w:szCs w:val="32"/>
                <w:u w:val="none"/>
                <w:lang w:val="en-US" w:eastAsia="zh-CN"/>
              </w:rPr>
              <w:t>阿勒泰创意文化传媒有限责任公司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1539"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i w:val="0"/>
                <w:color w:val="000000"/>
                <w:sz w:val="32"/>
                <w:szCs w:val="32"/>
                <w:u w:val="none"/>
              </w:rPr>
            </w:pPr>
          </w:p>
        </w:tc>
        <w:tc>
          <w:tcPr>
            <w:tcW w:w="70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i w:val="0"/>
                <w:color w:val="000000"/>
                <w:sz w:val="32"/>
                <w:szCs w:val="32"/>
                <w:u w:val="none"/>
                <w:lang w:val="en-US" w:eastAsia="zh-CN"/>
              </w:rPr>
              <w:t>11</w:t>
            </w:r>
          </w:p>
        </w:tc>
        <w:tc>
          <w:tcPr>
            <w:tcW w:w="3379"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kern w:val="2"/>
                <w:sz w:val="32"/>
                <w:szCs w:val="32"/>
                <w:u w:val="none"/>
                <w:lang w:val="en-US" w:eastAsia="zh-CN" w:bidi="ar-SA"/>
              </w:rPr>
            </w:pPr>
            <w:r>
              <w:rPr>
                <w:rFonts w:hint="eastAsia" w:ascii="仿宋_GB2312" w:hAnsi="仿宋_GB2312" w:eastAsia="仿宋_GB2312" w:cs="仿宋_GB2312"/>
                <w:i w:val="0"/>
                <w:color w:val="000000"/>
                <w:kern w:val="2"/>
                <w:sz w:val="32"/>
                <w:szCs w:val="32"/>
                <w:u w:val="none"/>
                <w:lang w:val="en-US" w:eastAsia="zh-CN"/>
              </w:rPr>
              <w:t>916543015991777092</w:t>
            </w:r>
          </w:p>
        </w:tc>
        <w:tc>
          <w:tcPr>
            <w:tcW w:w="51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kern w:val="2"/>
                <w:sz w:val="32"/>
                <w:szCs w:val="32"/>
                <w:u w:val="none"/>
                <w:lang w:val="en-US" w:eastAsia="zh-CN" w:bidi="ar-SA"/>
              </w:rPr>
            </w:pPr>
            <w:r>
              <w:rPr>
                <w:rFonts w:hint="eastAsia" w:ascii="仿宋_GB2312" w:hAnsi="仿宋_GB2312" w:eastAsia="仿宋_GB2312" w:cs="仿宋_GB2312"/>
                <w:i w:val="0"/>
                <w:color w:val="000000"/>
                <w:sz w:val="32"/>
                <w:szCs w:val="32"/>
                <w:u w:val="none"/>
                <w:lang w:val="en-US" w:eastAsia="zh-CN"/>
              </w:rPr>
              <w:t>北屯陈济堂医药有限公司第十三大药房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1539"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i w:val="0"/>
                <w:color w:val="000000"/>
                <w:sz w:val="32"/>
                <w:szCs w:val="32"/>
                <w:u w:val="none"/>
              </w:rPr>
            </w:pPr>
          </w:p>
        </w:tc>
        <w:tc>
          <w:tcPr>
            <w:tcW w:w="70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i w:val="0"/>
                <w:color w:val="000000"/>
                <w:sz w:val="32"/>
                <w:szCs w:val="32"/>
                <w:u w:val="none"/>
                <w:lang w:val="en-US" w:eastAsia="zh-CN"/>
              </w:rPr>
              <w:t>12</w:t>
            </w:r>
          </w:p>
        </w:tc>
        <w:tc>
          <w:tcPr>
            <w:tcW w:w="3379"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kern w:val="2"/>
                <w:sz w:val="32"/>
                <w:szCs w:val="32"/>
                <w:u w:val="none"/>
                <w:lang w:val="en-US" w:eastAsia="zh-CN" w:bidi="ar-SA"/>
              </w:rPr>
            </w:pPr>
            <w:r>
              <w:rPr>
                <w:rFonts w:hint="eastAsia" w:ascii="仿宋_GB2312" w:hAnsi="仿宋_GB2312" w:eastAsia="仿宋_GB2312" w:cs="仿宋_GB2312"/>
                <w:i w:val="0"/>
                <w:color w:val="000000"/>
                <w:kern w:val="2"/>
                <w:sz w:val="32"/>
                <w:szCs w:val="32"/>
                <w:u w:val="none"/>
                <w:lang w:val="en-US" w:eastAsia="zh-CN"/>
              </w:rPr>
              <w:t>91654301MA78369L99</w:t>
            </w:r>
          </w:p>
        </w:tc>
        <w:tc>
          <w:tcPr>
            <w:tcW w:w="51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kern w:val="2"/>
                <w:sz w:val="32"/>
                <w:szCs w:val="32"/>
                <w:u w:val="none"/>
                <w:lang w:val="en-US" w:eastAsia="zh-CN" w:bidi="ar-SA"/>
              </w:rPr>
            </w:pPr>
            <w:r>
              <w:rPr>
                <w:rFonts w:hint="eastAsia" w:ascii="仿宋_GB2312" w:hAnsi="仿宋_GB2312" w:eastAsia="仿宋_GB2312" w:cs="仿宋_GB2312"/>
                <w:i w:val="0"/>
                <w:color w:val="000000"/>
                <w:sz w:val="32"/>
                <w:szCs w:val="32"/>
                <w:u w:val="none"/>
                <w:lang w:val="en-US" w:eastAsia="zh-CN"/>
              </w:rPr>
              <w:t>新疆未来合创商贸有限公司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1539"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i w:val="0"/>
                <w:color w:val="000000"/>
                <w:sz w:val="32"/>
                <w:szCs w:val="32"/>
                <w:u w:val="none"/>
              </w:rPr>
            </w:pPr>
          </w:p>
        </w:tc>
        <w:tc>
          <w:tcPr>
            <w:tcW w:w="70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i w:val="0"/>
                <w:color w:val="000000"/>
                <w:sz w:val="32"/>
                <w:szCs w:val="32"/>
                <w:u w:val="none"/>
                <w:lang w:val="en-US" w:eastAsia="zh-CN"/>
              </w:rPr>
              <w:t>13</w:t>
            </w:r>
          </w:p>
        </w:tc>
        <w:tc>
          <w:tcPr>
            <w:tcW w:w="3379"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kern w:val="2"/>
                <w:sz w:val="32"/>
                <w:szCs w:val="32"/>
                <w:u w:val="none"/>
                <w:lang w:val="en-US" w:eastAsia="zh-CN" w:bidi="ar-SA"/>
              </w:rPr>
            </w:pPr>
            <w:r>
              <w:rPr>
                <w:rFonts w:hint="eastAsia" w:ascii="仿宋_GB2312" w:hAnsi="仿宋_GB2312" w:eastAsia="仿宋_GB2312" w:cs="仿宋_GB2312"/>
                <w:i w:val="0"/>
                <w:color w:val="000000"/>
                <w:kern w:val="2"/>
                <w:sz w:val="32"/>
                <w:szCs w:val="32"/>
                <w:u w:val="none"/>
                <w:lang w:val="en-US" w:eastAsia="zh-CN"/>
              </w:rPr>
              <w:t>91654301MA77YYLU38</w:t>
            </w:r>
          </w:p>
        </w:tc>
        <w:tc>
          <w:tcPr>
            <w:tcW w:w="51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kern w:val="2"/>
                <w:sz w:val="32"/>
                <w:szCs w:val="32"/>
                <w:u w:val="none"/>
                <w:lang w:val="en-US" w:eastAsia="zh-CN" w:bidi="ar-SA"/>
              </w:rPr>
            </w:pPr>
            <w:r>
              <w:rPr>
                <w:rFonts w:hint="eastAsia" w:ascii="仿宋_GB2312" w:hAnsi="仿宋_GB2312" w:eastAsia="仿宋_GB2312" w:cs="仿宋_GB2312"/>
                <w:i w:val="0"/>
                <w:color w:val="000000"/>
                <w:sz w:val="32"/>
                <w:szCs w:val="32"/>
                <w:u w:val="none"/>
                <w:lang w:val="en-US" w:eastAsia="zh-CN"/>
              </w:rPr>
              <w:t>阿勒泰红昌宏装饰有限公司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1539"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i w:val="0"/>
                <w:color w:val="000000"/>
                <w:sz w:val="32"/>
                <w:szCs w:val="32"/>
                <w:u w:val="none"/>
              </w:rPr>
            </w:pPr>
          </w:p>
        </w:tc>
        <w:tc>
          <w:tcPr>
            <w:tcW w:w="70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i w:val="0"/>
                <w:color w:val="000000"/>
                <w:sz w:val="32"/>
                <w:szCs w:val="32"/>
                <w:u w:val="none"/>
                <w:lang w:val="en-US" w:eastAsia="zh-CN"/>
              </w:rPr>
              <w:t>14</w:t>
            </w:r>
          </w:p>
        </w:tc>
        <w:tc>
          <w:tcPr>
            <w:tcW w:w="3379"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kern w:val="2"/>
                <w:sz w:val="32"/>
                <w:szCs w:val="32"/>
                <w:u w:val="none"/>
                <w:lang w:val="en-US" w:eastAsia="zh-CN" w:bidi="ar-SA"/>
              </w:rPr>
            </w:pPr>
            <w:r>
              <w:rPr>
                <w:rFonts w:hint="eastAsia" w:ascii="仿宋_GB2312" w:hAnsi="仿宋_GB2312" w:eastAsia="仿宋_GB2312" w:cs="仿宋_GB2312"/>
                <w:i w:val="0"/>
                <w:color w:val="000000"/>
                <w:kern w:val="2"/>
                <w:sz w:val="32"/>
                <w:szCs w:val="32"/>
                <w:u w:val="none"/>
                <w:lang w:val="en-US" w:eastAsia="zh-CN"/>
              </w:rPr>
              <w:t>91654301328801258W</w:t>
            </w:r>
          </w:p>
        </w:tc>
        <w:tc>
          <w:tcPr>
            <w:tcW w:w="51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kern w:val="2"/>
                <w:sz w:val="32"/>
                <w:szCs w:val="32"/>
                <w:u w:val="none"/>
                <w:lang w:val="en-US" w:eastAsia="zh-CN" w:bidi="ar-SA"/>
              </w:rPr>
            </w:pPr>
            <w:r>
              <w:rPr>
                <w:rFonts w:hint="eastAsia" w:ascii="仿宋_GB2312" w:hAnsi="仿宋_GB2312" w:eastAsia="仿宋_GB2312" w:cs="仿宋_GB2312"/>
                <w:i w:val="0"/>
                <w:color w:val="000000"/>
                <w:sz w:val="32"/>
                <w:szCs w:val="32"/>
                <w:u w:val="none"/>
                <w:lang w:val="en-US" w:eastAsia="zh-CN"/>
              </w:rPr>
              <w:t>北屯正峰医药有限公司第二十二大药房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1539"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i w:val="0"/>
                <w:color w:val="000000"/>
                <w:sz w:val="32"/>
                <w:szCs w:val="32"/>
                <w:u w:val="none"/>
              </w:rPr>
            </w:pPr>
          </w:p>
        </w:tc>
        <w:tc>
          <w:tcPr>
            <w:tcW w:w="70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i w:val="0"/>
                <w:color w:val="000000"/>
                <w:sz w:val="32"/>
                <w:szCs w:val="32"/>
                <w:u w:val="none"/>
                <w:lang w:val="en-US" w:eastAsia="zh-CN"/>
              </w:rPr>
              <w:t>15</w:t>
            </w:r>
          </w:p>
        </w:tc>
        <w:tc>
          <w:tcPr>
            <w:tcW w:w="3379"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kern w:val="2"/>
                <w:sz w:val="32"/>
                <w:szCs w:val="32"/>
                <w:u w:val="none"/>
                <w:lang w:val="en-US" w:eastAsia="zh-CN" w:bidi="ar-SA"/>
              </w:rPr>
            </w:pPr>
            <w:r>
              <w:rPr>
                <w:rFonts w:hint="eastAsia" w:ascii="仿宋_GB2312" w:hAnsi="仿宋_GB2312" w:eastAsia="仿宋_GB2312" w:cs="仿宋_GB2312"/>
                <w:i w:val="0"/>
                <w:color w:val="000000"/>
                <w:kern w:val="2"/>
                <w:sz w:val="32"/>
                <w:szCs w:val="32"/>
                <w:u w:val="none"/>
                <w:lang w:val="en-US" w:eastAsia="zh-CN"/>
              </w:rPr>
              <w:fldChar w:fldCharType="begin"/>
            </w:r>
            <w:r>
              <w:rPr>
                <w:rFonts w:hint="eastAsia" w:ascii="仿宋_GB2312" w:hAnsi="仿宋_GB2312" w:eastAsia="仿宋_GB2312" w:cs="仿宋_GB2312"/>
                <w:i w:val="0"/>
                <w:color w:val="000000"/>
                <w:kern w:val="2"/>
                <w:sz w:val="32"/>
                <w:szCs w:val="32"/>
                <w:u w:val="none"/>
                <w:lang w:val="en-US" w:eastAsia="zh-CN"/>
              </w:rPr>
              <w:instrText xml:space="preserve"> HYPERLINK "http://tycx.xjsw.tax.cn/javascript:opendrillurl(" \o "http://tycx.xjsw.tax.cn/javascript:opendrillurl(" </w:instrText>
            </w:r>
            <w:r>
              <w:rPr>
                <w:rFonts w:hint="eastAsia" w:ascii="仿宋_GB2312" w:hAnsi="仿宋_GB2312" w:eastAsia="仿宋_GB2312" w:cs="仿宋_GB2312"/>
                <w:i w:val="0"/>
                <w:color w:val="000000"/>
                <w:kern w:val="2"/>
                <w:sz w:val="32"/>
                <w:szCs w:val="32"/>
                <w:u w:val="none"/>
                <w:lang w:val="en-US" w:eastAsia="zh-CN"/>
              </w:rPr>
              <w:fldChar w:fldCharType="separate"/>
            </w:r>
            <w:r>
              <w:rPr>
                <w:rFonts w:hint="eastAsia" w:ascii="仿宋_GB2312" w:hAnsi="仿宋_GB2312" w:eastAsia="仿宋_GB2312" w:cs="仿宋_GB2312"/>
                <w:i w:val="0"/>
                <w:color w:val="000000"/>
                <w:kern w:val="2"/>
                <w:sz w:val="32"/>
                <w:szCs w:val="32"/>
                <w:u w:val="none"/>
              </w:rPr>
              <w:t>91654301328835669U</w:t>
            </w:r>
            <w:r>
              <w:rPr>
                <w:rFonts w:hint="eastAsia" w:ascii="仿宋_GB2312" w:hAnsi="仿宋_GB2312" w:eastAsia="仿宋_GB2312" w:cs="仿宋_GB2312"/>
                <w:i w:val="0"/>
                <w:color w:val="000000"/>
                <w:kern w:val="2"/>
                <w:sz w:val="32"/>
                <w:szCs w:val="32"/>
                <w:u w:val="none"/>
                <w:lang w:val="en-US" w:eastAsia="zh-CN"/>
              </w:rPr>
              <w:fldChar w:fldCharType="end"/>
            </w:r>
          </w:p>
        </w:tc>
        <w:tc>
          <w:tcPr>
            <w:tcW w:w="51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kern w:val="2"/>
                <w:sz w:val="32"/>
                <w:szCs w:val="32"/>
                <w:u w:val="none"/>
                <w:lang w:val="en-US" w:eastAsia="zh-CN" w:bidi="ar-SA"/>
              </w:rPr>
            </w:pPr>
            <w:r>
              <w:rPr>
                <w:rFonts w:hint="eastAsia" w:ascii="仿宋_GB2312" w:hAnsi="仿宋_GB2312" w:eastAsia="仿宋_GB2312" w:cs="仿宋_GB2312"/>
                <w:i w:val="0"/>
                <w:color w:val="000000"/>
                <w:sz w:val="32"/>
                <w:szCs w:val="32"/>
                <w:u w:val="none"/>
                <w:lang w:val="en-US" w:eastAsia="zh-CN"/>
              </w:rPr>
              <w:t>阿勒泰博杰广告传媒有限责任公司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1539"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i w:val="0"/>
                <w:color w:val="000000"/>
                <w:sz w:val="32"/>
                <w:szCs w:val="32"/>
                <w:u w:val="none"/>
              </w:rPr>
            </w:pPr>
          </w:p>
        </w:tc>
        <w:tc>
          <w:tcPr>
            <w:tcW w:w="70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i w:val="0"/>
                <w:color w:val="000000"/>
                <w:sz w:val="32"/>
                <w:szCs w:val="32"/>
                <w:u w:val="none"/>
                <w:lang w:val="en-US" w:eastAsia="zh-CN"/>
              </w:rPr>
              <w:t>16</w:t>
            </w:r>
          </w:p>
        </w:tc>
        <w:tc>
          <w:tcPr>
            <w:tcW w:w="3379"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kern w:val="2"/>
                <w:sz w:val="32"/>
                <w:szCs w:val="32"/>
                <w:u w:val="none"/>
                <w:lang w:val="en-US" w:eastAsia="zh-CN" w:bidi="ar-SA"/>
              </w:rPr>
            </w:pPr>
            <w:r>
              <w:rPr>
                <w:rFonts w:hint="eastAsia" w:ascii="仿宋_GB2312" w:hAnsi="仿宋_GB2312" w:eastAsia="仿宋_GB2312" w:cs="仿宋_GB2312"/>
                <w:i w:val="0"/>
                <w:color w:val="000000"/>
                <w:kern w:val="2"/>
                <w:sz w:val="32"/>
                <w:szCs w:val="32"/>
                <w:u w:val="none"/>
                <w:lang w:val="en-US" w:eastAsia="zh-CN"/>
              </w:rPr>
              <w:t>91654301MA775YNE71</w:t>
            </w:r>
          </w:p>
        </w:tc>
        <w:tc>
          <w:tcPr>
            <w:tcW w:w="51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kern w:val="2"/>
                <w:sz w:val="32"/>
                <w:szCs w:val="32"/>
                <w:u w:val="none"/>
                <w:lang w:val="en-US" w:eastAsia="zh-CN" w:bidi="ar-SA"/>
              </w:rPr>
            </w:pPr>
            <w:r>
              <w:rPr>
                <w:rFonts w:hint="eastAsia" w:ascii="仿宋_GB2312" w:hAnsi="仿宋_GB2312" w:eastAsia="仿宋_GB2312" w:cs="仿宋_GB2312"/>
                <w:i w:val="0"/>
                <w:color w:val="000000"/>
                <w:sz w:val="32"/>
                <w:szCs w:val="32"/>
                <w:u w:val="none"/>
                <w:lang w:val="en-US" w:eastAsia="zh-CN"/>
              </w:rPr>
              <w:t>阿勒泰天颐堂药业有限公司第二十三分店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1539"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i w:val="0"/>
                <w:color w:val="000000"/>
                <w:sz w:val="32"/>
                <w:szCs w:val="32"/>
                <w:u w:val="none"/>
              </w:rPr>
            </w:pPr>
          </w:p>
        </w:tc>
        <w:tc>
          <w:tcPr>
            <w:tcW w:w="70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i w:val="0"/>
                <w:color w:val="000000"/>
                <w:sz w:val="32"/>
                <w:szCs w:val="32"/>
                <w:u w:val="none"/>
                <w:lang w:val="en-US" w:eastAsia="zh-CN"/>
              </w:rPr>
              <w:t>17</w:t>
            </w:r>
          </w:p>
        </w:tc>
        <w:tc>
          <w:tcPr>
            <w:tcW w:w="3379"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kern w:val="2"/>
                <w:sz w:val="32"/>
                <w:szCs w:val="32"/>
                <w:u w:val="none"/>
                <w:lang w:val="en-US" w:eastAsia="zh-CN" w:bidi="ar-SA"/>
              </w:rPr>
            </w:pPr>
            <w:r>
              <w:rPr>
                <w:rFonts w:hint="eastAsia" w:ascii="仿宋_GB2312" w:hAnsi="仿宋_GB2312" w:eastAsia="仿宋_GB2312" w:cs="仿宋_GB2312"/>
                <w:i w:val="0"/>
                <w:color w:val="000000"/>
                <w:kern w:val="2"/>
                <w:sz w:val="32"/>
                <w:szCs w:val="32"/>
                <w:u w:val="none"/>
                <w:lang w:val="en-US" w:eastAsia="zh-CN"/>
              </w:rPr>
              <w:t>91654301MA77J05NXQ</w:t>
            </w:r>
          </w:p>
        </w:tc>
        <w:tc>
          <w:tcPr>
            <w:tcW w:w="51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kern w:val="2"/>
                <w:sz w:val="32"/>
                <w:szCs w:val="32"/>
                <w:u w:val="none"/>
                <w:lang w:val="en-US" w:eastAsia="zh-CN" w:bidi="ar-SA"/>
              </w:rPr>
            </w:pPr>
            <w:r>
              <w:rPr>
                <w:rFonts w:hint="eastAsia" w:ascii="仿宋_GB2312" w:hAnsi="仿宋_GB2312" w:eastAsia="仿宋_GB2312" w:cs="仿宋_GB2312"/>
                <w:i w:val="0"/>
                <w:color w:val="000000"/>
                <w:sz w:val="32"/>
                <w:szCs w:val="32"/>
                <w:u w:val="none"/>
                <w:lang w:val="en-US" w:eastAsia="zh-CN"/>
              </w:rPr>
              <w:t>阿勒泰市宝岛眼镜商贸有限公司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1539" w:type="dxa"/>
            <w:vMerge w:val="continue"/>
            <w:tcBorders>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i w:val="0"/>
                <w:color w:val="000000"/>
                <w:sz w:val="32"/>
                <w:szCs w:val="32"/>
                <w:u w:val="none"/>
              </w:rPr>
            </w:pPr>
          </w:p>
        </w:tc>
        <w:tc>
          <w:tcPr>
            <w:tcW w:w="70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i w:val="0"/>
                <w:color w:val="000000"/>
                <w:sz w:val="32"/>
                <w:szCs w:val="32"/>
                <w:u w:val="none"/>
                <w:lang w:val="en-US" w:eastAsia="zh-CN"/>
              </w:rPr>
              <w:t>18</w:t>
            </w:r>
          </w:p>
        </w:tc>
        <w:tc>
          <w:tcPr>
            <w:tcW w:w="3379"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kern w:val="2"/>
                <w:sz w:val="32"/>
                <w:szCs w:val="32"/>
                <w:u w:val="none"/>
                <w:lang w:val="en-US" w:eastAsia="zh-CN" w:bidi="ar-SA"/>
              </w:rPr>
            </w:pPr>
            <w:r>
              <w:rPr>
                <w:rFonts w:hint="eastAsia" w:ascii="仿宋_GB2312" w:hAnsi="仿宋_GB2312" w:eastAsia="仿宋_GB2312" w:cs="仿宋_GB2312"/>
                <w:i w:val="0"/>
                <w:color w:val="000000"/>
                <w:kern w:val="2"/>
                <w:sz w:val="32"/>
                <w:szCs w:val="32"/>
                <w:u w:val="none"/>
                <w:lang w:val="en-US" w:eastAsia="zh-CN"/>
              </w:rPr>
              <w:t>91654326MA78PX0N1P</w:t>
            </w:r>
          </w:p>
        </w:tc>
        <w:tc>
          <w:tcPr>
            <w:tcW w:w="51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top"/>
              <w:rPr>
                <w:rFonts w:hint="eastAsia" w:ascii="仿宋_GB2312" w:hAnsi="仿宋_GB2312" w:eastAsia="仿宋_GB2312" w:cs="仿宋_GB2312"/>
                <w:i w:val="0"/>
                <w:color w:val="000000"/>
                <w:kern w:val="2"/>
                <w:sz w:val="32"/>
                <w:szCs w:val="32"/>
                <w:u w:val="none"/>
                <w:lang w:val="en-US" w:eastAsia="zh-CN" w:bidi="ar-SA"/>
              </w:rPr>
            </w:pPr>
            <w:r>
              <w:rPr>
                <w:rFonts w:hint="eastAsia" w:ascii="仿宋_GB2312" w:hAnsi="仿宋_GB2312" w:eastAsia="仿宋_GB2312" w:cs="仿宋_GB2312"/>
                <w:i w:val="0"/>
                <w:color w:val="000000"/>
                <w:sz w:val="32"/>
                <w:szCs w:val="32"/>
                <w:u w:val="none"/>
                <w:lang w:val="en-US" w:eastAsia="zh-CN"/>
              </w:rPr>
              <w:t>新疆铭程嘉瑞建筑工程有限公司吉木乃县分公司</w:t>
            </w:r>
          </w:p>
        </w:tc>
      </w:tr>
    </w:tbl>
    <w:p>
      <w:pPr>
        <w:keepNext w:val="0"/>
        <w:keepLines w:val="0"/>
        <w:pageBreakBefore w:val="0"/>
        <w:widowControl w:val="0"/>
        <w:kinsoku/>
        <w:wordWrap/>
        <w:overflowPunct/>
        <w:topLinePunct w:val="0"/>
        <w:autoSpaceDE/>
        <w:autoSpaceDN/>
        <w:bidi w:val="0"/>
        <w:adjustRightInd w:val="0"/>
        <w:snapToGrid w:val="0"/>
        <w:spacing w:line="560" w:lineRule="exact"/>
        <w:jc w:val="both"/>
      </w:pPr>
    </w:p>
    <w:sectPr>
      <w:footerReference r:id="rId3" w:type="default"/>
      <w:footerReference r:id="rId4" w:type="even"/>
      <w:pgSz w:w="11906" w:h="16838"/>
      <w:pgMar w:top="2098" w:right="1474" w:bottom="1984" w:left="1587" w:header="851" w:footer="1531" w:gutter="0"/>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val="0"/>
                            <w:snapToGrid w:val="0"/>
                            <w:ind w:right="320" w:rightChars="100"/>
                            <w:textAlignment w:val="auto"/>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val="0"/>
                      <w:snapToGrid w:val="0"/>
                      <w:ind w:right="320" w:rightChars="100"/>
                      <w:textAlignment w:val="auto"/>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val="0"/>
                            <w:snapToGrid w:val="0"/>
                            <w:ind w:left="320" w:leftChars="100"/>
                            <w:textAlignment w:val="auto"/>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val="0"/>
                      <w:snapToGrid w:val="0"/>
                      <w:ind w:left="320" w:leftChars="100"/>
                      <w:textAlignment w:val="auto"/>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val="0"/>
  <w:bordersDoNotSurroundFooter w:val="0"/>
  <w:documentProtection w:enforcement="0"/>
  <w:defaultTabStop w:val="420"/>
  <w:evenAndOddHeaders w:val="1"/>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8D14D0"/>
    <w:rsid w:val="02E16BED"/>
    <w:rsid w:val="0EEB0F91"/>
    <w:rsid w:val="0F931FB3"/>
    <w:rsid w:val="118D14D0"/>
    <w:rsid w:val="14874F4C"/>
    <w:rsid w:val="19392E44"/>
    <w:rsid w:val="1A744175"/>
    <w:rsid w:val="1D4B493F"/>
    <w:rsid w:val="1E06264C"/>
    <w:rsid w:val="20C50988"/>
    <w:rsid w:val="2621416F"/>
    <w:rsid w:val="2B7A2B6F"/>
    <w:rsid w:val="2BFB59AC"/>
    <w:rsid w:val="2DE8654A"/>
    <w:rsid w:val="2E7C31D1"/>
    <w:rsid w:val="39C61866"/>
    <w:rsid w:val="39DE359C"/>
    <w:rsid w:val="412B74FD"/>
    <w:rsid w:val="46520AA8"/>
    <w:rsid w:val="46602DF0"/>
    <w:rsid w:val="48E16C56"/>
    <w:rsid w:val="4A9B664F"/>
    <w:rsid w:val="4BD30B80"/>
    <w:rsid w:val="505C4DCD"/>
    <w:rsid w:val="58692DB6"/>
    <w:rsid w:val="5956335C"/>
    <w:rsid w:val="5EC25B2B"/>
    <w:rsid w:val="60AC4447"/>
    <w:rsid w:val="627A0B97"/>
    <w:rsid w:val="6A187919"/>
    <w:rsid w:val="6CC53B7B"/>
    <w:rsid w:val="6E613D1E"/>
    <w:rsid w:val="77DA6F9E"/>
    <w:rsid w:val="77EC4A9F"/>
    <w:rsid w:val="78A707FA"/>
    <w:rsid w:val="7BC60824"/>
    <w:rsid w:val="7C1B4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napToGrid w:val="0"/>
      <w:kern w:val="0"/>
      <w:sz w:val="32"/>
      <w:szCs w:val="2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2020-11-10T13:00:00Z</dcterms:created>
  <dc:creator> </dc:creator>
  <cp:lastModifiedBy>Administrator</cp:lastModifiedBy>
  <dcterms:modified xsi:type="dcterms:W3CDTF">2022-09-01T01:59:42Z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