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B38E">
      <w:pPr>
        <w:keepNext w:val="0"/>
        <w:keepLines w:val="0"/>
        <w:widowControl/>
        <w:suppressLineNumbers w:val="0"/>
        <w:spacing w:line="23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附件：</w:t>
      </w:r>
    </w:p>
    <w:p w14:paraId="2BDF4C41">
      <w:pPr>
        <w:keepNext w:val="0"/>
        <w:keepLines w:val="0"/>
        <w:widowControl/>
        <w:suppressLineNumbers w:val="0"/>
        <w:spacing w:line="23" w:lineRule="atLeast"/>
        <w:jc w:val="center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国家税务总局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阿勒泰地区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税务局稽查局20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21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年第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批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本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级稽查对象随机抽查事项清单</w:t>
      </w:r>
    </w:p>
    <w:tbl>
      <w:tblPr>
        <w:tblStyle w:val="4"/>
        <w:tblW w:w="8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95"/>
        <w:gridCol w:w="1470"/>
        <w:gridCol w:w="1501"/>
        <w:gridCol w:w="2459"/>
        <w:gridCol w:w="1727"/>
      </w:tblGrid>
      <w:tr w14:paraId="30F8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D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公示事项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2DD93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公示内容</w:t>
            </w:r>
          </w:p>
        </w:tc>
      </w:tr>
      <w:tr w14:paraId="12FE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B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随机抽查事项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CAF8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税务稽查随机抽查（202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批本级稽查对象随机抽查）</w:t>
            </w:r>
          </w:p>
        </w:tc>
      </w:tr>
      <w:tr w14:paraId="7F3F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4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随机抽查依据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196F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《中华人民共和国税收征收管理法》第五十四条、第五十七条、第五十八条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524D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《国务院办公厅关于推广随机抽查规范事中事后监管的通知》（国办发〔2015〕58号）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C25C1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国家税务总局关于印发《推进税务稽查随机抽查实施方案的通知》（税总发〔2015〕104号）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8738B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维吾尔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自治区人民政府《关于印发推广随机抽查规范事中事后监管的通知》（新政办发〔2016〕17号）</w:t>
            </w:r>
          </w:p>
        </w:tc>
      </w:tr>
      <w:tr w14:paraId="4C12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2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随机抽查主体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B54F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国家税务总局阿勒泰地区税务局稽查局</w:t>
            </w:r>
          </w:p>
        </w:tc>
      </w:tr>
      <w:tr w14:paraId="271A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随机抽查对象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AF92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采取定向抽取方式，从“税务稽查双随机工作平台—随机抽查对象名录库”中，随机抽取抽查对象。</w:t>
            </w:r>
          </w:p>
        </w:tc>
      </w:tr>
      <w:tr w14:paraId="197D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C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随机抽查对象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8C8F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纳税人、扣缴义务人和其他涉税当事人履行纳税义务、扣缴税款义务情况及其他税法遵从情况。</w:t>
            </w:r>
          </w:p>
        </w:tc>
      </w:tr>
      <w:tr w14:paraId="01E7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644A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随机抽查内容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F64F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 w14:paraId="69CD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0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检查所属期间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E749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2018年1月1日-2020年12月31日（如检查发现此期间以外明显的税收违法嫌疑或线索不受此限）。</w:t>
            </w:r>
          </w:p>
        </w:tc>
      </w:tr>
      <w:tr w14:paraId="4834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2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检查手段</w:t>
            </w:r>
          </w:p>
        </w:tc>
        <w:tc>
          <w:tcPr>
            <w:tcW w:w="7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487D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检查纳税人的账簿、记账凭证、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报表和有关资料，检查扣缴义务人代扣代缴、代收代缴税款账簿、记账凭证和有关资料。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到纳税人的生产、经营场所和货物存放地检查纳税人应纳税的商品、货物或者其他财产，检查扣缴义务人与代扣代缴、代收代缴税款有关的经营情况。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责成纳税人、扣缴义务人提供与纳税或者代扣代缴、代收代缴税款有关的文件、证明材料和有关资料;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询问纳税人、扣缴义务人与纳税或者代扣代缴、代收代缴税款有关的问题和情况。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到车站、码头、机场、邮政企业及其分支机构检查纳税人托运、邮寄应纳税商品、货物或者其他财产的有关单据、凭证和有关资料。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税务机关调查税务违法案件时，对与案件有关的情况和资料，可以记录、录音、录像、照相和复制。</w:t>
            </w:r>
          </w:p>
        </w:tc>
      </w:tr>
      <w:tr w14:paraId="7D24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B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随机抽查结果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5157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409A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1F57C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纳税人名称</w:t>
            </w:r>
          </w:p>
        </w:tc>
      </w:tr>
      <w:tr w14:paraId="02F0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77E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A4C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96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91654300MA778J925N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6B1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新疆交通建设集团阿勒泰茂峰项目有限公司</w:t>
            </w:r>
          </w:p>
        </w:tc>
      </w:tr>
    </w:tbl>
    <w:p w14:paraId="1A7D5C0F"/>
    <w:p w14:paraId="6B9B2A9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0BB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FACD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92D3F"/>
    <w:rsid w:val="624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1111</Words>
  <Characters>1156</Characters>
  <Lines>0</Lines>
  <Paragraphs>0</Paragraphs>
  <TotalTime>1</TotalTime>
  <ScaleCrop>false</ScaleCrop>
  <LinksUpToDate>false</LinksUpToDate>
  <CharactersWithSpaces>1180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2021-06-17T05:41:00Z</dcterms:created>
  <dc:creator>1</dc:creator>
  <cp:lastModifiedBy>Administrator</cp:lastModifiedBy>
  <dcterms:modified xsi:type="dcterms:W3CDTF">2025-06-11T02:52:19Z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eyJoZGlkIjoiYjliNTg4NDY2MzQ2OGNmM2RjZmRiMmNlMDRhMjcxNzcifQ==</vt:lpwstr>
  </property>
  <property fmtid="{D5CDD505-2E9C-101B-9397-08002B2CF9AE}" pid="4" name="ICV">
    <vt:lpwstr>257290A64529407BB6665DAE09B7898F_12</vt:lpwstr>
  </property>
</Properties>
</file>